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drawings/drawing2.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drawings/drawing3.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drawings/drawing4.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5.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6.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7.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8.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9.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1DBD7" w14:textId="77777777" w:rsidR="003A0491" w:rsidRPr="00DE33DB" w:rsidRDefault="003A0491" w:rsidP="003A0491">
      <w:pPr>
        <w:spacing w:before="160" w:after="0"/>
        <w:ind w:right="182"/>
        <w:rPr>
          <w:rFonts w:ascii="Times New Roman" w:hAnsi="Times New Roman"/>
          <w:bCs/>
          <w:sz w:val="40"/>
          <w:szCs w:val="28"/>
          <w:lang w:val="en-GB"/>
        </w:rPr>
      </w:pPr>
      <w:r w:rsidRPr="00DE33DB">
        <w:rPr>
          <w:rFonts w:ascii="Times New Roman" w:hAnsi="Times New Roman"/>
          <w:bCs/>
          <w:sz w:val="40"/>
          <w:szCs w:val="28"/>
          <w:lang w:val="en-GB"/>
        </w:rPr>
        <w:t>Central Mine Planning &amp; Design Institute Limited– (CMPDIL)</w:t>
      </w:r>
    </w:p>
    <w:p w14:paraId="5668BD1A" w14:textId="0A842868" w:rsidR="00C7511A" w:rsidRPr="00C0308A" w:rsidRDefault="00770467" w:rsidP="00662938">
      <w:pPr>
        <w:pStyle w:val="ReportTitle"/>
        <w:spacing w:beforeLines="300" w:before="720" w:after="0" w:line="240" w:lineRule="auto"/>
        <w:ind w:right="187"/>
        <w:jc w:val="left"/>
        <w:rPr>
          <w:rFonts w:ascii="Arial" w:hAnsi="Arial" w:cs="Arial"/>
          <w:color w:val="000000" w:themeColor="text1"/>
          <w:sz w:val="100"/>
          <w:szCs w:val="72"/>
          <w:lang w:val="en-GB"/>
        </w:rPr>
      </w:pPr>
      <w:r>
        <w:rPr>
          <w:rFonts w:ascii="Arial Bold" w:hAnsi="Arial Bold" w:cs="Arial"/>
          <w:color w:val="000000" w:themeColor="text1"/>
          <w:sz w:val="100"/>
          <w:szCs w:val="72"/>
          <w:lang w:val="en-GB"/>
        </w:rPr>
        <w:t>R</w:t>
      </w:r>
      <w:r w:rsidR="00C7511A" w:rsidRPr="00A27CE2">
        <w:rPr>
          <w:rFonts w:ascii="Arial Bold" w:hAnsi="Arial Bold" w:cs="Arial"/>
          <w:color w:val="000000" w:themeColor="text1"/>
          <w:sz w:val="100"/>
          <w:szCs w:val="72"/>
          <w:lang w:val="en-GB"/>
        </w:rPr>
        <w:t>eport</w:t>
      </w:r>
      <w:r w:rsidR="003A0491">
        <w:rPr>
          <w:rFonts w:ascii="Arial Bold" w:hAnsi="Arial Bold" w:cs="Arial"/>
          <w:color w:val="000000" w:themeColor="text1"/>
          <w:sz w:val="100"/>
          <w:szCs w:val="72"/>
          <w:lang w:val="en-GB"/>
        </w:rPr>
        <w:t xml:space="preserve"> on </w:t>
      </w:r>
      <w:r>
        <w:rPr>
          <w:rFonts w:ascii="Arial Bold" w:hAnsi="Arial Bold" w:cs="Arial"/>
          <w:color w:val="000000" w:themeColor="text1"/>
          <w:sz w:val="100"/>
          <w:szCs w:val="72"/>
          <w:lang w:val="en-GB"/>
        </w:rPr>
        <w:t xml:space="preserve">Indian </w:t>
      </w:r>
      <w:r w:rsidR="00CC7A99">
        <w:rPr>
          <w:rFonts w:ascii="Arial Bold" w:hAnsi="Arial Bold" w:cs="Arial"/>
          <w:color w:val="000000" w:themeColor="text1"/>
          <w:sz w:val="100"/>
          <w:szCs w:val="72"/>
          <w:lang w:val="en-GB"/>
        </w:rPr>
        <w:t xml:space="preserve">Mining Consultancy Industry </w:t>
      </w:r>
      <w:r w:rsidR="00C7511A" w:rsidRPr="009F1DF9">
        <w:rPr>
          <w:rFonts w:ascii="Arial Bold" w:hAnsi="Arial Bold" w:cs="Arial"/>
          <w:color w:val="000000" w:themeColor="text1"/>
          <w:sz w:val="100"/>
          <w:szCs w:val="72"/>
          <w:lang w:val="en-GB"/>
        </w:rPr>
        <w:t xml:space="preserve"> </w:t>
      </w:r>
    </w:p>
    <w:p w14:paraId="1FE0135F" w14:textId="77777777" w:rsidR="0094113A" w:rsidRDefault="0094113A" w:rsidP="00C7511A">
      <w:pPr>
        <w:spacing w:before="0" w:after="0"/>
        <w:ind w:right="182"/>
        <w:rPr>
          <w:sz w:val="32"/>
          <w:szCs w:val="36"/>
          <w:highlight w:val="yellow"/>
        </w:rPr>
      </w:pPr>
      <w:bookmarkStart w:id="0" w:name="_Hlk190176084"/>
      <w:bookmarkEnd w:id="0"/>
    </w:p>
    <w:p w14:paraId="38D92376" w14:textId="2848C3ED" w:rsidR="00C7511A" w:rsidRDefault="009A31CD" w:rsidP="00C7511A">
      <w:pPr>
        <w:spacing w:before="0" w:after="0"/>
        <w:ind w:right="182"/>
        <w:rPr>
          <w:sz w:val="32"/>
          <w:szCs w:val="36"/>
        </w:rPr>
      </w:pPr>
      <w:r w:rsidRPr="00662938">
        <w:rPr>
          <w:sz w:val="32"/>
          <w:szCs w:val="36"/>
        </w:rPr>
        <w:t>2</w:t>
      </w:r>
      <w:r w:rsidR="0094113A" w:rsidRPr="00662938">
        <w:rPr>
          <w:sz w:val="32"/>
          <w:szCs w:val="36"/>
        </w:rPr>
        <w:t>5</w:t>
      </w:r>
      <w:r w:rsidR="00340D86" w:rsidRPr="00662938">
        <w:rPr>
          <w:sz w:val="32"/>
          <w:szCs w:val="36"/>
          <w:vertAlign w:val="superscript"/>
        </w:rPr>
        <w:t>th</w:t>
      </w:r>
      <w:r w:rsidR="00340D86" w:rsidRPr="00662938">
        <w:rPr>
          <w:sz w:val="32"/>
          <w:szCs w:val="36"/>
        </w:rPr>
        <w:t xml:space="preserve"> </w:t>
      </w:r>
      <w:r w:rsidR="005E6357" w:rsidRPr="00662938">
        <w:rPr>
          <w:sz w:val="32"/>
          <w:szCs w:val="36"/>
        </w:rPr>
        <w:t>May</w:t>
      </w:r>
      <w:r w:rsidR="00C7511A" w:rsidRPr="00662938">
        <w:rPr>
          <w:sz w:val="32"/>
          <w:szCs w:val="36"/>
        </w:rPr>
        <w:t xml:space="preserve"> 2025</w:t>
      </w:r>
      <w:r w:rsidR="00C7511A" w:rsidRPr="00C0308A">
        <w:rPr>
          <w:sz w:val="32"/>
          <w:szCs w:val="36"/>
        </w:rPr>
        <w:t xml:space="preserve"> </w:t>
      </w:r>
    </w:p>
    <w:p w14:paraId="7D322F12" w14:textId="77777777" w:rsidR="00C7511A" w:rsidRPr="00C06335" w:rsidRDefault="00C7511A" w:rsidP="00C7511A">
      <w:pPr>
        <w:pStyle w:val="Clear"/>
        <w:ind w:right="182"/>
        <w:rPr>
          <w:sz w:val="32"/>
          <w:szCs w:val="36"/>
        </w:rPr>
      </w:pPr>
      <w:r>
        <w:drawing>
          <wp:anchor distT="0" distB="0" distL="114300" distR="114300" simplePos="0" relativeHeight="251658246" behindDoc="1" locked="0" layoutInCell="1" allowOverlap="1" wp14:anchorId="0C8A7DAB" wp14:editId="41FABACE">
            <wp:simplePos x="0" y="0"/>
            <wp:positionH relativeFrom="margin">
              <wp:align>left</wp:align>
            </wp:positionH>
            <wp:positionV relativeFrom="paragraph">
              <wp:posOffset>3810</wp:posOffset>
            </wp:positionV>
            <wp:extent cx="6463665" cy="3634105"/>
            <wp:effectExtent l="0" t="0" r="0" b="4445"/>
            <wp:wrapNone/>
            <wp:docPr id="2031340947" name="Picture 7" descr="Mining 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ng Market Resea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3665"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944B124" w14:textId="77777777" w:rsidR="00C7511A" w:rsidRPr="00856839" w:rsidRDefault="00C7511A" w:rsidP="00662938">
      <w:pPr>
        <w:pageBreakBefore/>
        <w:spacing w:before="40" w:after="40" w:line="276" w:lineRule="auto"/>
        <w:ind w:right="182"/>
        <w:rPr>
          <w:b/>
          <w:sz w:val="28"/>
          <w:szCs w:val="28"/>
        </w:rPr>
      </w:pPr>
      <w:r w:rsidRPr="00856839">
        <w:rPr>
          <w:b/>
          <w:sz w:val="28"/>
          <w:szCs w:val="28"/>
        </w:rPr>
        <w:lastRenderedPageBreak/>
        <w:t>Contents</w:t>
      </w:r>
    </w:p>
    <w:p w14:paraId="471D8A1A" w14:textId="0A912415" w:rsidR="00856839" w:rsidRDefault="00C7511A">
      <w:pPr>
        <w:pStyle w:val="TOC1"/>
        <w:rPr>
          <w:rFonts w:asciiTheme="minorHAnsi" w:eastAsiaTheme="minorEastAsia" w:hAnsiTheme="minorHAnsi" w:cstheme="minorBidi"/>
          <w:b w:val="0"/>
          <w:noProof/>
          <w:color w:val="auto"/>
          <w:kern w:val="2"/>
          <w:sz w:val="24"/>
          <w:szCs w:val="24"/>
          <w14:ligatures w14:val="standardContextual"/>
        </w:rPr>
      </w:pPr>
      <w:r>
        <w:rPr>
          <w:sz w:val="22"/>
        </w:rPr>
        <w:fldChar w:fldCharType="begin"/>
      </w:r>
      <w:r>
        <w:instrText xml:space="preserve"> TOC \o "1-2" \h \z \u </w:instrText>
      </w:r>
      <w:r>
        <w:rPr>
          <w:sz w:val="22"/>
        </w:rPr>
        <w:fldChar w:fldCharType="separate"/>
      </w:r>
      <w:hyperlink w:anchor="_Toc198730334" w:history="1">
        <w:r w:rsidR="00856839" w:rsidRPr="005C60BB">
          <w:rPr>
            <w:rStyle w:val="Hyperlink"/>
            <w:noProof/>
          </w:rPr>
          <w:t>1</w:t>
        </w:r>
        <w:r w:rsidR="00856839">
          <w:rPr>
            <w:rFonts w:asciiTheme="minorHAnsi" w:eastAsiaTheme="minorEastAsia" w:hAnsiTheme="minorHAnsi" w:cstheme="minorBidi"/>
            <w:b w:val="0"/>
            <w:noProof/>
            <w:color w:val="auto"/>
            <w:kern w:val="2"/>
            <w:sz w:val="24"/>
            <w:szCs w:val="24"/>
            <w14:ligatures w14:val="standardContextual"/>
          </w:rPr>
          <w:tab/>
        </w:r>
        <w:r w:rsidR="00856839" w:rsidRPr="005C60BB">
          <w:rPr>
            <w:rStyle w:val="Hyperlink"/>
            <w:noProof/>
          </w:rPr>
          <w:t>Indian Macro-economic Overview</w:t>
        </w:r>
        <w:r w:rsidR="00856839">
          <w:rPr>
            <w:noProof/>
            <w:webHidden/>
          </w:rPr>
          <w:tab/>
        </w:r>
        <w:r w:rsidR="00856839">
          <w:rPr>
            <w:noProof/>
            <w:webHidden/>
          </w:rPr>
          <w:fldChar w:fldCharType="begin"/>
        </w:r>
        <w:r w:rsidR="00856839">
          <w:rPr>
            <w:noProof/>
            <w:webHidden/>
          </w:rPr>
          <w:instrText xml:space="preserve"> PAGEREF _Toc198730334 \h </w:instrText>
        </w:r>
        <w:r w:rsidR="00856839">
          <w:rPr>
            <w:noProof/>
            <w:webHidden/>
          </w:rPr>
        </w:r>
        <w:r w:rsidR="00856839">
          <w:rPr>
            <w:noProof/>
            <w:webHidden/>
          </w:rPr>
          <w:fldChar w:fldCharType="separate"/>
        </w:r>
        <w:r w:rsidR="002142B9">
          <w:rPr>
            <w:noProof/>
            <w:webHidden/>
          </w:rPr>
          <w:t>8</w:t>
        </w:r>
        <w:r w:rsidR="00856839">
          <w:rPr>
            <w:noProof/>
            <w:webHidden/>
          </w:rPr>
          <w:fldChar w:fldCharType="end"/>
        </w:r>
      </w:hyperlink>
    </w:p>
    <w:p w14:paraId="5347DF1C" w14:textId="7D21E9F4"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35" w:history="1">
        <w:r w:rsidRPr="005C60BB">
          <w:rPr>
            <w:rStyle w:val="Hyperlink"/>
            <w:noProof/>
          </w:rPr>
          <w:t>1.1</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World economy and Indian economy snapshot</w:t>
        </w:r>
        <w:r>
          <w:rPr>
            <w:noProof/>
            <w:webHidden/>
          </w:rPr>
          <w:tab/>
        </w:r>
        <w:r>
          <w:rPr>
            <w:noProof/>
            <w:webHidden/>
          </w:rPr>
          <w:fldChar w:fldCharType="begin"/>
        </w:r>
        <w:r>
          <w:rPr>
            <w:noProof/>
            <w:webHidden/>
          </w:rPr>
          <w:instrText xml:space="preserve"> PAGEREF _Toc198730335 \h </w:instrText>
        </w:r>
        <w:r>
          <w:rPr>
            <w:noProof/>
            <w:webHidden/>
          </w:rPr>
        </w:r>
        <w:r>
          <w:rPr>
            <w:noProof/>
            <w:webHidden/>
          </w:rPr>
          <w:fldChar w:fldCharType="separate"/>
        </w:r>
        <w:r w:rsidR="002142B9">
          <w:rPr>
            <w:noProof/>
            <w:webHidden/>
          </w:rPr>
          <w:t>8</w:t>
        </w:r>
        <w:r>
          <w:rPr>
            <w:noProof/>
            <w:webHidden/>
          </w:rPr>
          <w:fldChar w:fldCharType="end"/>
        </w:r>
      </w:hyperlink>
    </w:p>
    <w:p w14:paraId="074722F2" w14:textId="19193BEA"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36" w:history="1">
        <w:r w:rsidRPr="005C60BB">
          <w:rPr>
            <w:rStyle w:val="Hyperlink"/>
            <w:noProof/>
          </w:rPr>
          <w:t>1.2</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Real &amp; Nominal GDP growth in India vs the world’s major economies</w:t>
        </w:r>
        <w:r>
          <w:rPr>
            <w:noProof/>
            <w:webHidden/>
          </w:rPr>
          <w:tab/>
        </w:r>
        <w:r>
          <w:rPr>
            <w:noProof/>
            <w:webHidden/>
          </w:rPr>
          <w:fldChar w:fldCharType="begin"/>
        </w:r>
        <w:r>
          <w:rPr>
            <w:noProof/>
            <w:webHidden/>
          </w:rPr>
          <w:instrText xml:space="preserve"> PAGEREF _Toc198730336 \h </w:instrText>
        </w:r>
        <w:r>
          <w:rPr>
            <w:noProof/>
            <w:webHidden/>
          </w:rPr>
        </w:r>
        <w:r>
          <w:rPr>
            <w:noProof/>
            <w:webHidden/>
          </w:rPr>
          <w:fldChar w:fldCharType="separate"/>
        </w:r>
        <w:r w:rsidR="002142B9">
          <w:rPr>
            <w:noProof/>
            <w:webHidden/>
          </w:rPr>
          <w:t>9</w:t>
        </w:r>
        <w:r>
          <w:rPr>
            <w:noProof/>
            <w:webHidden/>
          </w:rPr>
          <w:fldChar w:fldCharType="end"/>
        </w:r>
      </w:hyperlink>
    </w:p>
    <w:p w14:paraId="4F14555C" w14:textId="781C46A9"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37" w:history="1">
        <w:r w:rsidRPr="005C60BB">
          <w:rPr>
            <w:rStyle w:val="Hyperlink"/>
            <w:noProof/>
          </w:rPr>
          <w:t>1.3</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Nominal &amp; Real GDP forecast for world’s major economies</w:t>
        </w:r>
        <w:r>
          <w:rPr>
            <w:noProof/>
            <w:webHidden/>
          </w:rPr>
          <w:tab/>
        </w:r>
        <w:r>
          <w:rPr>
            <w:noProof/>
            <w:webHidden/>
          </w:rPr>
          <w:fldChar w:fldCharType="begin"/>
        </w:r>
        <w:r>
          <w:rPr>
            <w:noProof/>
            <w:webHidden/>
          </w:rPr>
          <w:instrText xml:space="preserve"> PAGEREF _Toc198730337 \h </w:instrText>
        </w:r>
        <w:r>
          <w:rPr>
            <w:noProof/>
            <w:webHidden/>
          </w:rPr>
        </w:r>
        <w:r>
          <w:rPr>
            <w:noProof/>
            <w:webHidden/>
          </w:rPr>
          <w:fldChar w:fldCharType="separate"/>
        </w:r>
        <w:r w:rsidR="002142B9">
          <w:rPr>
            <w:noProof/>
            <w:webHidden/>
          </w:rPr>
          <w:t>10</w:t>
        </w:r>
        <w:r>
          <w:rPr>
            <w:noProof/>
            <w:webHidden/>
          </w:rPr>
          <w:fldChar w:fldCharType="end"/>
        </w:r>
      </w:hyperlink>
    </w:p>
    <w:p w14:paraId="5A1B9425" w14:textId="6FCFCC9C"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38" w:history="1">
        <w:r w:rsidRPr="005C60BB">
          <w:rPr>
            <w:rStyle w:val="Hyperlink"/>
            <w:noProof/>
          </w:rPr>
          <w:t>1.4</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Major Structural Reforms by the Indian Government to Assist Economic and Real Estate Growth</w:t>
        </w:r>
        <w:r>
          <w:rPr>
            <w:noProof/>
            <w:webHidden/>
          </w:rPr>
          <w:tab/>
        </w:r>
        <w:r>
          <w:rPr>
            <w:noProof/>
            <w:webHidden/>
          </w:rPr>
          <w:fldChar w:fldCharType="begin"/>
        </w:r>
        <w:r>
          <w:rPr>
            <w:noProof/>
            <w:webHidden/>
          </w:rPr>
          <w:instrText xml:space="preserve"> PAGEREF _Toc198730338 \h </w:instrText>
        </w:r>
        <w:r>
          <w:rPr>
            <w:noProof/>
            <w:webHidden/>
          </w:rPr>
        </w:r>
        <w:r>
          <w:rPr>
            <w:noProof/>
            <w:webHidden/>
          </w:rPr>
          <w:fldChar w:fldCharType="separate"/>
        </w:r>
        <w:r w:rsidR="002142B9">
          <w:rPr>
            <w:noProof/>
            <w:webHidden/>
          </w:rPr>
          <w:t>11</w:t>
        </w:r>
        <w:r>
          <w:rPr>
            <w:noProof/>
            <w:webHidden/>
          </w:rPr>
          <w:fldChar w:fldCharType="end"/>
        </w:r>
      </w:hyperlink>
    </w:p>
    <w:p w14:paraId="6F0F3498" w14:textId="11E96965"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39" w:history="1">
        <w:r w:rsidRPr="005C60BB">
          <w:rPr>
            <w:rStyle w:val="Hyperlink"/>
            <w:noProof/>
          </w:rPr>
          <w:t>1.5</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Economic survey and Union Budget analysis</w:t>
        </w:r>
        <w:r>
          <w:rPr>
            <w:noProof/>
            <w:webHidden/>
          </w:rPr>
          <w:tab/>
        </w:r>
        <w:r>
          <w:rPr>
            <w:noProof/>
            <w:webHidden/>
          </w:rPr>
          <w:fldChar w:fldCharType="begin"/>
        </w:r>
        <w:r>
          <w:rPr>
            <w:noProof/>
            <w:webHidden/>
          </w:rPr>
          <w:instrText xml:space="preserve"> PAGEREF _Toc198730339 \h </w:instrText>
        </w:r>
        <w:r>
          <w:rPr>
            <w:noProof/>
            <w:webHidden/>
          </w:rPr>
        </w:r>
        <w:r>
          <w:rPr>
            <w:noProof/>
            <w:webHidden/>
          </w:rPr>
          <w:fldChar w:fldCharType="separate"/>
        </w:r>
        <w:r w:rsidR="002142B9">
          <w:rPr>
            <w:noProof/>
            <w:webHidden/>
          </w:rPr>
          <w:t>13</w:t>
        </w:r>
        <w:r>
          <w:rPr>
            <w:noProof/>
            <w:webHidden/>
          </w:rPr>
          <w:fldChar w:fldCharType="end"/>
        </w:r>
      </w:hyperlink>
    </w:p>
    <w:p w14:paraId="35618D4D" w14:textId="427D10BF"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40" w:history="1">
        <w:r w:rsidRPr="005C60BB">
          <w:rPr>
            <w:rStyle w:val="Hyperlink"/>
            <w:noProof/>
          </w:rPr>
          <w:t>1.6</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India GDP trends</w:t>
        </w:r>
        <w:r>
          <w:rPr>
            <w:noProof/>
            <w:webHidden/>
          </w:rPr>
          <w:tab/>
        </w:r>
        <w:r>
          <w:rPr>
            <w:noProof/>
            <w:webHidden/>
          </w:rPr>
          <w:fldChar w:fldCharType="begin"/>
        </w:r>
        <w:r>
          <w:rPr>
            <w:noProof/>
            <w:webHidden/>
          </w:rPr>
          <w:instrText xml:space="preserve"> PAGEREF _Toc198730340 \h </w:instrText>
        </w:r>
        <w:r>
          <w:rPr>
            <w:noProof/>
            <w:webHidden/>
          </w:rPr>
        </w:r>
        <w:r>
          <w:rPr>
            <w:noProof/>
            <w:webHidden/>
          </w:rPr>
          <w:fldChar w:fldCharType="separate"/>
        </w:r>
        <w:r w:rsidR="002142B9">
          <w:rPr>
            <w:noProof/>
            <w:webHidden/>
          </w:rPr>
          <w:t>13</w:t>
        </w:r>
        <w:r>
          <w:rPr>
            <w:noProof/>
            <w:webHidden/>
          </w:rPr>
          <w:fldChar w:fldCharType="end"/>
        </w:r>
      </w:hyperlink>
    </w:p>
    <w:p w14:paraId="7A7693F8" w14:textId="52F84D0C"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41" w:history="1">
        <w:r w:rsidRPr="005C60BB">
          <w:rPr>
            <w:rStyle w:val="Hyperlink"/>
            <w:noProof/>
          </w:rPr>
          <w:t>1.7</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Sector wise contribution to GVA for last 5 years from fiscal 2020</w:t>
        </w:r>
        <w:r>
          <w:rPr>
            <w:noProof/>
            <w:webHidden/>
          </w:rPr>
          <w:tab/>
        </w:r>
        <w:r>
          <w:rPr>
            <w:noProof/>
            <w:webHidden/>
          </w:rPr>
          <w:fldChar w:fldCharType="begin"/>
        </w:r>
        <w:r>
          <w:rPr>
            <w:noProof/>
            <w:webHidden/>
          </w:rPr>
          <w:instrText xml:space="preserve"> PAGEREF _Toc198730341 \h </w:instrText>
        </w:r>
        <w:r>
          <w:rPr>
            <w:noProof/>
            <w:webHidden/>
          </w:rPr>
        </w:r>
        <w:r>
          <w:rPr>
            <w:noProof/>
            <w:webHidden/>
          </w:rPr>
          <w:fldChar w:fldCharType="separate"/>
        </w:r>
        <w:r w:rsidR="002142B9">
          <w:rPr>
            <w:noProof/>
            <w:webHidden/>
          </w:rPr>
          <w:t>14</w:t>
        </w:r>
        <w:r>
          <w:rPr>
            <w:noProof/>
            <w:webHidden/>
          </w:rPr>
          <w:fldChar w:fldCharType="end"/>
        </w:r>
      </w:hyperlink>
    </w:p>
    <w:p w14:paraId="3217787F" w14:textId="1AB0A126"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42" w:history="1">
        <w:r w:rsidRPr="005C60BB">
          <w:rPr>
            <w:rStyle w:val="Hyperlink"/>
            <w:noProof/>
          </w:rPr>
          <w:t>1.8</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Mining industry contribution to % of India’s GDP in last 10 years</w:t>
        </w:r>
        <w:r>
          <w:rPr>
            <w:noProof/>
            <w:webHidden/>
          </w:rPr>
          <w:tab/>
        </w:r>
        <w:r>
          <w:rPr>
            <w:noProof/>
            <w:webHidden/>
          </w:rPr>
          <w:fldChar w:fldCharType="begin"/>
        </w:r>
        <w:r>
          <w:rPr>
            <w:noProof/>
            <w:webHidden/>
          </w:rPr>
          <w:instrText xml:space="preserve"> PAGEREF _Toc198730342 \h </w:instrText>
        </w:r>
        <w:r>
          <w:rPr>
            <w:noProof/>
            <w:webHidden/>
          </w:rPr>
        </w:r>
        <w:r>
          <w:rPr>
            <w:noProof/>
            <w:webHidden/>
          </w:rPr>
          <w:fldChar w:fldCharType="separate"/>
        </w:r>
        <w:r w:rsidR="002142B9">
          <w:rPr>
            <w:noProof/>
            <w:webHidden/>
          </w:rPr>
          <w:t>16</w:t>
        </w:r>
        <w:r>
          <w:rPr>
            <w:noProof/>
            <w:webHidden/>
          </w:rPr>
          <w:fldChar w:fldCharType="end"/>
        </w:r>
      </w:hyperlink>
    </w:p>
    <w:p w14:paraId="49766D16" w14:textId="0522F5D7"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43" w:history="1">
        <w:r w:rsidRPr="005C60BB">
          <w:rPr>
            <w:rStyle w:val="Hyperlink"/>
            <w:noProof/>
          </w:rPr>
          <w:t>1.9</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Trends of key macro-economic indicators across India</w:t>
        </w:r>
        <w:r>
          <w:rPr>
            <w:noProof/>
            <w:webHidden/>
          </w:rPr>
          <w:tab/>
        </w:r>
        <w:r>
          <w:rPr>
            <w:noProof/>
            <w:webHidden/>
          </w:rPr>
          <w:fldChar w:fldCharType="begin"/>
        </w:r>
        <w:r>
          <w:rPr>
            <w:noProof/>
            <w:webHidden/>
          </w:rPr>
          <w:instrText xml:space="preserve"> PAGEREF _Toc198730343 \h </w:instrText>
        </w:r>
        <w:r>
          <w:rPr>
            <w:noProof/>
            <w:webHidden/>
          </w:rPr>
        </w:r>
        <w:r>
          <w:rPr>
            <w:noProof/>
            <w:webHidden/>
          </w:rPr>
          <w:fldChar w:fldCharType="separate"/>
        </w:r>
        <w:r w:rsidR="002142B9">
          <w:rPr>
            <w:noProof/>
            <w:webHidden/>
          </w:rPr>
          <w:t>17</w:t>
        </w:r>
        <w:r>
          <w:rPr>
            <w:noProof/>
            <w:webHidden/>
          </w:rPr>
          <w:fldChar w:fldCharType="end"/>
        </w:r>
      </w:hyperlink>
    </w:p>
    <w:p w14:paraId="5F43D3BC" w14:textId="293DF413"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44" w:history="1">
        <w:r w:rsidRPr="005C60BB">
          <w:rPr>
            <w:rStyle w:val="Hyperlink"/>
            <w:noProof/>
          </w:rPr>
          <w:t>1.10</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Growth drivers for increase in GDP in India</w:t>
        </w:r>
        <w:r>
          <w:rPr>
            <w:noProof/>
            <w:webHidden/>
          </w:rPr>
          <w:tab/>
        </w:r>
        <w:r>
          <w:rPr>
            <w:noProof/>
            <w:webHidden/>
          </w:rPr>
          <w:fldChar w:fldCharType="begin"/>
        </w:r>
        <w:r>
          <w:rPr>
            <w:noProof/>
            <w:webHidden/>
          </w:rPr>
          <w:instrText xml:space="preserve"> PAGEREF _Toc198730344 \h </w:instrText>
        </w:r>
        <w:r>
          <w:rPr>
            <w:noProof/>
            <w:webHidden/>
          </w:rPr>
        </w:r>
        <w:r>
          <w:rPr>
            <w:noProof/>
            <w:webHidden/>
          </w:rPr>
          <w:fldChar w:fldCharType="separate"/>
        </w:r>
        <w:r w:rsidR="002142B9">
          <w:rPr>
            <w:noProof/>
            <w:webHidden/>
          </w:rPr>
          <w:t>21</w:t>
        </w:r>
        <w:r>
          <w:rPr>
            <w:noProof/>
            <w:webHidden/>
          </w:rPr>
          <w:fldChar w:fldCharType="end"/>
        </w:r>
      </w:hyperlink>
    </w:p>
    <w:p w14:paraId="481EBEF8" w14:textId="48C954DE"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59" w:history="1">
        <w:r w:rsidRPr="005C60BB">
          <w:rPr>
            <w:rStyle w:val="Hyperlink"/>
            <w:noProof/>
          </w:rPr>
          <w:t>1.11</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Energy requirements and availability of India</w:t>
        </w:r>
        <w:r>
          <w:rPr>
            <w:noProof/>
            <w:webHidden/>
          </w:rPr>
          <w:tab/>
        </w:r>
        <w:r>
          <w:rPr>
            <w:noProof/>
            <w:webHidden/>
          </w:rPr>
          <w:fldChar w:fldCharType="begin"/>
        </w:r>
        <w:r>
          <w:rPr>
            <w:noProof/>
            <w:webHidden/>
          </w:rPr>
          <w:instrText xml:space="preserve"> PAGEREF _Toc198730359 \h </w:instrText>
        </w:r>
        <w:r>
          <w:rPr>
            <w:noProof/>
            <w:webHidden/>
          </w:rPr>
        </w:r>
        <w:r>
          <w:rPr>
            <w:noProof/>
            <w:webHidden/>
          </w:rPr>
          <w:fldChar w:fldCharType="separate"/>
        </w:r>
        <w:r w:rsidR="002142B9">
          <w:rPr>
            <w:noProof/>
            <w:webHidden/>
          </w:rPr>
          <w:t>22</w:t>
        </w:r>
        <w:r>
          <w:rPr>
            <w:noProof/>
            <w:webHidden/>
          </w:rPr>
          <w:fldChar w:fldCharType="end"/>
        </w:r>
      </w:hyperlink>
    </w:p>
    <w:p w14:paraId="5E910A9B" w14:textId="6EC9ABED"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0" w:history="1">
        <w:r w:rsidRPr="005C60BB">
          <w:rPr>
            <w:rStyle w:val="Hyperlink"/>
            <w:noProof/>
          </w:rPr>
          <w:t>1.12</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Outlook on Carbon Emission Reduction</w:t>
        </w:r>
        <w:r>
          <w:rPr>
            <w:noProof/>
            <w:webHidden/>
          </w:rPr>
          <w:tab/>
        </w:r>
        <w:r>
          <w:rPr>
            <w:noProof/>
            <w:webHidden/>
          </w:rPr>
          <w:fldChar w:fldCharType="begin"/>
        </w:r>
        <w:r>
          <w:rPr>
            <w:noProof/>
            <w:webHidden/>
          </w:rPr>
          <w:instrText xml:space="preserve"> PAGEREF _Toc198730360 \h </w:instrText>
        </w:r>
        <w:r>
          <w:rPr>
            <w:noProof/>
            <w:webHidden/>
          </w:rPr>
        </w:r>
        <w:r>
          <w:rPr>
            <w:noProof/>
            <w:webHidden/>
          </w:rPr>
          <w:fldChar w:fldCharType="separate"/>
        </w:r>
        <w:r w:rsidR="002142B9">
          <w:rPr>
            <w:noProof/>
            <w:webHidden/>
          </w:rPr>
          <w:t>23</w:t>
        </w:r>
        <w:r>
          <w:rPr>
            <w:noProof/>
            <w:webHidden/>
          </w:rPr>
          <w:fldChar w:fldCharType="end"/>
        </w:r>
      </w:hyperlink>
    </w:p>
    <w:p w14:paraId="7D50C654" w14:textId="49D596C9" w:rsidR="00856839" w:rsidRDefault="00856839">
      <w:pPr>
        <w:pStyle w:val="TOC1"/>
        <w:rPr>
          <w:rFonts w:asciiTheme="minorHAnsi" w:eastAsiaTheme="minorEastAsia" w:hAnsiTheme="minorHAnsi" w:cstheme="minorBidi"/>
          <w:b w:val="0"/>
          <w:noProof/>
          <w:color w:val="auto"/>
          <w:kern w:val="2"/>
          <w:sz w:val="24"/>
          <w:szCs w:val="24"/>
          <w14:ligatures w14:val="standardContextual"/>
        </w:rPr>
      </w:pPr>
      <w:hyperlink w:anchor="_Toc198730361" w:history="1">
        <w:r w:rsidRPr="005C60BB">
          <w:rPr>
            <w:rStyle w:val="Hyperlink"/>
            <w:noProof/>
          </w:rPr>
          <w:t>2</w:t>
        </w:r>
        <w:r>
          <w:rPr>
            <w:rFonts w:asciiTheme="minorHAnsi" w:eastAsiaTheme="minorEastAsia" w:hAnsiTheme="minorHAnsi" w:cstheme="minorBidi"/>
            <w:b w:val="0"/>
            <w:noProof/>
            <w:color w:val="auto"/>
            <w:kern w:val="2"/>
            <w:sz w:val="24"/>
            <w:szCs w:val="24"/>
            <w14:ligatures w14:val="standardContextual"/>
          </w:rPr>
          <w:tab/>
        </w:r>
        <w:r w:rsidRPr="005C60BB">
          <w:rPr>
            <w:rStyle w:val="Hyperlink"/>
            <w:noProof/>
          </w:rPr>
          <w:t>Indian Mining Industry Overview</w:t>
        </w:r>
        <w:r>
          <w:rPr>
            <w:noProof/>
            <w:webHidden/>
          </w:rPr>
          <w:tab/>
        </w:r>
        <w:r>
          <w:rPr>
            <w:noProof/>
            <w:webHidden/>
          </w:rPr>
          <w:fldChar w:fldCharType="begin"/>
        </w:r>
        <w:r>
          <w:rPr>
            <w:noProof/>
            <w:webHidden/>
          </w:rPr>
          <w:instrText xml:space="preserve"> PAGEREF _Toc198730361 \h </w:instrText>
        </w:r>
        <w:r>
          <w:rPr>
            <w:noProof/>
            <w:webHidden/>
          </w:rPr>
        </w:r>
        <w:r>
          <w:rPr>
            <w:noProof/>
            <w:webHidden/>
          </w:rPr>
          <w:fldChar w:fldCharType="separate"/>
        </w:r>
        <w:r w:rsidR="002142B9">
          <w:rPr>
            <w:noProof/>
            <w:webHidden/>
          </w:rPr>
          <w:t>27</w:t>
        </w:r>
        <w:r>
          <w:rPr>
            <w:noProof/>
            <w:webHidden/>
          </w:rPr>
          <w:fldChar w:fldCharType="end"/>
        </w:r>
      </w:hyperlink>
    </w:p>
    <w:p w14:paraId="1ED5858B" w14:textId="2206883E"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2" w:history="1">
        <w:r w:rsidRPr="005C60BB">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Minerals at the Core</w:t>
        </w:r>
        <w:r>
          <w:rPr>
            <w:noProof/>
            <w:webHidden/>
          </w:rPr>
          <w:tab/>
        </w:r>
        <w:r>
          <w:rPr>
            <w:noProof/>
            <w:webHidden/>
          </w:rPr>
          <w:fldChar w:fldCharType="begin"/>
        </w:r>
        <w:r>
          <w:rPr>
            <w:noProof/>
            <w:webHidden/>
          </w:rPr>
          <w:instrText xml:space="preserve"> PAGEREF _Toc198730362 \h </w:instrText>
        </w:r>
        <w:r>
          <w:rPr>
            <w:noProof/>
            <w:webHidden/>
          </w:rPr>
        </w:r>
        <w:r>
          <w:rPr>
            <w:noProof/>
            <w:webHidden/>
          </w:rPr>
          <w:fldChar w:fldCharType="separate"/>
        </w:r>
        <w:r w:rsidR="002142B9">
          <w:rPr>
            <w:noProof/>
            <w:webHidden/>
          </w:rPr>
          <w:t>27</w:t>
        </w:r>
        <w:r>
          <w:rPr>
            <w:noProof/>
            <w:webHidden/>
          </w:rPr>
          <w:fldChar w:fldCharType="end"/>
        </w:r>
      </w:hyperlink>
    </w:p>
    <w:p w14:paraId="0070F73F" w14:textId="6FA58996"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3" w:history="1">
        <w:r w:rsidRPr="005C60BB">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India’s energy requirements</w:t>
        </w:r>
        <w:r>
          <w:rPr>
            <w:noProof/>
            <w:webHidden/>
          </w:rPr>
          <w:tab/>
        </w:r>
        <w:r>
          <w:rPr>
            <w:noProof/>
            <w:webHidden/>
          </w:rPr>
          <w:fldChar w:fldCharType="begin"/>
        </w:r>
        <w:r>
          <w:rPr>
            <w:noProof/>
            <w:webHidden/>
          </w:rPr>
          <w:instrText xml:space="preserve"> PAGEREF _Toc198730363 \h </w:instrText>
        </w:r>
        <w:r>
          <w:rPr>
            <w:noProof/>
            <w:webHidden/>
          </w:rPr>
        </w:r>
        <w:r>
          <w:rPr>
            <w:noProof/>
            <w:webHidden/>
          </w:rPr>
          <w:fldChar w:fldCharType="separate"/>
        </w:r>
        <w:r w:rsidR="002142B9">
          <w:rPr>
            <w:noProof/>
            <w:webHidden/>
          </w:rPr>
          <w:t>31</w:t>
        </w:r>
        <w:r>
          <w:rPr>
            <w:noProof/>
            <w:webHidden/>
          </w:rPr>
          <w:fldChar w:fldCharType="end"/>
        </w:r>
      </w:hyperlink>
    </w:p>
    <w:p w14:paraId="08C9E5E3" w14:textId="3C9C423E"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4" w:history="1">
        <w:r w:rsidRPr="005C60BB">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Correlation of Major Sectors with the GDP growth</w:t>
        </w:r>
        <w:r>
          <w:rPr>
            <w:noProof/>
            <w:webHidden/>
          </w:rPr>
          <w:tab/>
        </w:r>
        <w:r>
          <w:rPr>
            <w:noProof/>
            <w:webHidden/>
          </w:rPr>
          <w:fldChar w:fldCharType="begin"/>
        </w:r>
        <w:r>
          <w:rPr>
            <w:noProof/>
            <w:webHidden/>
          </w:rPr>
          <w:instrText xml:space="preserve"> PAGEREF _Toc198730364 \h </w:instrText>
        </w:r>
        <w:r>
          <w:rPr>
            <w:noProof/>
            <w:webHidden/>
          </w:rPr>
        </w:r>
        <w:r>
          <w:rPr>
            <w:noProof/>
            <w:webHidden/>
          </w:rPr>
          <w:fldChar w:fldCharType="separate"/>
        </w:r>
        <w:r w:rsidR="002142B9">
          <w:rPr>
            <w:noProof/>
            <w:webHidden/>
          </w:rPr>
          <w:t>32</w:t>
        </w:r>
        <w:r>
          <w:rPr>
            <w:noProof/>
            <w:webHidden/>
          </w:rPr>
          <w:fldChar w:fldCharType="end"/>
        </w:r>
      </w:hyperlink>
    </w:p>
    <w:p w14:paraId="4484D935" w14:textId="51A61D03"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5" w:history="1">
        <w:r w:rsidRPr="005C60BB">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Coal’s dominance in India’s energy and power sectors</w:t>
        </w:r>
        <w:r>
          <w:rPr>
            <w:noProof/>
            <w:webHidden/>
          </w:rPr>
          <w:tab/>
        </w:r>
        <w:r>
          <w:rPr>
            <w:noProof/>
            <w:webHidden/>
          </w:rPr>
          <w:fldChar w:fldCharType="begin"/>
        </w:r>
        <w:r>
          <w:rPr>
            <w:noProof/>
            <w:webHidden/>
          </w:rPr>
          <w:instrText xml:space="preserve"> PAGEREF _Toc198730365 \h </w:instrText>
        </w:r>
        <w:r>
          <w:rPr>
            <w:noProof/>
            <w:webHidden/>
          </w:rPr>
        </w:r>
        <w:r>
          <w:rPr>
            <w:noProof/>
            <w:webHidden/>
          </w:rPr>
          <w:fldChar w:fldCharType="separate"/>
        </w:r>
        <w:r w:rsidR="002142B9">
          <w:rPr>
            <w:noProof/>
            <w:webHidden/>
          </w:rPr>
          <w:t>34</w:t>
        </w:r>
        <w:r>
          <w:rPr>
            <w:noProof/>
            <w:webHidden/>
          </w:rPr>
          <w:fldChar w:fldCharType="end"/>
        </w:r>
      </w:hyperlink>
    </w:p>
    <w:p w14:paraId="378D9DE2" w14:textId="6CB3E9C8"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6" w:history="1">
        <w:r w:rsidRPr="005C60BB">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Analysis of regulatory frameworks and policies governing coal sector</w:t>
        </w:r>
        <w:r>
          <w:rPr>
            <w:noProof/>
            <w:webHidden/>
          </w:rPr>
          <w:tab/>
        </w:r>
        <w:r>
          <w:rPr>
            <w:noProof/>
            <w:webHidden/>
          </w:rPr>
          <w:fldChar w:fldCharType="begin"/>
        </w:r>
        <w:r>
          <w:rPr>
            <w:noProof/>
            <w:webHidden/>
          </w:rPr>
          <w:instrText xml:space="preserve"> PAGEREF _Toc198730366 \h </w:instrText>
        </w:r>
        <w:r>
          <w:rPr>
            <w:noProof/>
            <w:webHidden/>
          </w:rPr>
        </w:r>
        <w:r>
          <w:rPr>
            <w:noProof/>
            <w:webHidden/>
          </w:rPr>
          <w:fldChar w:fldCharType="separate"/>
        </w:r>
        <w:r w:rsidR="002142B9">
          <w:rPr>
            <w:noProof/>
            <w:webHidden/>
          </w:rPr>
          <w:t>34</w:t>
        </w:r>
        <w:r>
          <w:rPr>
            <w:noProof/>
            <w:webHidden/>
          </w:rPr>
          <w:fldChar w:fldCharType="end"/>
        </w:r>
      </w:hyperlink>
    </w:p>
    <w:p w14:paraId="4EEEBE2B" w14:textId="4D1C9ADC"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7" w:history="1">
        <w:r w:rsidRPr="005C60BB">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Indian coal market overview and assessment</w:t>
        </w:r>
        <w:r>
          <w:rPr>
            <w:noProof/>
            <w:webHidden/>
          </w:rPr>
          <w:tab/>
        </w:r>
        <w:r>
          <w:rPr>
            <w:noProof/>
            <w:webHidden/>
          </w:rPr>
          <w:fldChar w:fldCharType="begin"/>
        </w:r>
        <w:r>
          <w:rPr>
            <w:noProof/>
            <w:webHidden/>
          </w:rPr>
          <w:instrText xml:space="preserve"> PAGEREF _Toc198730367 \h </w:instrText>
        </w:r>
        <w:r>
          <w:rPr>
            <w:noProof/>
            <w:webHidden/>
          </w:rPr>
        </w:r>
        <w:r>
          <w:rPr>
            <w:noProof/>
            <w:webHidden/>
          </w:rPr>
          <w:fldChar w:fldCharType="separate"/>
        </w:r>
        <w:r w:rsidR="002142B9">
          <w:rPr>
            <w:noProof/>
            <w:webHidden/>
          </w:rPr>
          <w:t>37</w:t>
        </w:r>
        <w:r>
          <w:rPr>
            <w:noProof/>
            <w:webHidden/>
          </w:rPr>
          <w:fldChar w:fldCharType="end"/>
        </w:r>
      </w:hyperlink>
    </w:p>
    <w:p w14:paraId="38025402" w14:textId="5D6DD7D7"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368" w:history="1">
        <w:r w:rsidRPr="005C60BB">
          <w:rPr>
            <w:rStyle w:val="Hyperlink"/>
            <w:noProof/>
          </w:rPr>
          <w:t>2.7</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Outlook of other key commodities</w:t>
        </w:r>
        <w:r>
          <w:rPr>
            <w:noProof/>
            <w:webHidden/>
          </w:rPr>
          <w:tab/>
        </w:r>
        <w:r>
          <w:rPr>
            <w:noProof/>
            <w:webHidden/>
          </w:rPr>
          <w:fldChar w:fldCharType="begin"/>
        </w:r>
        <w:r>
          <w:rPr>
            <w:noProof/>
            <w:webHidden/>
          </w:rPr>
          <w:instrText xml:space="preserve"> PAGEREF _Toc198730368 \h </w:instrText>
        </w:r>
        <w:r>
          <w:rPr>
            <w:noProof/>
            <w:webHidden/>
          </w:rPr>
        </w:r>
        <w:r>
          <w:rPr>
            <w:noProof/>
            <w:webHidden/>
          </w:rPr>
          <w:fldChar w:fldCharType="separate"/>
        </w:r>
        <w:r w:rsidR="002142B9">
          <w:rPr>
            <w:noProof/>
            <w:webHidden/>
          </w:rPr>
          <w:t>40</w:t>
        </w:r>
        <w:r>
          <w:rPr>
            <w:noProof/>
            <w:webHidden/>
          </w:rPr>
          <w:fldChar w:fldCharType="end"/>
        </w:r>
      </w:hyperlink>
    </w:p>
    <w:p w14:paraId="4C5DA924" w14:textId="59FE3EDA" w:rsidR="00856839" w:rsidRDefault="00856839">
      <w:pPr>
        <w:pStyle w:val="TOC1"/>
        <w:rPr>
          <w:rFonts w:asciiTheme="minorHAnsi" w:eastAsiaTheme="minorEastAsia" w:hAnsiTheme="minorHAnsi" w:cstheme="minorBidi"/>
          <w:b w:val="0"/>
          <w:noProof/>
          <w:color w:val="auto"/>
          <w:kern w:val="2"/>
          <w:sz w:val="24"/>
          <w:szCs w:val="24"/>
          <w14:ligatures w14:val="standardContextual"/>
        </w:rPr>
      </w:pPr>
      <w:hyperlink w:anchor="_Toc198730837" w:history="1">
        <w:r w:rsidRPr="005C60BB">
          <w:rPr>
            <w:rStyle w:val="Hyperlink"/>
            <w:noProof/>
          </w:rPr>
          <w:t>3</w:t>
        </w:r>
        <w:r>
          <w:rPr>
            <w:rFonts w:asciiTheme="minorHAnsi" w:eastAsiaTheme="minorEastAsia" w:hAnsiTheme="minorHAnsi" w:cstheme="minorBidi"/>
            <w:b w:val="0"/>
            <w:noProof/>
            <w:color w:val="auto"/>
            <w:kern w:val="2"/>
            <w:sz w:val="24"/>
            <w:szCs w:val="24"/>
            <w14:ligatures w14:val="standardContextual"/>
          </w:rPr>
          <w:tab/>
        </w:r>
        <w:r w:rsidRPr="005C60BB">
          <w:rPr>
            <w:rStyle w:val="Hyperlink"/>
            <w:noProof/>
          </w:rPr>
          <w:t>Indian Mining Consultancy Overview</w:t>
        </w:r>
        <w:r>
          <w:rPr>
            <w:noProof/>
            <w:webHidden/>
          </w:rPr>
          <w:tab/>
        </w:r>
        <w:r>
          <w:rPr>
            <w:noProof/>
            <w:webHidden/>
          </w:rPr>
          <w:fldChar w:fldCharType="begin"/>
        </w:r>
        <w:r>
          <w:rPr>
            <w:noProof/>
            <w:webHidden/>
          </w:rPr>
          <w:instrText xml:space="preserve"> PAGEREF _Toc198730837 \h </w:instrText>
        </w:r>
        <w:r>
          <w:rPr>
            <w:noProof/>
            <w:webHidden/>
          </w:rPr>
        </w:r>
        <w:r>
          <w:rPr>
            <w:noProof/>
            <w:webHidden/>
          </w:rPr>
          <w:fldChar w:fldCharType="separate"/>
        </w:r>
        <w:r w:rsidR="002142B9">
          <w:rPr>
            <w:noProof/>
            <w:webHidden/>
          </w:rPr>
          <w:t>45</w:t>
        </w:r>
        <w:r>
          <w:rPr>
            <w:noProof/>
            <w:webHidden/>
          </w:rPr>
          <w:fldChar w:fldCharType="end"/>
        </w:r>
      </w:hyperlink>
    </w:p>
    <w:p w14:paraId="402EB0CE" w14:textId="09BE12AE"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838" w:history="1">
        <w:r w:rsidRPr="005C60BB">
          <w:rPr>
            <w:rStyle w:val="Hyperlink"/>
            <w:noProof/>
          </w:rPr>
          <w:t>3.1</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Overview of the Indian Mining consulting services industry</w:t>
        </w:r>
        <w:r>
          <w:rPr>
            <w:noProof/>
            <w:webHidden/>
          </w:rPr>
          <w:tab/>
        </w:r>
        <w:r>
          <w:rPr>
            <w:noProof/>
            <w:webHidden/>
          </w:rPr>
          <w:fldChar w:fldCharType="begin"/>
        </w:r>
        <w:r>
          <w:rPr>
            <w:noProof/>
            <w:webHidden/>
          </w:rPr>
          <w:instrText xml:space="preserve"> PAGEREF _Toc198730838 \h </w:instrText>
        </w:r>
        <w:r>
          <w:rPr>
            <w:noProof/>
            <w:webHidden/>
          </w:rPr>
        </w:r>
        <w:r>
          <w:rPr>
            <w:noProof/>
            <w:webHidden/>
          </w:rPr>
          <w:fldChar w:fldCharType="separate"/>
        </w:r>
        <w:r w:rsidR="002142B9">
          <w:rPr>
            <w:noProof/>
            <w:webHidden/>
          </w:rPr>
          <w:t>45</w:t>
        </w:r>
        <w:r>
          <w:rPr>
            <w:noProof/>
            <w:webHidden/>
          </w:rPr>
          <w:fldChar w:fldCharType="end"/>
        </w:r>
      </w:hyperlink>
    </w:p>
    <w:p w14:paraId="5A41A9CC" w14:textId="5BDF5CC0"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839" w:history="1">
        <w:r w:rsidRPr="005C60BB">
          <w:rPr>
            <w:rStyle w:val="Hyperlink"/>
            <w:noProof/>
          </w:rPr>
          <w:t>3.2</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Market assessment of exploration and allied services related to coal/ consultancy</w:t>
        </w:r>
        <w:r>
          <w:rPr>
            <w:noProof/>
            <w:webHidden/>
          </w:rPr>
          <w:tab/>
        </w:r>
        <w:r>
          <w:rPr>
            <w:noProof/>
            <w:webHidden/>
          </w:rPr>
          <w:fldChar w:fldCharType="begin"/>
        </w:r>
        <w:r>
          <w:rPr>
            <w:noProof/>
            <w:webHidden/>
          </w:rPr>
          <w:instrText xml:space="preserve"> PAGEREF _Toc198730839 \h </w:instrText>
        </w:r>
        <w:r>
          <w:rPr>
            <w:noProof/>
            <w:webHidden/>
          </w:rPr>
        </w:r>
        <w:r>
          <w:rPr>
            <w:noProof/>
            <w:webHidden/>
          </w:rPr>
          <w:fldChar w:fldCharType="separate"/>
        </w:r>
        <w:r w:rsidR="002142B9">
          <w:rPr>
            <w:noProof/>
            <w:webHidden/>
          </w:rPr>
          <w:t>47</w:t>
        </w:r>
        <w:r>
          <w:rPr>
            <w:noProof/>
            <w:webHidden/>
          </w:rPr>
          <w:fldChar w:fldCharType="end"/>
        </w:r>
      </w:hyperlink>
    </w:p>
    <w:p w14:paraId="241BE495" w14:textId="22F60CCA"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840" w:history="1">
        <w:r w:rsidRPr="005C60BB">
          <w:rPr>
            <w:rStyle w:val="Hyperlink"/>
            <w:noProof/>
          </w:rPr>
          <w:t>3.3</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Market dynamics for mining consultancy sector</w:t>
        </w:r>
        <w:r>
          <w:rPr>
            <w:noProof/>
            <w:webHidden/>
          </w:rPr>
          <w:tab/>
        </w:r>
        <w:r>
          <w:rPr>
            <w:noProof/>
            <w:webHidden/>
          </w:rPr>
          <w:fldChar w:fldCharType="begin"/>
        </w:r>
        <w:r>
          <w:rPr>
            <w:noProof/>
            <w:webHidden/>
          </w:rPr>
          <w:instrText xml:space="preserve"> PAGEREF _Toc198730840 \h </w:instrText>
        </w:r>
        <w:r>
          <w:rPr>
            <w:noProof/>
            <w:webHidden/>
          </w:rPr>
        </w:r>
        <w:r>
          <w:rPr>
            <w:noProof/>
            <w:webHidden/>
          </w:rPr>
          <w:fldChar w:fldCharType="separate"/>
        </w:r>
        <w:r w:rsidR="002142B9">
          <w:rPr>
            <w:noProof/>
            <w:webHidden/>
          </w:rPr>
          <w:t>58</w:t>
        </w:r>
        <w:r>
          <w:rPr>
            <w:noProof/>
            <w:webHidden/>
          </w:rPr>
          <w:fldChar w:fldCharType="end"/>
        </w:r>
      </w:hyperlink>
    </w:p>
    <w:p w14:paraId="5D1CEA10" w14:textId="54556F75"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0842" w:history="1">
        <w:r w:rsidRPr="005C60BB">
          <w:rPr>
            <w:rStyle w:val="Hyperlink"/>
            <w:noProof/>
          </w:rPr>
          <w:t>3.4</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Industry concerns of mining consultancy services</w:t>
        </w:r>
        <w:r>
          <w:rPr>
            <w:noProof/>
            <w:webHidden/>
          </w:rPr>
          <w:tab/>
        </w:r>
        <w:r>
          <w:rPr>
            <w:noProof/>
            <w:webHidden/>
          </w:rPr>
          <w:fldChar w:fldCharType="begin"/>
        </w:r>
        <w:r>
          <w:rPr>
            <w:noProof/>
            <w:webHidden/>
          </w:rPr>
          <w:instrText xml:space="preserve"> PAGEREF _Toc198730842 \h </w:instrText>
        </w:r>
        <w:r>
          <w:rPr>
            <w:noProof/>
            <w:webHidden/>
          </w:rPr>
        </w:r>
        <w:r>
          <w:rPr>
            <w:noProof/>
            <w:webHidden/>
          </w:rPr>
          <w:fldChar w:fldCharType="separate"/>
        </w:r>
        <w:r w:rsidR="002142B9">
          <w:rPr>
            <w:noProof/>
            <w:webHidden/>
          </w:rPr>
          <w:t>60</w:t>
        </w:r>
        <w:r>
          <w:rPr>
            <w:noProof/>
            <w:webHidden/>
          </w:rPr>
          <w:fldChar w:fldCharType="end"/>
        </w:r>
      </w:hyperlink>
    </w:p>
    <w:p w14:paraId="394C6205" w14:textId="6CA1BFAE" w:rsidR="00856839" w:rsidRDefault="00856839">
      <w:pPr>
        <w:pStyle w:val="TOC1"/>
        <w:rPr>
          <w:rFonts w:asciiTheme="minorHAnsi" w:eastAsiaTheme="minorEastAsia" w:hAnsiTheme="minorHAnsi" w:cstheme="minorBidi"/>
          <w:b w:val="0"/>
          <w:noProof/>
          <w:color w:val="auto"/>
          <w:kern w:val="2"/>
          <w:sz w:val="24"/>
          <w:szCs w:val="24"/>
          <w14:ligatures w14:val="standardContextual"/>
        </w:rPr>
      </w:pPr>
      <w:hyperlink w:anchor="_Toc198731263" w:history="1">
        <w:r w:rsidRPr="005C60BB">
          <w:rPr>
            <w:rStyle w:val="Hyperlink"/>
            <w:noProof/>
          </w:rPr>
          <w:t>4</w:t>
        </w:r>
        <w:r>
          <w:rPr>
            <w:rFonts w:asciiTheme="minorHAnsi" w:eastAsiaTheme="minorEastAsia" w:hAnsiTheme="minorHAnsi" w:cstheme="minorBidi"/>
            <w:b w:val="0"/>
            <w:noProof/>
            <w:color w:val="auto"/>
            <w:kern w:val="2"/>
            <w:sz w:val="24"/>
            <w:szCs w:val="24"/>
            <w14:ligatures w14:val="standardContextual"/>
          </w:rPr>
          <w:tab/>
        </w:r>
        <w:r w:rsidRPr="005C60BB">
          <w:rPr>
            <w:rStyle w:val="Hyperlink"/>
            <w:noProof/>
          </w:rPr>
          <w:t>Competition Benchmarking across key players</w:t>
        </w:r>
        <w:r>
          <w:rPr>
            <w:noProof/>
            <w:webHidden/>
          </w:rPr>
          <w:tab/>
        </w:r>
        <w:r>
          <w:rPr>
            <w:noProof/>
            <w:webHidden/>
          </w:rPr>
          <w:fldChar w:fldCharType="begin"/>
        </w:r>
        <w:r>
          <w:rPr>
            <w:noProof/>
            <w:webHidden/>
          </w:rPr>
          <w:instrText xml:space="preserve"> PAGEREF _Toc198731263 \h </w:instrText>
        </w:r>
        <w:r>
          <w:rPr>
            <w:noProof/>
            <w:webHidden/>
          </w:rPr>
        </w:r>
        <w:r>
          <w:rPr>
            <w:noProof/>
            <w:webHidden/>
          </w:rPr>
          <w:fldChar w:fldCharType="separate"/>
        </w:r>
        <w:r w:rsidR="002142B9">
          <w:rPr>
            <w:noProof/>
            <w:webHidden/>
          </w:rPr>
          <w:t>62</w:t>
        </w:r>
        <w:r>
          <w:rPr>
            <w:noProof/>
            <w:webHidden/>
          </w:rPr>
          <w:fldChar w:fldCharType="end"/>
        </w:r>
      </w:hyperlink>
    </w:p>
    <w:p w14:paraId="42593D79" w14:textId="144370CC"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1264" w:history="1">
        <w:r w:rsidRPr="005C60BB">
          <w:rPr>
            <w:rStyle w:val="Hyperlink"/>
            <w:noProof/>
          </w:rPr>
          <w:t>4.1</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Brief Profile of CMPDIL</w:t>
        </w:r>
        <w:r>
          <w:rPr>
            <w:noProof/>
            <w:webHidden/>
          </w:rPr>
          <w:tab/>
        </w:r>
        <w:r>
          <w:rPr>
            <w:noProof/>
            <w:webHidden/>
          </w:rPr>
          <w:fldChar w:fldCharType="begin"/>
        </w:r>
        <w:r>
          <w:rPr>
            <w:noProof/>
            <w:webHidden/>
          </w:rPr>
          <w:instrText xml:space="preserve"> PAGEREF _Toc198731264 \h </w:instrText>
        </w:r>
        <w:r>
          <w:rPr>
            <w:noProof/>
            <w:webHidden/>
          </w:rPr>
        </w:r>
        <w:r>
          <w:rPr>
            <w:noProof/>
            <w:webHidden/>
          </w:rPr>
          <w:fldChar w:fldCharType="separate"/>
        </w:r>
        <w:r w:rsidR="002142B9">
          <w:rPr>
            <w:noProof/>
            <w:webHidden/>
          </w:rPr>
          <w:t>62</w:t>
        </w:r>
        <w:r>
          <w:rPr>
            <w:noProof/>
            <w:webHidden/>
          </w:rPr>
          <w:fldChar w:fldCharType="end"/>
        </w:r>
      </w:hyperlink>
    </w:p>
    <w:p w14:paraId="749814C2" w14:textId="7A4AFBE0"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1266" w:history="1">
        <w:r w:rsidRPr="005C60BB">
          <w:rPr>
            <w:rStyle w:val="Hyperlink"/>
            <w:noProof/>
          </w:rPr>
          <w:t>4.2</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Financial benchmarking</w:t>
        </w:r>
        <w:r>
          <w:rPr>
            <w:noProof/>
            <w:webHidden/>
          </w:rPr>
          <w:tab/>
        </w:r>
        <w:r>
          <w:rPr>
            <w:noProof/>
            <w:webHidden/>
          </w:rPr>
          <w:fldChar w:fldCharType="begin"/>
        </w:r>
        <w:r>
          <w:rPr>
            <w:noProof/>
            <w:webHidden/>
          </w:rPr>
          <w:instrText xml:space="preserve"> PAGEREF _Toc198731266 \h </w:instrText>
        </w:r>
        <w:r>
          <w:rPr>
            <w:noProof/>
            <w:webHidden/>
          </w:rPr>
        </w:r>
        <w:r>
          <w:rPr>
            <w:noProof/>
            <w:webHidden/>
          </w:rPr>
          <w:fldChar w:fldCharType="separate"/>
        </w:r>
        <w:r w:rsidR="002142B9">
          <w:rPr>
            <w:noProof/>
            <w:webHidden/>
          </w:rPr>
          <w:t>65</w:t>
        </w:r>
        <w:r>
          <w:rPr>
            <w:noProof/>
            <w:webHidden/>
          </w:rPr>
          <w:fldChar w:fldCharType="end"/>
        </w:r>
      </w:hyperlink>
    </w:p>
    <w:p w14:paraId="09615376" w14:textId="29ADC24D"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1267" w:history="1">
        <w:r w:rsidRPr="005C60BB">
          <w:rPr>
            <w:rStyle w:val="Hyperlink"/>
            <w:noProof/>
          </w:rPr>
          <w:t>4.3</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Operational benchmarking</w:t>
        </w:r>
        <w:r>
          <w:rPr>
            <w:noProof/>
            <w:webHidden/>
          </w:rPr>
          <w:tab/>
        </w:r>
        <w:r>
          <w:rPr>
            <w:noProof/>
            <w:webHidden/>
          </w:rPr>
          <w:fldChar w:fldCharType="begin"/>
        </w:r>
        <w:r>
          <w:rPr>
            <w:noProof/>
            <w:webHidden/>
          </w:rPr>
          <w:instrText xml:space="preserve"> PAGEREF _Toc198731267 \h </w:instrText>
        </w:r>
        <w:r>
          <w:rPr>
            <w:noProof/>
            <w:webHidden/>
          </w:rPr>
        </w:r>
        <w:r>
          <w:rPr>
            <w:noProof/>
            <w:webHidden/>
          </w:rPr>
          <w:fldChar w:fldCharType="separate"/>
        </w:r>
        <w:r w:rsidR="002142B9">
          <w:rPr>
            <w:noProof/>
            <w:webHidden/>
          </w:rPr>
          <w:t>74</w:t>
        </w:r>
        <w:r>
          <w:rPr>
            <w:noProof/>
            <w:webHidden/>
          </w:rPr>
          <w:fldChar w:fldCharType="end"/>
        </w:r>
      </w:hyperlink>
    </w:p>
    <w:p w14:paraId="75CB8871" w14:textId="0A03DC9E" w:rsidR="00856839" w:rsidRDefault="00856839">
      <w:pPr>
        <w:pStyle w:val="TOC2"/>
        <w:tabs>
          <w:tab w:val="left" w:pos="960"/>
        </w:tabs>
        <w:rPr>
          <w:rFonts w:asciiTheme="minorHAnsi" w:eastAsiaTheme="minorEastAsia" w:hAnsiTheme="minorHAnsi" w:cstheme="minorBidi"/>
          <w:noProof/>
          <w:color w:val="auto"/>
          <w:kern w:val="2"/>
          <w:sz w:val="24"/>
          <w:szCs w:val="24"/>
          <w14:ligatures w14:val="standardContextual"/>
        </w:rPr>
      </w:pPr>
      <w:hyperlink w:anchor="_Toc198731448" w:history="1">
        <w:r w:rsidRPr="005C60BB">
          <w:rPr>
            <w:rStyle w:val="Hyperlink"/>
            <w:noProof/>
          </w:rPr>
          <w:t>4.4</w:t>
        </w:r>
        <w:r>
          <w:rPr>
            <w:rFonts w:asciiTheme="minorHAnsi" w:eastAsiaTheme="minorEastAsia" w:hAnsiTheme="minorHAnsi" w:cstheme="minorBidi"/>
            <w:noProof/>
            <w:color w:val="auto"/>
            <w:kern w:val="2"/>
            <w:sz w:val="24"/>
            <w:szCs w:val="24"/>
            <w14:ligatures w14:val="standardContextual"/>
          </w:rPr>
          <w:tab/>
        </w:r>
        <w:r w:rsidRPr="005C60BB">
          <w:rPr>
            <w:rStyle w:val="Hyperlink"/>
            <w:noProof/>
          </w:rPr>
          <w:t>Key Observations</w:t>
        </w:r>
        <w:r>
          <w:rPr>
            <w:noProof/>
            <w:webHidden/>
          </w:rPr>
          <w:tab/>
        </w:r>
        <w:r>
          <w:rPr>
            <w:noProof/>
            <w:webHidden/>
          </w:rPr>
          <w:fldChar w:fldCharType="begin"/>
        </w:r>
        <w:r>
          <w:rPr>
            <w:noProof/>
            <w:webHidden/>
          </w:rPr>
          <w:instrText xml:space="preserve"> PAGEREF _Toc198731448 \h </w:instrText>
        </w:r>
        <w:r>
          <w:rPr>
            <w:noProof/>
            <w:webHidden/>
          </w:rPr>
        </w:r>
        <w:r>
          <w:rPr>
            <w:noProof/>
            <w:webHidden/>
          </w:rPr>
          <w:fldChar w:fldCharType="separate"/>
        </w:r>
        <w:r w:rsidR="002142B9">
          <w:rPr>
            <w:noProof/>
            <w:webHidden/>
          </w:rPr>
          <w:t>78</w:t>
        </w:r>
        <w:r>
          <w:rPr>
            <w:noProof/>
            <w:webHidden/>
          </w:rPr>
          <w:fldChar w:fldCharType="end"/>
        </w:r>
      </w:hyperlink>
    </w:p>
    <w:p w14:paraId="75D9523B" w14:textId="1D6626FA" w:rsidR="00C7511A" w:rsidRPr="00856839" w:rsidRDefault="00C7511A" w:rsidP="00662938">
      <w:pPr>
        <w:pageBreakBefore/>
        <w:spacing w:before="40" w:after="40" w:line="276" w:lineRule="auto"/>
        <w:ind w:right="182"/>
        <w:rPr>
          <w:b/>
          <w:sz w:val="28"/>
          <w:szCs w:val="28"/>
        </w:rPr>
      </w:pPr>
      <w:r>
        <w:lastRenderedPageBreak/>
        <w:fldChar w:fldCharType="end"/>
      </w:r>
      <w:r w:rsidR="00856839">
        <w:rPr>
          <w:b/>
          <w:sz w:val="28"/>
          <w:szCs w:val="28"/>
        </w:rPr>
        <w:t>List of T</w:t>
      </w:r>
      <w:r w:rsidRPr="00856839">
        <w:rPr>
          <w:b/>
          <w:sz w:val="28"/>
          <w:szCs w:val="28"/>
        </w:rPr>
        <w:t>ables</w:t>
      </w:r>
    </w:p>
    <w:p w14:paraId="38E33F1B" w14:textId="5133484E" w:rsidR="00856839" w:rsidRPr="00856839" w:rsidRDefault="00C7511A"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r w:rsidRPr="00CF7605">
        <w:rPr>
          <w:bCs/>
        </w:rPr>
        <w:fldChar w:fldCharType="begin"/>
      </w:r>
      <w:r w:rsidRPr="00CF7605">
        <w:rPr>
          <w:bCs/>
        </w:rPr>
        <w:instrText xml:space="preserve"> TOC \h \z \c "Table" </w:instrText>
      </w:r>
      <w:r w:rsidRPr="00CF7605">
        <w:rPr>
          <w:bCs/>
        </w:rPr>
        <w:fldChar w:fldCharType="separate"/>
      </w:r>
      <w:hyperlink w:anchor="_Toc198731449" w:history="1">
        <w:r w:rsidR="00856839" w:rsidRPr="00856839">
          <w:rPr>
            <w:rStyle w:val="Hyperlink"/>
            <w:rFonts w:eastAsia="Times New Roman" w:cs="Book Antiqua"/>
            <w:noProof/>
            <w:kern w:val="0"/>
            <w:lang w:val="en-GB" w:eastAsia="en-IN"/>
            <w14:ligatures w14:val="none"/>
          </w:rPr>
          <w:t>Table 1.1 Country-wise nominal GDP data (annual percent change)</w:t>
        </w:r>
        <w:r w:rsidR="00856839" w:rsidRPr="00856839">
          <w:rPr>
            <w:noProof/>
            <w:webHidden/>
          </w:rPr>
          <w:tab/>
        </w:r>
        <w:r w:rsidR="00856839" w:rsidRPr="00856839">
          <w:rPr>
            <w:noProof/>
            <w:webHidden/>
          </w:rPr>
          <w:fldChar w:fldCharType="begin"/>
        </w:r>
        <w:r w:rsidR="00856839" w:rsidRPr="00856839">
          <w:rPr>
            <w:noProof/>
            <w:webHidden/>
          </w:rPr>
          <w:instrText xml:space="preserve"> PAGEREF _Toc198731449 \h </w:instrText>
        </w:r>
        <w:r w:rsidR="00856839" w:rsidRPr="00856839">
          <w:rPr>
            <w:noProof/>
            <w:webHidden/>
          </w:rPr>
        </w:r>
        <w:r w:rsidR="00856839" w:rsidRPr="00856839">
          <w:rPr>
            <w:noProof/>
            <w:webHidden/>
          </w:rPr>
          <w:fldChar w:fldCharType="separate"/>
        </w:r>
        <w:r w:rsidR="002142B9">
          <w:rPr>
            <w:noProof/>
            <w:webHidden/>
          </w:rPr>
          <w:t>9</w:t>
        </w:r>
        <w:r w:rsidR="00856839" w:rsidRPr="00856839">
          <w:rPr>
            <w:noProof/>
            <w:webHidden/>
          </w:rPr>
          <w:fldChar w:fldCharType="end"/>
        </w:r>
      </w:hyperlink>
    </w:p>
    <w:p w14:paraId="00F8C774" w14:textId="3769A6F0"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0" w:history="1">
        <w:r w:rsidRPr="00856839">
          <w:rPr>
            <w:rStyle w:val="Hyperlink"/>
            <w:rFonts w:eastAsia="Times New Roman" w:cs="Book Antiqua"/>
            <w:noProof/>
            <w:kern w:val="0"/>
            <w:lang w:val="en-GB" w:eastAsia="en-IN"/>
            <w14:ligatures w14:val="none"/>
          </w:rPr>
          <w:t>Table 1.2 Country-wise real GDP data (annual percent change)</w:t>
        </w:r>
        <w:r w:rsidRPr="00856839">
          <w:rPr>
            <w:noProof/>
            <w:webHidden/>
          </w:rPr>
          <w:tab/>
        </w:r>
        <w:r w:rsidRPr="00856839">
          <w:rPr>
            <w:noProof/>
            <w:webHidden/>
          </w:rPr>
          <w:fldChar w:fldCharType="begin"/>
        </w:r>
        <w:r w:rsidRPr="00856839">
          <w:rPr>
            <w:noProof/>
            <w:webHidden/>
          </w:rPr>
          <w:instrText xml:space="preserve"> PAGEREF _Toc198731450 \h </w:instrText>
        </w:r>
        <w:r w:rsidRPr="00856839">
          <w:rPr>
            <w:noProof/>
            <w:webHidden/>
          </w:rPr>
        </w:r>
        <w:r w:rsidRPr="00856839">
          <w:rPr>
            <w:noProof/>
            <w:webHidden/>
          </w:rPr>
          <w:fldChar w:fldCharType="separate"/>
        </w:r>
        <w:r w:rsidR="002142B9">
          <w:rPr>
            <w:noProof/>
            <w:webHidden/>
          </w:rPr>
          <w:t>10</w:t>
        </w:r>
        <w:r w:rsidRPr="00856839">
          <w:rPr>
            <w:noProof/>
            <w:webHidden/>
          </w:rPr>
          <w:fldChar w:fldCharType="end"/>
        </w:r>
      </w:hyperlink>
    </w:p>
    <w:p w14:paraId="63085C0B" w14:textId="6B360D6B"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1" w:history="1">
        <w:r w:rsidRPr="00856839">
          <w:rPr>
            <w:rStyle w:val="Hyperlink"/>
            <w:rFonts w:eastAsia="Times New Roman" w:cs="Book Antiqua"/>
            <w:noProof/>
            <w:kern w:val="0"/>
            <w:lang w:val="en-GB" w:eastAsia="en-IN"/>
            <w14:ligatures w14:val="none"/>
          </w:rPr>
          <w:t>Table 1.3</w:t>
        </w:r>
        <w:r w:rsidRPr="00856839">
          <w:rPr>
            <w:rStyle w:val="Hyperlink"/>
            <w:rFonts w:eastAsia="Times New Roman"/>
            <w:noProof/>
            <w:kern w:val="0"/>
            <w:lang w:val="en-GB" w:eastAsia="en-IN"/>
            <w14:ligatures w14:val="none"/>
          </w:rPr>
          <w:t xml:space="preserve"> Country-wise nominal GDP data forecast (annual percent change)</w:t>
        </w:r>
        <w:r w:rsidRPr="00856839">
          <w:rPr>
            <w:noProof/>
            <w:webHidden/>
          </w:rPr>
          <w:tab/>
        </w:r>
        <w:r w:rsidRPr="00856839">
          <w:rPr>
            <w:noProof/>
            <w:webHidden/>
          </w:rPr>
          <w:fldChar w:fldCharType="begin"/>
        </w:r>
        <w:r w:rsidRPr="00856839">
          <w:rPr>
            <w:noProof/>
            <w:webHidden/>
          </w:rPr>
          <w:instrText xml:space="preserve"> PAGEREF _Toc198731451 \h </w:instrText>
        </w:r>
        <w:r w:rsidRPr="00856839">
          <w:rPr>
            <w:noProof/>
            <w:webHidden/>
          </w:rPr>
        </w:r>
        <w:r w:rsidRPr="00856839">
          <w:rPr>
            <w:noProof/>
            <w:webHidden/>
          </w:rPr>
          <w:fldChar w:fldCharType="separate"/>
        </w:r>
        <w:r w:rsidR="002142B9">
          <w:rPr>
            <w:noProof/>
            <w:webHidden/>
          </w:rPr>
          <w:t>10</w:t>
        </w:r>
        <w:r w:rsidRPr="00856839">
          <w:rPr>
            <w:noProof/>
            <w:webHidden/>
          </w:rPr>
          <w:fldChar w:fldCharType="end"/>
        </w:r>
      </w:hyperlink>
    </w:p>
    <w:p w14:paraId="52C006F6" w14:textId="13AD9F9C"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2" w:history="1">
        <w:r w:rsidRPr="00856839">
          <w:rPr>
            <w:rStyle w:val="Hyperlink"/>
            <w:rFonts w:eastAsia="Times New Roman" w:cs="Book Antiqua"/>
            <w:noProof/>
            <w:kern w:val="0"/>
            <w:lang w:val="en-GB" w:eastAsia="en-IN"/>
            <w14:ligatures w14:val="none"/>
          </w:rPr>
          <w:t>Table 1.4</w:t>
        </w:r>
        <w:r w:rsidRPr="00856839">
          <w:rPr>
            <w:rStyle w:val="Hyperlink"/>
            <w:rFonts w:eastAsia="Times New Roman"/>
            <w:noProof/>
            <w:kern w:val="0"/>
            <w:lang w:val="en-GB" w:eastAsia="en-IN"/>
            <w14:ligatures w14:val="none"/>
          </w:rPr>
          <w:t xml:space="preserve"> Country-wise real GDP data forecast (annual percent change)</w:t>
        </w:r>
        <w:r w:rsidRPr="00856839">
          <w:rPr>
            <w:noProof/>
            <w:webHidden/>
          </w:rPr>
          <w:tab/>
        </w:r>
        <w:r w:rsidRPr="00856839">
          <w:rPr>
            <w:noProof/>
            <w:webHidden/>
          </w:rPr>
          <w:fldChar w:fldCharType="begin"/>
        </w:r>
        <w:r w:rsidRPr="00856839">
          <w:rPr>
            <w:noProof/>
            <w:webHidden/>
          </w:rPr>
          <w:instrText xml:space="preserve"> PAGEREF _Toc198731452 \h </w:instrText>
        </w:r>
        <w:r w:rsidRPr="00856839">
          <w:rPr>
            <w:noProof/>
            <w:webHidden/>
          </w:rPr>
        </w:r>
        <w:r w:rsidRPr="00856839">
          <w:rPr>
            <w:noProof/>
            <w:webHidden/>
          </w:rPr>
          <w:fldChar w:fldCharType="separate"/>
        </w:r>
        <w:r w:rsidR="002142B9">
          <w:rPr>
            <w:noProof/>
            <w:webHidden/>
          </w:rPr>
          <w:t>11</w:t>
        </w:r>
        <w:r w:rsidRPr="00856839">
          <w:rPr>
            <w:noProof/>
            <w:webHidden/>
          </w:rPr>
          <w:fldChar w:fldCharType="end"/>
        </w:r>
      </w:hyperlink>
    </w:p>
    <w:p w14:paraId="2BD7DF10" w14:textId="06D0E025"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3" w:history="1">
        <w:r w:rsidRPr="00856839">
          <w:rPr>
            <w:rStyle w:val="Hyperlink"/>
            <w:rFonts w:eastAsia="Times New Roman" w:cs="Book Antiqua"/>
            <w:noProof/>
            <w:kern w:val="0"/>
            <w:lang w:val="en-GB" w:eastAsia="en-IN"/>
            <w14:ligatures w14:val="none"/>
          </w:rPr>
          <w:t>Table 1.5: Gross value added (GVA) at basic prices (base year: fiscal 2012) constant prices (Rs trillion)</w:t>
        </w:r>
        <w:r w:rsidRPr="00856839">
          <w:rPr>
            <w:noProof/>
            <w:webHidden/>
          </w:rPr>
          <w:tab/>
        </w:r>
        <w:r w:rsidRPr="00856839">
          <w:rPr>
            <w:noProof/>
            <w:webHidden/>
          </w:rPr>
          <w:fldChar w:fldCharType="begin"/>
        </w:r>
        <w:r w:rsidRPr="00856839">
          <w:rPr>
            <w:noProof/>
            <w:webHidden/>
          </w:rPr>
          <w:instrText xml:space="preserve"> PAGEREF _Toc198731453 \h </w:instrText>
        </w:r>
        <w:r w:rsidRPr="00856839">
          <w:rPr>
            <w:noProof/>
            <w:webHidden/>
          </w:rPr>
        </w:r>
        <w:r w:rsidRPr="00856839">
          <w:rPr>
            <w:noProof/>
            <w:webHidden/>
          </w:rPr>
          <w:fldChar w:fldCharType="separate"/>
        </w:r>
        <w:r w:rsidR="002142B9">
          <w:rPr>
            <w:noProof/>
            <w:webHidden/>
          </w:rPr>
          <w:t>14</w:t>
        </w:r>
        <w:r w:rsidRPr="00856839">
          <w:rPr>
            <w:noProof/>
            <w:webHidden/>
          </w:rPr>
          <w:fldChar w:fldCharType="end"/>
        </w:r>
      </w:hyperlink>
    </w:p>
    <w:p w14:paraId="13953E89" w14:textId="16338EF6"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4" w:history="1">
        <w:r w:rsidRPr="00856839">
          <w:rPr>
            <w:rStyle w:val="Hyperlink"/>
            <w:rFonts w:eastAsia="Times New Roman" w:cs="Book Antiqua"/>
            <w:noProof/>
            <w:kern w:val="0"/>
            <w:lang w:val="en-GB" w:eastAsia="en-IN"/>
            <w14:ligatures w14:val="none"/>
          </w:rPr>
          <w:t>Table 1.6: Gross value added (GVA) at basic prices (base year: fiscal 2012) current prices (Rs trillion)</w:t>
        </w:r>
        <w:r w:rsidRPr="00856839">
          <w:rPr>
            <w:noProof/>
            <w:webHidden/>
          </w:rPr>
          <w:tab/>
        </w:r>
        <w:r w:rsidRPr="00856839">
          <w:rPr>
            <w:noProof/>
            <w:webHidden/>
          </w:rPr>
          <w:fldChar w:fldCharType="begin"/>
        </w:r>
        <w:r w:rsidRPr="00856839">
          <w:rPr>
            <w:noProof/>
            <w:webHidden/>
          </w:rPr>
          <w:instrText xml:space="preserve"> PAGEREF _Toc198731454 \h </w:instrText>
        </w:r>
        <w:r w:rsidRPr="00856839">
          <w:rPr>
            <w:noProof/>
            <w:webHidden/>
          </w:rPr>
        </w:r>
        <w:r w:rsidRPr="00856839">
          <w:rPr>
            <w:noProof/>
            <w:webHidden/>
          </w:rPr>
          <w:fldChar w:fldCharType="separate"/>
        </w:r>
        <w:r w:rsidR="002142B9">
          <w:rPr>
            <w:noProof/>
            <w:webHidden/>
          </w:rPr>
          <w:t>15</w:t>
        </w:r>
        <w:r w:rsidRPr="00856839">
          <w:rPr>
            <w:noProof/>
            <w:webHidden/>
          </w:rPr>
          <w:fldChar w:fldCharType="end"/>
        </w:r>
      </w:hyperlink>
    </w:p>
    <w:p w14:paraId="5F8CB973" w14:textId="53002A97"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5" w:history="1">
        <w:r w:rsidRPr="00856839">
          <w:rPr>
            <w:rStyle w:val="Hyperlink"/>
            <w:noProof/>
          </w:rPr>
          <w:t>Table 1.7: Summary of the growth of Index of eight core industries (%)</w:t>
        </w:r>
        <w:r w:rsidRPr="00856839">
          <w:rPr>
            <w:noProof/>
            <w:webHidden/>
          </w:rPr>
          <w:tab/>
        </w:r>
        <w:r w:rsidRPr="00856839">
          <w:rPr>
            <w:noProof/>
            <w:webHidden/>
          </w:rPr>
          <w:fldChar w:fldCharType="begin"/>
        </w:r>
        <w:r w:rsidRPr="00856839">
          <w:rPr>
            <w:noProof/>
            <w:webHidden/>
          </w:rPr>
          <w:instrText xml:space="preserve"> PAGEREF _Toc198731455 \h </w:instrText>
        </w:r>
        <w:r w:rsidRPr="00856839">
          <w:rPr>
            <w:noProof/>
            <w:webHidden/>
          </w:rPr>
        </w:r>
        <w:r w:rsidRPr="00856839">
          <w:rPr>
            <w:noProof/>
            <w:webHidden/>
          </w:rPr>
          <w:fldChar w:fldCharType="separate"/>
        </w:r>
        <w:r w:rsidR="002142B9">
          <w:rPr>
            <w:noProof/>
            <w:webHidden/>
          </w:rPr>
          <w:t>16</w:t>
        </w:r>
        <w:r w:rsidRPr="00856839">
          <w:rPr>
            <w:noProof/>
            <w:webHidden/>
          </w:rPr>
          <w:fldChar w:fldCharType="end"/>
        </w:r>
      </w:hyperlink>
    </w:p>
    <w:p w14:paraId="34B36D02" w14:textId="486EB7AD"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6" w:history="1">
        <w:r w:rsidRPr="00856839">
          <w:rPr>
            <w:rStyle w:val="Hyperlink"/>
            <w:noProof/>
          </w:rPr>
          <w:t>Table 1.8</w:t>
        </w:r>
        <w:r w:rsidRPr="00856839">
          <w:rPr>
            <w:rStyle w:val="Hyperlink"/>
            <w:rFonts w:ascii="Aptos" w:eastAsia="Times New Roman" w:hAnsi="Aptos"/>
            <w:noProof/>
            <w:spacing w:val="12"/>
          </w:rPr>
          <w:t xml:space="preserve">: </w:t>
        </w:r>
        <w:r w:rsidRPr="00856839">
          <w:rPr>
            <w:rStyle w:val="Hyperlink"/>
            <w:noProof/>
          </w:rPr>
          <w:t>Peak Power Demand in India in MW</w:t>
        </w:r>
        <w:r w:rsidRPr="00856839">
          <w:rPr>
            <w:noProof/>
            <w:webHidden/>
          </w:rPr>
          <w:tab/>
        </w:r>
        <w:r w:rsidRPr="00856839">
          <w:rPr>
            <w:noProof/>
            <w:webHidden/>
          </w:rPr>
          <w:fldChar w:fldCharType="begin"/>
        </w:r>
        <w:r w:rsidRPr="00856839">
          <w:rPr>
            <w:noProof/>
            <w:webHidden/>
          </w:rPr>
          <w:instrText xml:space="preserve"> PAGEREF _Toc198731456 \h </w:instrText>
        </w:r>
        <w:r w:rsidRPr="00856839">
          <w:rPr>
            <w:noProof/>
            <w:webHidden/>
          </w:rPr>
        </w:r>
        <w:r w:rsidRPr="00856839">
          <w:rPr>
            <w:noProof/>
            <w:webHidden/>
          </w:rPr>
          <w:fldChar w:fldCharType="separate"/>
        </w:r>
        <w:r w:rsidR="002142B9">
          <w:rPr>
            <w:noProof/>
            <w:webHidden/>
          </w:rPr>
          <w:t>23</w:t>
        </w:r>
        <w:r w:rsidRPr="00856839">
          <w:rPr>
            <w:noProof/>
            <w:webHidden/>
          </w:rPr>
          <w:fldChar w:fldCharType="end"/>
        </w:r>
      </w:hyperlink>
    </w:p>
    <w:p w14:paraId="6269C5B5" w14:textId="5A893300"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7" w:history="1">
        <w:r w:rsidRPr="00856839">
          <w:rPr>
            <w:rStyle w:val="Hyperlink"/>
            <w:noProof/>
          </w:rPr>
          <w:t>Table 1.9</w:t>
        </w:r>
        <w:r w:rsidRPr="00856839">
          <w:rPr>
            <w:rStyle w:val="Hyperlink"/>
            <w:rFonts w:ascii="Aptos" w:eastAsia="Times New Roman" w:hAnsi="Aptos"/>
            <w:noProof/>
            <w:spacing w:val="12"/>
          </w:rPr>
          <w:t xml:space="preserve">: </w:t>
        </w:r>
        <w:r w:rsidRPr="00856839">
          <w:rPr>
            <w:rStyle w:val="Hyperlink"/>
            <w:noProof/>
          </w:rPr>
          <w:t>Emission Intensity by Route-India (Fiscal 2024)</w:t>
        </w:r>
        <w:r w:rsidRPr="00856839">
          <w:rPr>
            <w:noProof/>
            <w:webHidden/>
          </w:rPr>
          <w:tab/>
        </w:r>
        <w:r w:rsidRPr="00856839">
          <w:rPr>
            <w:noProof/>
            <w:webHidden/>
          </w:rPr>
          <w:fldChar w:fldCharType="begin"/>
        </w:r>
        <w:r w:rsidRPr="00856839">
          <w:rPr>
            <w:noProof/>
            <w:webHidden/>
          </w:rPr>
          <w:instrText xml:space="preserve"> PAGEREF _Toc198731457 \h </w:instrText>
        </w:r>
        <w:r w:rsidRPr="00856839">
          <w:rPr>
            <w:noProof/>
            <w:webHidden/>
          </w:rPr>
        </w:r>
        <w:r w:rsidRPr="00856839">
          <w:rPr>
            <w:noProof/>
            <w:webHidden/>
          </w:rPr>
          <w:fldChar w:fldCharType="separate"/>
        </w:r>
        <w:r w:rsidR="002142B9">
          <w:rPr>
            <w:noProof/>
            <w:webHidden/>
          </w:rPr>
          <w:t>25</w:t>
        </w:r>
        <w:r w:rsidRPr="00856839">
          <w:rPr>
            <w:noProof/>
            <w:webHidden/>
          </w:rPr>
          <w:fldChar w:fldCharType="end"/>
        </w:r>
      </w:hyperlink>
    </w:p>
    <w:p w14:paraId="0ED2A4BF" w14:textId="5C7667F5"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8" w:history="1">
        <w:r w:rsidRPr="00856839">
          <w:rPr>
            <w:rStyle w:val="Hyperlink"/>
            <w:noProof/>
          </w:rPr>
          <w:t>Table 2.1 Outlook on important mineral in India</w:t>
        </w:r>
        <w:r w:rsidRPr="00856839">
          <w:rPr>
            <w:noProof/>
            <w:webHidden/>
          </w:rPr>
          <w:tab/>
        </w:r>
        <w:r w:rsidRPr="00856839">
          <w:rPr>
            <w:noProof/>
            <w:webHidden/>
          </w:rPr>
          <w:fldChar w:fldCharType="begin"/>
        </w:r>
        <w:r w:rsidRPr="00856839">
          <w:rPr>
            <w:noProof/>
            <w:webHidden/>
          </w:rPr>
          <w:instrText xml:space="preserve"> PAGEREF _Toc198731458 \h </w:instrText>
        </w:r>
        <w:r w:rsidRPr="00856839">
          <w:rPr>
            <w:noProof/>
            <w:webHidden/>
          </w:rPr>
        </w:r>
        <w:r w:rsidRPr="00856839">
          <w:rPr>
            <w:noProof/>
            <w:webHidden/>
          </w:rPr>
          <w:fldChar w:fldCharType="separate"/>
        </w:r>
        <w:r w:rsidR="002142B9">
          <w:rPr>
            <w:noProof/>
            <w:webHidden/>
          </w:rPr>
          <w:t>41</w:t>
        </w:r>
        <w:r w:rsidRPr="00856839">
          <w:rPr>
            <w:noProof/>
            <w:webHidden/>
          </w:rPr>
          <w:fldChar w:fldCharType="end"/>
        </w:r>
      </w:hyperlink>
    </w:p>
    <w:p w14:paraId="4206EDC2" w14:textId="457EFD7E"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59" w:history="1">
        <w:r w:rsidRPr="00856839">
          <w:rPr>
            <w:rStyle w:val="Hyperlink"/>
            <w:noProof/>
          </w:rPr>
          <w:t>Table 2.2 Outlook on key critical mineral in India</w:t>
        </w:r>
        <w:r w:rsidRPr="00856839">
          <w:rPr>
            <w:noProof/>
            <w:webHidden/>
          </w:rPr>
          <w:tab/>
        </w:r>
        <w:r w:rsidRPr="00856839">
          <w:rPr>
            <w:noProof/>
            <w:webHidden/>
          </w:rPr>
          <w:fldChar w:fldCharType="begin"/>
        </w:r>
        <w:r w:rsidRPr="00856839">
          <w:rPr>
            <w:noProof/>
            <w:webHidden/>
          </w:rPr>
          <w:instrText xml:space="preserve"> PAGEREF _Toc198731459 \h </w:instrText>
        </w:r>
        <w:r w:rsidRPr="00856839">
          <w:rPr>
            <w:noProof/>
            <w:webHidden/>
          </w:rPr>
        </w:r>
        <w:r w:rsidRPr="00856839">
          <w:rPr>
            <w:noProof/>
            <w:webHidden/>
          </w:rPr>
          <w:fldChar w:fldCharType="separate"/>
        </w:r>
        <w:r w:rsidR="002142B9">
          <w:rPr>
            <w:noProof/>
            <w:webHidden/>
          </w:rPr>
          <w:t>43</w:t>
        </w:r>
        <w:r w:rsidRPr="00856839">
          <w:rPr>
            <w:noProof/>
            <w:webHidden/>
          </w:rPr>
          <w:fldChar w:fldCharType="end"/>
        </w:r>
      </w:hyperlink>
    </w:p>
    <w:p w14:paraId="1EDBF210" w14:textId="33CF9C4C"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0" w:history="1">
        <w:r w:rsidRPr="00856839">
          <w:rPr>
            <w:rStyle w:val="Hyperlink"/>
            <w:noProof/>
          </w:rPr>
          <w:t>Table 3.1: Estimated total coal production (MMT)</w:t>
        </w:r>
        <w:r w:rsidRPr="00856839">
          <w:rPr>
            <w:noProof/>
            <w:webHidden/>
          </w:rPr>
          <w:tab/>
        </w:r>
        <w:r w:rsidRPr="00856839">
          <w:rPr>
            <w:noProof/>
            <w:webHidden/>
          </w:rPr>
          <w:fldChar w:fldCharType="begin"/>
        </w:r>
        <w:r w:rsidRPr="00856839">
          <w:rPr>
            <w:noProof/>
            <w:webHidden/>
          </w:rPr>
          <w:instrText xml:space="preserve"> PAGEREF _Toc198731460 \h </w:instrText>
        </w:r>
        <w:r w:rsidRPr="00856839">
          <w:rPr>
            <w:noProof/>
            <w:webHidden/>
          </w:rPr>
        </w:r>
        <w:r w:rsidRPr="00856839">
          <w:rPr>
            <w:noProof/>
            <w:webHidden/>
          </w:rPr>
          <w:fldChar w:fldCharType="separate"/>
        </w:r>
        <w:r w:rsidR="002142B9">
          <w:rPr>
            <w:noProof/>
            <w:webHidden/>
          </w:rPr>
          <w:t>49</w:t>
        </w:r>
        <w:r w:rsidRPr="00856839">
          <w:rPr>
            <w:noProof/>
            <w:webHidden/>
          </w:rPr>
          <w:fldChar w:fldCharType="end"/>
        </w:r>
      </w:hyperlink>
    </w:p>
    <w:p w14:paraId="76E20755" w14:textId="3EABDB10"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1" w:history="1">
        <w:r w:rsidRPr="00856839">
          <w:rPr>
            <w:rStyle w:val="Hyperlink"/>
            <w:noProof/>
          </w:rPr>
          <w:t>Table 3.2: CIL year wise upcoming mines including expansion</w:t>
        </w:r>
        <w:r w:rsidRPr="00856839">
          <w:rPr>
            <w:noProof/>
            <w:webHidden/>
          </w:rPr>
          <w:tab/>
        </w:r>
        <w:r w:rsidRPr="00856839">
          <w:rPr>
            <w:noProof/>
            <w:webHidden/>
          </w:rPr>
          <w:fldChar w:fldCharType="begin"/>
        </w:r>
        <w:r w:rsidRPr="00856839">
          <w:rPr>
            <w:noProof/>
            <w:webHidden/>
          </w:rPr>
          <w:instrText xml:space="preserve"> PAGEREF _Toc198731461 \h </w:instrText>
        </w:r>
        <w:r w:rsidRPr="00856839">
          <w:rPr>
            <w:noProof/>
            <w:webHidden/>
          </w:rPr>
        </w:r>
        <w:r w:rsidRPr="00856839">
          <w:rPr>
            <w:noProof/>
            <w:webHidden/>
          </w:rPr>
          <w:fldChar w:fldCharType="separate"/>
        </w:r>
        <w:r w:rsidR="002142B9">
          <w:rPr>
            <w:noProof/>
            <w:webHidden/>
          </w:rPr>
          <w:t>49</w:t>
        </w:r>
        <w:r w:rsidRPr="00856839">
          <w:rPr>
            <w:noProof/>
            <w:webHidden/>
          </w:rPr>
          <w:fldChar w:fldCharType="end"/>
        </w:r>
      </w:hyperlink>
    </w:p>
    <w:p w14:paraId="58403892" w14:textId="61FFCB47"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2" w:history="1">
        <w:r w:rsidRPr="00856839">
          <w:rPr>
            <w:rStyle w:val="Hyperlink"/>
            <w:noProof/>
          </w:rPr>
          <w:t>Table 4.1 Service offerings and companies considered for benchmarking</w:t>
        </w:r>
        <w:r w:rsidRPr="00856839">
          <w:rPr>
            <w:noProof/>
            <w:webHidden/>
          </w:rPr>
          <w:tab/>
        </w:r>
        <w:r w:rsidRPr="00856839">
          <w:rPr>
            <w:noProof/>
            <w:webHidden/>
          </w:rPr>
          <w:fldChar w:fldCharType="begin"/>
        </w:r>
        <w:r w:rsidRPr="00856839">
          <w:rPr>
            <w:noProof/>
            <w:webHidden/>
          </w:rPr>
          <w:instrText xml:space="preserve"> PAGEREF _Toc198731462 \h </w:instrText>
        </w:r>
        <w:r w:rsidRPr="00856839">
          <w:rPr>
            <w:noProof/>
            <w:webHidden/>
          </w:rPr>
        </w:r>
        <w:r w:rsidRPr="00856839">
          <w:rPr>
            <w:noProof/>
            <w:webHidden/>
          </w:rPr>
          <w:fldChar w:fldCharType="separate"/>
        </w:r>
        <w:r w:rsidR="002142B9">
          <w:rPr>
            <w:noProof/>
            <w:webHidden/>
          </w:rPr>
          <w:t>63</w:t>
        </w:r>
        <w:r w:rsidRPr="00856839">
          <w:rPr>
            <w:noProof/>
            <w:webHidden/>
          </w:rPr>
          <w:fldChar w:fldCharType="end"/>
        </w:r>
      </w:hyperlink>
    </w:p>
    <w:p w14:paraId="32C71A13" w14:textId="2D265429"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3" w:history="1">
        <w:r w:rsidRPr="00856839">
          <w:rPr>
            <w:rStyle w:val="Hyperlink"/>
            <w:noProof/>
          </w:rPr>
          <w:t>Table 4.2 Mining Plan Preparing Agency (MPPA)</w:t>
        </w:r>
        <w:r w:rsidRPr="00856839">
          <w:rPr>
            <w:noProof/>
            <w:webHidden/>
          </w:rPr>
          <w:tab/>
        </w:r>
        <w:r w:rsidRPr="00856839">
          <w:rPr>
            <w:noProof/>
            <w:webHidden/>
          </w:rPr>
          <w:fldChar w:fldCharType="begin"/>
        </w:r>
        <w:r w:rsidRPr="00856839">
          <w:rPr>
            <w:noProof/>
            <w:webHidden/>
          </w:rPr>
          <w:instrText xml:space="preserve"> PAGEREF _Toc198731463 \h </w:instrText>
        </w:r>
        <w:r w:rsidRPr="00856839">
          <w:rPr>
            <w:noProof/>
            <w:webHidden/>
          </w:rPr>
        </w:r>
        <w:r w:rsidRPr="00856839">
          <w:rPr>
            <w:noProof/>
            <w:webHidden/>
          </w:rPr>
          <w:fldChar w:fldCharType="separate"/>
        </w:r>
        <w:r w:rsidR="002142B9">
          <w:rPr>
            <w:noProof/>
            <w:webHidden/>
          </w:rPr>
          <w:t>63</w:t>
        </w:r>
        <w:r w:rsidRPr="00856839">
          <w:rPr>
            <w:noProof/>
            <w:webHidden/>
          </w:rPr>
          <w:fldChar w:fldCharType="end"/>
        </w:r>
      </w:hyperlink>
    </w:p>
    <w:p w14:paraId="1B4006FF" w14:textId="32777BEB"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4" w:history="1">
        <w:r w:rsidRPr="00856839">
          <w:rPr>
            <w:rStyle w:val="Hyperlink"/>
            <w:noProof/>
          </w:rPr>
          <w:t>Table 4.3 List of Accredited EIA Consultant Organisations</w:t>
        </w:r>
        <w:r w:rsidRPr="00856839">
          <w:rPr>
            <w:noProof/>
            <w:webHidden/>
          </w:rPr>
          <w:tab/>
        </w:r>
        <w:r w:rsidRPr="00856839">
          <w:rPr>
            <w:noProof/>
            <w:webHidden/>
          </w:rPr>
          <w:fldChar w:fldCharType="begin"/>
        </w:r>
        <w:r w:rsidRPr="00856839">
          <w:rPr>
            <w:noProof/>
            <w:webHidden/>
          </w:rPr>
          <w:instrText xml:space="preserve"> PAGEREF _Toc198731464 \h </w:instrText>
        </w:r>
        <w:r w:rsidRPr="00856839">
          <w:rPr>
            <w:noProof/>
            <w:webHidden/>
          </w:rPr>
        </w:r>
        <w:r w:rsidRPr="00856839">
          <w:rPr>
            <w:noProof/>
            <w:webHidden/>
          </w:rPr>
          <w:fldChar w:fldCharType="separate"/>
        </w:r>
        <w:r w:rsidR="002142B9">
          <w:rPr>
            <w:noProof/>
            <w:webHidden/>
          </w:rPr>
          <w:t>64</w:t>
        </w:r>
        <w:r w:rsidRPr="00856839">
          <w:rPr>
            <w:noProof/>
            <w:webHidden/>
          </w:rPr>
          <w:fldChar w:fldCharType="end"/>
        </w:r>
      </w:hyperlink>
    </w:p>
    <w:p w14:paraId="0259320B" w14:textId="2CD9A3BD"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5" w:history="1">
        <w:r w:rsidRPr="00856839">
          <w:rPr>
            <w:rStyle w:val="Hyperlink"/>
            <w:noProof/>
          </w:rPr>
          <w:t>Table 4.4 Total Revenue from Operations (Rs million) and CAGR 2020-25 (%)</w:t>
        </w:r>
        <w:r w:rsidRPr="00856839">
          <w:rPr>
            <w:noProof/>
            <w:webHidden/>
          </w:rPr>
          <w:tab/>
        </w:r>
        <w:r w:rsidRPr="00856839">
          <w:rPr>
            <w:noProof/>
            <w:webHidden/>
          </w:rPr>
          <w:fldChar w:fldCharType="begin"/>
        </w:r>
        <w:r w:rsidRPr="00856839">
          <w:rPr>
            <w:noProof/>
            <w:webHidden/>
          </w:rPr>
          <w:instrText xml:space="preserve"> PAGEREF _Toc198731465 \h </w:instrText>
        </w:r>
        <w:r w:rsidRPr="00856839">
          <w:rPr>
            <w:noProof/>
            <w:webHidden/>
          </w:rPr>
        </w:r>
        <w:r w:rsidRPr="00856839">
          <w:rPr>
            <w:noProof/>
            <w:webHidden/>
          </w:rPr>
          <w:fldChar w:fldCharType="separate"/>
        </w:r>
        <w:r w:rsidR="002142B9">
          <w:rPr>
            <w:noProof/>
            <w:webHidden/>
          </w:rPr>
          <w:t>66</w:t>
        </w:r>
        <w:r w:rsidRPr="00856839">
          <w:rPr>
            <w:noProof/>
            <w:webHidden/>
          </w:rPr>
          <w:fldChar w:fldCharType="end"/>
        </w:r>
      </w:hyperlink>
    </w:p>
    <w:p w14:paraId="32E17576" w14:textId="346B5A6F"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6" w:history="1">
        <w:r w:rsidRPr="00856839">
          <w:rPr>
            <w:rStyle w:val="Hyperlink"/>
            <w:noProof/>
          </w:rPr>
          <w:t>Table 4.5 Operating EBITDA (Rs million) and CAGR 2020-25 (%)</w:t>
        </w:r>
        <w:r w:rsidRPr="00856839">
          <w:rPr>
            <w:noProof/>
            <w:webHidden/>
          </w:rPr>
          <w:tab/>
        </w:r>
        <w:r w:rsidRPr="00856839">
          <w:rPr>
            <w:noProof/>
            <w:webHidden/>
          </w:rPr>
          <w:fldChar w:fldCharType="begin"/>
        </w:r>
        <w:r w:rsidRPr="00856839">
          <w:rPr>
            <w:noProof/>
            <w:webHidden/>
          </w:rPr>
          <w:instrText xml:space="preserve"> PAGEREF _Toc198731466 \h </w:instrText>
        </w:r>
        <w:r w:rsidRPr="00856839">
          <w:rPr>
            <w:noProof/>
            <w:webHidden/>
          </w:rPr>
        </w:r>
        <w:r w:rsidRPr="00856839">
          <w:rPr>
            <w:noProof/>
            <w:webHidden/>
          </w:rPr>
          <w:fldChar w:fldCharType="separate"/>
        </w:r>
        <w:r w:rsidR="002142B9">
          <w:rPr>
            <w:noProof/>
            <w:webHidden/>
          </w:rPr>
          <w:t>68</w:t>
        </w:r>
        <w:r w:rsidRPr="00856839">
          <w:rPr>
            <w:noProof/>
            <w:webHidden/>
          </w:rPr>
          <w:fldChar w:fldCharType="end"/>
        </w:r>
      </w:hyperlink>
    </w:p>
    <w:p w14:paraId="0E6402D2" w14:textId="157926D3"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7" w:history="1">
        <w:r w:rsidRPr="00856839">
          <w:rPr>
            <w:rStyle w:val="Hyperlink"/>
            <w:noProof/>
          </w:rPr>
          <w:t>Table 4.6 Operating EBITDA margins (% of Revenue from Operations)</w:t>
        </w:r>
        <w:r w:rsidRPr="00856839">
          <w:rPr>
            <w:noProof/>
            <w:webHidden/>
          </w:rPr>
          <w:tab/>
        </w:r>
        <w:r w:rsidRPr="00856839">
          <w:rPr>
            <w:noProof/>
            <w:webHidden/>
          </w:rPr>
          <w:fldChar w:fldCharType="begin"/>
        </w:r>
        <w:r w:rsidRPr="00856839">
          <w:rPr>
            <w:noProof/>
            <w:webHidden/>
          </w:rPr>
          <w:instrText xml:space="preserve"> PAGEREF _Toc198731467 \h </w:instrText>
        </w:r>
        <w:r w:rsidRPr="00856839">
          <w:rPr>
            <w:noProof/>
            <w:webHidden/>
          </w:rPr>
        </w:r>
        <w:r w:rsidRPr="00856839">
          <w:rPr>
            <w:noProof/>
            <w:webHidden/>
          </w:rPr>
          <w:fldChar w:fldCharType="separate"/>
        </w:r>
        <w:r w:rsidR="002142B9">
          <w:rPr>
            <w:noProof/>
            <w:webHidden/>
          </w:rPr>
          <w:t>68</w:t>
        </w:r>
        <w:r w:rsidRPr="00856839">
          <w:rPr>
            <w:noProof/>
            <w:webHidden/>
          </w:rPr>
          <w:fldChar w:fldCharType="end"/>
        </w:r>
      </w:hyperlink>
    </w:p>
    <w:p w14:paraId="2DCCD954" w14:textId="63D31F9A"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8" w:history="1">
        <w:r w:rsidRPr="00856839">
          <w:rPr>
            <w:rStyle w:val="Hyperlink"/>
            <w:noProof/>
          </w:rPr>
          <w:t>Table 4.7 EBITDA (Rs million) and CAGR 2020-25 (%)</w:t>
        </w:r>
        <w:r w:rsidRPr="00856839">
          <w:rPr>
            <w:noProof/>
            <w:webHidden/>
          </w:rPr>
          <w:tab/>
        </w:r>
        <w:r w:rsidRPr="00856839">
          <w:rPr>
            <w:noProof/>
            <w:webHidden/>
          </w:rPr>
          <w:fldChar w:fldCharType="begin"/>
        </w:r>
        <w:r w:rsidRPr="00856839">
          <w:rPr>
            <w:noProof/>
            <w:webHidden/>
          </w:rPr>
          <w:instrText xml:space="preserve"> PAGEREF _Toc198731468 \h </w:instrText>
        </w:r>
        <w:r w:rsidRPr="00856839">
          <w:rPr>
            <w:noProof/>
            <w:webHidden/>
          </w:rPr>
        </w:r>
        <w:r w:rsidRPr="00856839">
          <w:rPr>
            <w:noProof/>
            <w:webHidden/>
          </w:rPr>
          <w:fldChar w:fldCharType="separate"/>
        </w:r>
        <w:r w:rsidR="002142B9">
          <w:rPr>
            <w:noProof/>
            <w:webHidden/>
          </w:rPr>
          <w:t>69</w:t>
        </w:r>
        <w:r w:rsidRPr="00856839">
          <w:rPr>
            <w:noProof/>
            <w:webHidden/>
          </w:rPr>
          <w:fldChar w:fldCharType="end"/>
        </w:r>
      </w:hyperlink>
    </w:p>
    <w:p w14:paraId="26BA3758" w14:textId="35704491"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69" w:history="1">
        <w:r w:rsidRPr="00856839">
          <w:rPr>
            <w:rStyle w:val="Hyperlink"/>
            <w:noProof/>
          </w:rPr>
          <w:t>Table 4.8 EBITDA margins (% of Total Income)</w:t>
        </w:r>
        <w:r w:rsidRPr="00856839">
          <w:rPr>
            <w:noProof/>
            <w:webHidden/>
          </w:rPr>
          <w:tab/>
        </w:r>
        <w:r w:rsidRPr="00856839">
          <w:rPr>
            <w:noProof/>
            <w:webHidden/>
          </w:rPr>
          <w:fldChar w:fldCharType="begin"/>
        </w:r>
        <w:r w:rsidRPr="00856839">
          <w:rPr>
            <w:noProof/>
            <w:webHidden/>
          </w:rPr>
          <w:instrText xml:space="preserve"> PAGEREF _Toc198731469 \h </w:instrText>
        </w:r>
        <w:r w:rsidRPr="00856839">
          <w:rPr>
            <w:noProof/>
            <w:webHidden/>
          </w:rPr>
        </w:r>
        <w:r w:rsidRPr="00856839">
          <w:rPr>
            <w:noProof/>
            <w:webHidden/>
          </w:rPr>
          <w:fldChar w:fldCharType="separate"/>
        </w:r>
        <w:r w:rsidR="002142B9">
          <w:rPr>
            <w:noProof/>
            <w:webHidden/>
          </w:rPr>
          <w:t>69</w:t>
        </w:r>
        <w:r w:rsidRPr="00856839">
          <w:rPr>
            <w:noProof/>
            <w:webHidden/>
          </w:rPr>
          <w:fldChar w:fldCharType="end"/>
        </w:r>
      </w:hyperlink>
    </w:p>
    <w:p w14:paraId="50E9FDEA" w14:textId="2F033E8D"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0" w:history="1">
        <w:r w:rsidRPr="00856839">
          <w:rPr>
            <w:rStyle w:val="Hyperlink"/>
            <w:noProof/>
          </w:rPr>
          <w:t>Table 4.9 Profit After Tax (PAT) (Rs million)</w:t>
        </w:r>
        <w:r w:rsidRPr="00856839">
          <w:rPr>
            <w:noProof/>
            <w:webHidden/>
          </w:rPr>
          <w:tab/>
        </w:r>
        <w:r w:rsidRPr="00856839">
          <w:rPr>
            <w:noProof/>
            <w:webHidden/>
          </w:rPr>
          <w:fldChar w:fldCharType="begin"/>
        </w:r>
        <w:r w:rsidRPr="00856839">
          <w:rPr>
            <w:noProof/>
            <w:webHidden/>
          </w:rPr>
          <w:instrText xml:space="preserve"> PAGEREF _Toc198731470 \h </w:instrText>
        </w:r>
        <w:r w:rsidRPr="00856839">
          <w:rPr>
            <w:noProof/>
            <w:webHidden/>
          </w:rPr>
        </w:r>
        <w:r w:rsidRPr="00856839">
          <w:rPr>
            <w:noProof/>
            <w:webHidden/>
          </w:rPr>
          <w:fldChar w:fldCharType="separate"/>
        </w:r>
        <w:r w:rsidR="002142B9">
          <w:rPr>
            <w:noProof/>
            <w:webHidden/>
          </w:rPr>
          <w:t>70</w:t>
        </w:r>
        <w:r w:rsidRPr="00856839">
          <w:rPr>
            <w:noProof/>
            <w:webHidden/>
          </w:rPr>
          <w:fldChar w:fldCharType="end"/>
        </w:r>
      </w:hyperlink>
    </w:p>
    <w:p w14:paraId="3BBED6C5" w14:textId="2A8372D4"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1" w:history="1">
        <w:r w:rsidRPr="00856839">
          <w:rPr>
            <w:rStyle w:val="Hyperlink"/>
            <w:noProof/>
          </w:rPr>
          <w:t>Table 4.10 PAT margins (% of Total Income)</w:t>
        </w:r>
        <w:r w:rsidRPr="00856839">
          <w:rPr>
            <w:noProof/>
            <w:webHidden/>
          </w:rPr>
          <w:tab/>
        </w:r>
        <w:r w:rsidRPr="00856839">
          <w:rPr>
            <w:noProof/>
            <w:webHidden/>
          </w:rPr>
          <w:fldChar w:fldCharType="begin"/>
        </w:r>
        <w:r w:rsidRPr="00856839">
          <w:rPr>
            <w:noProof/>
            <w:webHidden/>
          </w:rPr>
          <w:instrText xml:space="preserve"> PAGEREF _Toc198731471 \h </w:instrText>
        </w:r>
        <w:r w:rsidRPr="00856839">
          <w:rPr>
            <w:noProof/>
            <w:webHidden/>
          </w:rPr>
        </w:r>
        <w:r w:rsidRPr="00856839">
          <w:rPr>
            <w:noProof/>
            <w:webHidden/>
          </w:rPr>
          <w:fldChar w:fldCharType="separate"/>
        </w:r>
        <w:r w:rsidR="002142B9">
          <w:rPr>
            <w:noProof/>
            <w:webHidden/>
          </w:rPr>
          <w:t>70</w:t>
        </w:r>
        <w:r w:rsidRPr="00856839">
          <w:rPr>
            <w:noProof/>
            <w:webHidden/>
          </w:rPr>
          <w:fldChar w:fldCharType="end"/>
        </w:r>
      </w:hyperlink>
    </w:p>
    <w:p w14:paraId="23421876" w14:textId="0FD8ED0F"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2" w:history="1">
        <w:r w:rsidRPr="00856839">
          <w:rPr>
            <w:rStyle w:val="Hyperlink"/>
            <w:noProof/>
          </w:rPr>
          <w:t>Table 4.11 Return on Equity (ROAE) (%)</w:t>
        </w:r>
        <w:r w:rsidRPr="00856839">
          <w:rPr>
            <w:noProof/>
            <w:webHidden/>
          </w:rPr>
          <w:tab/>
        </w:r>
        <w:r w:rsidRPr="00856839">
          <w:rPr>
            <w:noProof/>
            <w:webHidden/>
          </w:rPr>
          <w:fldChar w:fldCharType="begin"/>
        </w:r>
        <w:r w:rsidRPr="00856839">
          <w:rPr>
            <w:noProof/>
            <w:webHidden/>
          </w:rPr>
          <w:instrText xml:space="preserve"> PAGEREF _Toc198731472 \h </w:instrText>
        </w:r>
        <w:r w:rsidRPr="00856839">
          <w:rPr>
            <w:noProof/>
            <w:webHidden/>
          </w:rPr>
        </w:r>
        <w:r w:rsidRPr="00856839">
          <w:rPr>
            <w:noProof/>
            <w:webHidden/>
          </w:rPr>
          <w:fldChar w:fldCharType="separate"/>
        </w:r>
        <w:r w:rsidR="002142B9">
          <w:rPr>
            <w:noProof/>
            <w:webHidden/>
          </w:rPr>
          <w:t>71</w:t>
        </w:r>
        <w:r w:rsidRPr="00856839">
          <w:rPr>
            <w:noProof/>
            <w:webHidden/>
          </w:rPr>
          <w:fldChar w:fldCharType="end"/>
        </w:r>
      </w:hyperlink>
    </w:p>
    <w:p w14:paraId="39B138FD" w14:textId="100B1B37"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3" w:history="1">
        <w:r w:rsidRPr="00856839">
          <w:rPr>
            <w:rStyle w:val="Hyperlink"/>
            <w:noProof/>
          </w:rPr>
          <w:t>Table 4.12 Return on Capital Average Employed (RoACE) (%)</w:t>
        </w:r>
        <w:r w:rsidRPr="00856839">
          <w:rPr>
            <w:noProof/>
            <w:webHidden/>
          </w:rPr>
          <w:tab/>
        </w:r>
        <w:r w:rsidRPr="00856839">
          <w:rPr>
            <w:noProof/>
            <w:webHidden/>
          </w:rPr>
          <w:fldChar w:fldCharType="begin"/>
        </w:r>
        <w:r w:rsidRPr="00856839">
          <w:rPr>
            <w:noProof/>
            <w:webHidden/>
          </w:rPr>
          <w:instrText xml:space="preserve"> PAGEREF _Toc198731473 \h </w:instrText>
        </w:r>
        <w:r w:rsidRPr="00856839">
          <w:rPr>
            <w:noProof/>
            <w:webHidden/>
          </w:rPr>
        </w:r>
        <w:r w:rsidRPr="00856839">
          <w:rPr>
            <w:noProof/>
            <w:webHidden/>
          </w:rPr>
          <w:fldChar w:fldCharType="separate"/>
        </w:r>
        <w:r w:rsidR="002142B9">
          <w:rPr>
            <w:noProof/>
            <w:webHidden/>
          </w:rPr>
          <w:t>71</w:t>
        </w:r>
        <w:r w:rsidRPr="00856839">
          <w:rPr>
            <w:noProof/>
            <w:webHidden/>
          </w:rPr>
          <w:fldChar w:fldCharType="end"/>
        </w:r>
      </w:hyperlink>
    </w:p>
    <w:p w14:paraId="5EE41EBF" w14:textId="151FBA64"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4" w:history="1">
        <w:r w:rsidRPr="00856839">
          <w:rPr>
            <w:rStyle w:val="Hyperlink"/>
            <w:noProof/>
          </w:rPr>
          <w:t>Table 4.13 Employee Benefit Expenses per Revenue from Operations (%)</w:t>
        </w:r>
        <w:r w:rsidRPr="00856839">
          <w:rPr>
            <w:noProof/>
            <w:webHidden/>
          </w:rPr>
          <w:tab/>
        </w:r>
        <w:r w:rsidRPr="00856839">
          <w:rPr>
            <w:noProof/>
            <w:webHidden/>
          </w:rPr>
          <w:fldChar w:fldCharType="begin"/>
        </w:r>
        <w:r w:rsidRPr="00856839">
          <w:rPr>
            <w:noProof/>
            <w:webHidden/>
          </w:rPr>
          <w:instrText xml:space="preserve"> PAGEREF _Toc198731474 \h </w:instrText>
        </w:r>
        <w:r w:rsidRPr="00856839">
          <w:rPr>
            <w:noProof/>
            <w:webHidden/>
          </w:rPr>
        </w:r>
        <w:r w:rsidRPr="00856839">
          <w:rPr>
            <w:noProof/>
            <w:webHidden/>
          </w:rPr>
          <w:fldChar w:fldCharType="separate"/>
        </w:r>
        <w:r w:rsidR="002142B9">
          <w:rPr>
            <w:noProof/>
            <w:webHidden/>
          </w:rPr>
          <w:t>72</w:t>
        </w:r>
        <w:r w:rsidRPr="00856839">
          <w:rPr>
            <w:noProof/>
            <w:webHidden/>
          </w:rPr>
          <w:fldChar w:fldCharType="end"/>
        </w:r>
      </w:hyperlink>
    </w:p>
    <w:p w14:paraId="707C613F" w14:textId="7D3E44A6"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5" w:history="1">
        <w:r w:rsidRPr="00856839">
          <w:rPr>
            <w:rStyle w:val="Hyperlink"/>
            <w:noProof/>
          </w:rPr>
          <w:t>Table 4.14 PAT per Employee Expenses</w:t>
        </w:r>
        <w:r w:rsidRPr="00856839">
          <w:rPr>
            <w:noProof/>
            <w:webHidden/>
          </w:rPr>
          <w:tab/>
        </w:r>
        <w:r w:rsidRPr="00856839">
          <w:rPr>
            <w:noProof/>
            <w:webHidden/>
          </w:rPr>
          <w:fldChar w:fldCharType="begin"/>
        </w:r>
        <w:r w:rsidRPr="00856839">
          <w:rPr>
            <w:noProof/>
            <w:webHidden/>
          </w:rPr>
          <w:instrText xml:space="preserve"> PAGEREF _Toc198731475 \h </w:instrText>
        </w:r>
        <w:r w:rsidRPr="00856839">
          <w:rPr>
            <w:noProof/>
            <w:webHidden/>
          </w:rPr>
        </w:r>
        <w:r w:rsidRPr="00856839">
          <w:rPr>
            <w:noProof/>
            <w:webHidden/>
          </w:rPr>
          <w:fldChar w:fldCharType="separate"/>
        </w:r>
        <w:r w:rsidR="002142B9">
          <w:rPr>
            <w:noProof/>
            <w:webHidden/>
          </w:rPr>
          <w:t>72</w:t>
        </w:r>
        <w:r w:rsidRPr="00856839">
          <w:rPr>
            <w:noProof/>
            <w:webHidden/>
          </w:rPr>
          <w:fldChar w:fldCharType="end"/>
        </w:r>
      </w:hyperlink>
    </w:p>
    <w:p w14:paraId="6EABA23F" w14:textId="58DC8898"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6" w:history="1">
        <w:r w:rsidRPr="00856839">
          <w:rPr>
            <w:rStyle w:val="Hyperlink"/>
            <w:noProof/>
          </w:rPr>
          <w:t>Table 4.15 Asset Turnover Ratio</w:t>
        </w:r>
        <w:r w:rsidRPr="00856839">
          <w:rPr>
            <w:noProof/>
            <w:webHidden/>
          </w:rPr>
          <w:tab/>
        </w:r>
        <w:r w:rsidRPr="00856839">
          <w:rPr>
            <w:noProof/>
            <w:webHidden/>
          </w:rPr>
          <w:fldChar w:fldCharType="begin"/>
        </w:r>
        <w:r w:rsidRPr="00856839">
          <w:rPr>
            <w:noProof/>
            <w:webHidden/>
          </w:rPr>
          <w:instrText xml:space="preserve"> PAGEREF _Toc198731476 \h </w:instrText>
        </w:r>
        <w:r w:rsidRPr="00856839">
          <w:rPr>
            <w:noProof/>
            <w:webHidden/>
          </w:rPr>
        </w:r>
        <w:r w:rsidRPr="00856839">
          <w:rPr>
            <w:noProof/>
            <w:webHidden/>
          </w:rPr>
          <w:fldChar w:fldCharType="separate"/>
        </w:r>
        <w:r w:rsidR="002142B9">
          <w:rPr>
            <w:noProof/>
            <w:webHidden/>
          </w:rPr>
          <w:t>73</w:t>
        </w:r>
        <w:r w:rsidRPr="00856839">
          <w:rPr>
            <w:noProof/>
            <w:webHidden/>
          </w:rPr>
          <w:fldChar w:fldCharType="end"/>
        </w:r>
      </w:hyperlink>
    </w:p>
    <w:p w14:paraId="497C4E89" w14:textId="1F710577"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7" w:history="1">
        <w:r w:rsidRPr="00856839">
          <w:rPr>
            <w:rStyle w:val="Hyperlink"/>
            <w:noProof/>
          </w:rPr>
          <w:t>Table 4.16 Net Asset Value per Share</w:t>
        </w:r>
        <w:r w:rsidRPr="00856839">
          <w:rPr>
            <w:noProof/>
            <w:webHidden/>
          </w:rPr>
          <w:tab/>
        </w:r>
        <w:r w:rsidRPr="00856839">
          <w:rPr>
            <w:noProof/>
            <w:webHidden/>
          </w:rPr>
          <w:fldChar w:fldCharType="begin"/>
        </w:r>
        <w:r w:rsidRPr="00856839">
          <w:rPr>
            <w:noProof/>
            <w:webHidden/>
          </w:rPr>
          <w:instrText xml:space="preserve"> PAGEREF _Toc198731477 \h </w:instrText>
        </w:r>
        <w:r w:rsidRPr="00856839">
          <w:rPr>
            <w:noProof/>
            <w:webHidden/>
          </w:rPr>
        </w:r>
        <w:r w:rsidRPr="00856839">
          <w:rPr>
            <w:noProof/>
            <w:webHidden/>
          </w:rPr>
          <w:fldChar w:fldCharType="separate"/>
        </w:r>
        <w:r w:rsidR="002142B9">
          <w:rPr>
            <w:noProof/>
            <w:webHidden/>
          </w:rPr>
          <w:t>73</w:t>
        </w:r>
        <w:r w:rsidRPr="00856839">
          <w:rPr>
            <w:noProof/>
            <w:webHidden/>
          </w:rPr>
          <w:fldChar w:fldCharType="end"/>
        </w:r>
      </w:hyperlink>
    </w:p>
    <w:p w14:paraId="40DDBD27" w14:textId="4DEB5C54"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8" w:history="1">
        <w:r w:rsidRPr="00856839">
          <w:rPr>
            <w:rStyle w:val="Hyperlink"/>
            <w:noProof/>
          </w:rPr>
          <w:t>Table 4.17 Earning per Share (EPS – Basic &amp; Diluted)</w:t>
        </w:r>
        <w:r w:rsidRPr="00856839">
          <w:rPr>
            <w:noProof/>
            <w:webHidden/>
          </w:rPr>
          <w:tab/>
        </w:r>
        <w:r w:rsidRPr="00856839">
          <w:rPr>
            <w:noProof/>
            <w:webHidden/>
          </w:rPr>
          <w:fldChar w:fldCharType="begin"/>
        </w:r>
        <w:r w:rsidRPr="00856839">
          <w:rPr>
            <w:noProof/>
            <w:webHidden/>
          </w:rPr>
          <w:instrText xml:space="preserve"> PAGEREF _Toc198731478 \h </w:instrText>
        </w:r>
        <w:r w:rsidRPr="00856839">
          <w:rPr>
            <w:noProof/>
            <w:webHidden/>
          </w:rPr>
        </w:r>
        <w:r w:rsidRPr="00856839">
          <w:rPr>
            <w:noProof/>
            <w:webHidden/>
          </w:rPr>
          <w:fldChar w:fldCharType="separate"/>
        </w:r>
        <w:r w:rsidR="002142B9">
          <w:rPr>
            <w:noProof/>
            <w:webHidden/>
          </w:rPr>
          <w:t>74</w:t>
        </w:r>
        <w:r w:rsidRPr="00856839">
          <w:rPr>
            <w:noProof/>
            <w:webHidden/>
          </w:rPr>
          <w:fldChar w:fldCharType="end"/>
        </w:r>
      </w:hyperlink>
    </w:p>
    <w:p w14:paraId="15AE63C7" w14:textId="5941E1E6"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79" w:history="1">
        <w:r w:rsidRPr="00856839">
          <w:rPr>
            <w:rStyle w:val="Hyperlink"/>
            <w:noProof/>
          </w:rPr>
          <w:t>Table 4.18 Details of coal resources established by CMPDIL in MMT</w:t>
        </w:r>
        <w:r w:rsidRPr="00856839">
          <w:rPr>
            <w:noProof/>
            <w:webHidden/>
          </w:rPr>
          <w:tab/>
        </w:r>
        <w:r w:rsidRPr="00856839">
          <w:rPr>
            <w:noProof/>
            <w:webHidden/>
          </w:rPr>
          <w:fldChar w:fldCharType="begin"/>
        </w:r>
        <w:r w:rsidRPr="00856839">
          <w:rPr>
            <w:noProof/>
            <w:webHidden/>
          </w:rPr>
          <w:instrText xml:space="preserve"> PAGEREF _Toc198731479 \h </w:instrText>
        </w:r>
        <w:r w:rsidRPr="00856839">
          <w:rPr>
            <w:noProof/>
            <w:webHidden/>
          </w:rPr>
        </w:r>
        <w:r w:rsidRPr="00856839">
          <w:rPr>
            <w:noProof/>
            <w:webHidden/>
          </w:rPr>
          <w:fldChar w:fldCharType="separate"/>
        </w:r>
        <w:r w:rsidR="002142B9">
          <w:rPr>
            <w:noProof/>
            <w:webHidden/>
          </w:rPr>
          <w:t>76</w:t>
        </w:r>
        <w:r w:rsidRPr="00856839">
          <w:rPr>
            <w:noProof/>
            <w:webHidden/>
          </w:rPr>
          <w:fldChar w:fldCharType="end"/>
        </w:r>
      </w:hyperlink>
    </w:p>
    <w:p w14:paraId="5E367E44" w14:textId="4F841729"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80" w:history="1">
        <w:r w:rsidRPr="00856839">
          <w:rPr>
            <w:rStyle w:val="Hyperlink"/>
            <w:noProof/>
          </w:rPr>
          <w:t>Table 4.19 Mineral wise details of resources established by MECL in MMT</w:t>
        </w:r>
        <w:r w:rsidRPr="00856839">
          <w:rPr>
            <w:noProof/>
            <w:webHidden/>
          </w:rPr>
          <w:tab/>
        </w:r>
        <w:r w:rsidRPr="00856839">
          <w:rPr>
            <w:noProof/>
            <w:webHidden/>
          </w:rPr>
          <w:fldChar w:fldCharType="begin"/>
        </w:r>
        <w:r w:rsidRPr="00856839">
          <w:rPr>
            <w:noProof/>
            <w:webHidden/>
          </w:rPr>
          <w:instrText xml:space="preserve"> PAGEREF _Toc198731480 \h </w:instrText>
        </w:r>
        <w:r w:rsidRPr="00856839">
          <w:rPr>
            <w:noProof/>
            <w:webHidden/>
          </w:rPr>
        </w:r>
        <w:r w:rsidRPr="00856839">
          <w:rPr>
            <w:noProof/>
            <w:webHidden/>
          </w:rPr>
          <w:fldChar w:fldCharType="separate"/>
        </w:r>
        <w:r w:rsidR="002142B9">
          <w:rPr>
            <w:noProof/>
            <w:webHidden/>
          </w:rPr>
          <w:t>76</w:t>
        </w:r>
        <w:r w:rsidRPr="00856839">
          <w:rPr>
            <w:noProof/>
            <w:webHidden/>
          </w:rPr>
          <w:fldChar w:fldCharType="end"/>
        </w:r>
      </w:hyperlink>
    </w:p>
    <w:p w14:paraId="6B96E0A6" w14:textId="19795B3C"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81" w:history="1">
        <w:r w:rsidRPr="00856839">
          <w:rPr>
            <w:rStyle w:val="Hyperlink"/>
            <w:noProof/>
          </w:rPr>
          <w:t>Table 4.20 Manpower in terms of number of employees</w:t>
        </w:r>
        <w:r w:rsidRPr="00856839">
          <w:rPr>
            <w:noProof/>
            <w:webHidden/>
          </w:rPr>
          <w:tab/>
        </w:r>
        <w:r w:rsidRPr="00856839">
          <w:rPr>
            <w:noProof/>
            <w:webHidden/>
          </w:rPr>
          <w:fldChar w:fldCharType="begin"/>
        </w:r>
        <w:r w:rsidRPr="00856839">
          <w:rPr>
            <w:noProof/>
            <w:webHidden/>
          </w:rPr>
          <w:instrText xml:space="preserve"> PAGEREF _Toc198731481 \h </w:instrText>
        </w:r>
        <w:r w:rsidRPr="00856839">
          <w:rPr>
            <w:noProof/>
            <w:webHidden/>
          </w:rPr>
        </w:r>
        <w:r w:rsidRPr="00856839">
          <w:rPr>
            <w:noProof/>
            <w:webHidden/>
          </w:rPr>
          <w:fldChar w:fldCharType="separate"/>
        </w:r>
        <w:r w:rsidR="002142B9">
          <w:rPr>
            <w:noProof/>
            <w:webHidden/>
          </w:rPr>
          <w:t>77</w:t>
        </w:r>
        <w:r w:rsidRPr="00856839">
          <w:rPr>
            <w:noProof/>
            <w:webHidden/>
          </w:rPr>
          <w:fldChar w:fldCharType="end"/>
        </w:r>
      </w:hyperlink>
    </w:p>
    <w:p w14:paraId="16353A5E" w14:textId="5FADD061" w:rsidR="00856839" w:rsidRP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82" w:history="1">
        <w:r w:rsidRPr="00856839">
          <w:rPr>
            <w:rStyle w:val="Hyperlink"/>
            <w:noProof/>
          </w:rPr>
          <w:t>Table 4.17 Revenue per Employee in million rupees</w:t>
        </w:r>
        <w:r w:rsidRPr="00856839">
          <w:rPr>
            <w:noProof/>
            <w:webHidden/>
          </w:rPr>
          <w:tab/>
        </w:r>
        <w:r w:rsidRPr="00856839">
          <w:rPr>
            <w:noProof/>
            <w:webHidden/>
          </w:rPr>
          <w:fldChar w:fldCharType="begin"/>
        </w:r>
        <w:r w:rsidRPr="00856839">
          <w:rPr>
            <w:noProof/>
            <w:webHidden/>
          </w:rPr>
          <w:instrText xml:space="preserve"> PAGEREF _Toc198731482 \h </w:instrText>
        </w:r>
        <w:r w:rsidRPr="00856839">
          <w:rPr>
            <w:noProof/>
            <w:webHidden/>
          </w:rPr>
        </w:r>
        <w:r w:rsidRPr="00856839">
          <w:rPr>
            <w:noProof/>
            <w:webHidden/>
          </w:rPr>
          <w:fldChar w:fldCharType="separate"/>
        </w:r>
        <w:r w:rsidR="002142B9">
          <w:rPr>
            <w:noProof/>
            <w:webHidden/>
          </w:rPr>
          <w:t>77</w:t>
        </w:r>
        <w:r w:rsidRPr="00856839">
          <w:rPr>
            <w:noProof/>
            <w:webHidden/>
          </w:rPr>
          <w:fldChar w:fldCharType="end"/>
        </w:r>
      </w:hyperlink>
    </w:p>
    <w:p w14:paraId="130CD795" w14:textId="2A20134C" w:rsidR="00856839" w:rsidRDefault="00856839" w:rsidP="00662938">
      <w:pPr>
        <w:pStyle w:val="TableofFigures"/>
        <w:tabs>
          <w:tab w:val="right" w:leader="dot" w:pos="10520"/>
        </w:tabs>
        <w:spacing w:line="288" w:lineRule="auto"/>
        <w:rPr>
          <w:rFonts w:asciiTheme="minorHAnsi" w:eastAsiaTheme="minorEastAsia" w:hAnsiTheme="minorHAnsi" w:cstheme="minorBidi"/>
          <w:noProof/>
          <w:color w:val="auto"/>
          <w:sz w:val="24"/>
          <w:szCs w:val="24"/>
        </w:rPr>
      </w:pPr>
      <w:hyperlink w:anchor="_Toc198731483" w:history="1">
        <w:r w:rsidRPr="00856839">
          <w:rPr>
            <w:rStyle w:val="Hyperlink"/>
            <w:noProof/>
          </w:rPr>
          <w:t>Table 4.18 PAT per Employee in Rs. million</w:t>
        </w:r>
        <w:r w:rsidRPr="00856839">
          <w:rPr>
            <w:noProof/>
            <w:webHidden/>
          </w:rPr>
          <w:tab/>
        </w:r>
        <w:r w:rsidRPr="00856839">
          <w:rPr>
            <w:noProof/>
            <w:webHidden/>
          </w:rPr>
          <w:fldChar w:fldCharType="begin"/>
        </w:r>
        <w:r w:rsidRPr="00856839">
          <w:rPr>
            <w:noProof/>
            <w:webHidden/>
          </w:rPr>
          <w:instrText xml:space="preserve"> PAGEREF _Toc198731483 \h </w:instrText>
        </w:r>
        <w:r w:rsidRPr="00856839">
          <w:rPr>
            <w:noProof/>
            <w:webHidden/>
          </w:rPr>
        </w:r>
        <w:r w:rsidRPr="00856839">
          <w:rPr>
            <w:noProof/>
            <w:webHidden/>
          </w:rPr>
          <w:fldChar w:fldCharType="separate"/>
        </w:r>
        <w:r w:rsidR="002142B9">
          <w:rPr>
            <w:noProof/>
            <w:webHidden/>
          </w:rPr>
          <w:t>78</w:t>
        </w:r>
        <w:r w:rsidRPr="00856839">
          <w:rPr>
            <w:noProof/>
            <w:webHidden/>
          </w:rPr>
          <w:fldChar w:fldCharType="end"/>
        </w:r>
      </w:hyperlink>
    </w:p>
    <w:p w14:paraId="72242CCD" w14:textId="6EB721C7" w:rsidR="00C7511A" w:rsidRDefault="00C7511A" w:rsidP="00662938">
      <w:pPr>
        <w:pStyle w:val="TableofFigures"/>
        <w:tabs>
          <w:tab w:val="right" w:leader="dot" w:pos="10520"/>
        </w:tabs>
        <w:spacing w:before="40" w:after="40" w:line="276" w:lineRule="auto"/>
      </w:pPr>
      <w:r w:rsidRPr="00CF7605">
        <w:rPr>
          <w:bCs/>
        </w:rPr>
        <w:fldChar w:fldCharType="end"/>
      </w:r>
      <w:r>
        <w:br w:type="page"/>
      </w:r>
    </w:p>
    <w:p w14:paraId="70D7A3D0" w14:textId="77777777" w:rsidR="00C7511A" w:rsidRDefault="00C7511A" w:rsidP="00C7511A">
      <w:pPr>
        <w:pStyle w:val="TableofFigures"/>
        <w:tabs>
          <w:tab w:val="right" w:leader="dot" w:pos="10520"/>
        </w:tabs>
      </w:pPr>
    </w:p>
    <w:p w14:paraId="1BB45FC5" w14:textId="22209C19" w:rsidR="00C7511A" w:rsidRPr="00856839" w:rsidRDefault="00856839" w:rsidP="00662938">
      <w:pPr>
        <w:pStyle w:val="TableofFigures"/>
        <w:tabs>
          <w:tab w:val="right" w:leader="dot" w:pos="10520"/>
        </w:tabs>
        <w:spacing w:before="40" w:after="40" w:line="264" w:lineRule="auto"/>
        <w:rPr>
          <w:b/>
          <w:sz w:val="28"/>
          <w:szCs w:val="28"/>
        </w:rPr>
      </w:pPr>
      <w:r w:rsidRPr="00856839">
        <w:rPr>
          <w:b/>
          <w:sz w:val="28"/>
          <w:szCs w:val="28"/>
        </w:rPr>
        <w:t xml:space="preserve">List of </w:t>
      </w:r>
      <w:r w:rsidR="00C7511A" w:rsidRPr="00856839">
        <w:rPr>
          <w:b/>
          <w:sz w:val="28"/>
          <w:szCs w:val="28"/>
        </w:rPr>
        <w:t>Figures</w:t>
      </w:r>
    </w:p>
    <w:p w14:paraId="365E807D" w14:textId="7DC2A13B" w:rsidR="00856839" w:rsidRPr="00856839" w:rsidRDefault="00C7511A">
      <w:pPr>
        <w:pStyle w:val="TableofFigures"/>
        <w:tabs>
          <w:tab w:val="right" w:leader="dot" w:pos="10520"/>
        </w:tabs>
        <w:rPr>
          <w:rFonts w:asciiTheme="minorHAnsi" w:eastAsiaTheme="minorEastAsia" w:hAnsiTheme="minorHAnsi" w:cstheme="minorBidi"/>
          <w:bCs/>
          <w:noProof/>
          <w:color w:val="auto"/>
          <w:sz w:val="24"/>
          <w:szCs w:val="24"/>
        </w:rPr>
      </w:pPr>
      <w:r w:rsidRPr="00856839">
        <w:rPr>
          <w:bCs/>
        </w:rPr>
        <w:fldChar w:fldCharType="begin"/>
      </w:r>
      <w:r w:rsidRPr="00856839">
        <w:rPr>
          <w:bCs/>
        </w:rPr>
        <w:instrText xml:space="preserve"> TOC \h \z \c "Figure" </w:instrText>
      </w:r>
      <w:r w:rsidRPr="00856839">
        <w:rPr>
          <w:bCs/>
        </w:rPr>
        <w:fldChar w:fldCharType="separate"/>
      </w:r>
      <w:hyperlink w:anchor="_Toc198731484" w:history="1">
        <w:r w:rsidR="00856839" w:rsidRPr="00856839">
          <w:rPr>
            <w:rStyle w:val="Hyperlink"/>
            <w:bCs/>
            <w:noProof/>
          </w:rPr>
          <w:t>Figure 1.1  World Nominal GDP from 1980 to 2024 and forecast from 2025 to 2030 in trillion US dollars</w:t>
        </w:r>
        <w:r w:rsidR="00856839" w:rsidRPr="00856839">
          <w:rPr>
            <w:bCs/>
            <w:noProof/>
            <w:webHidden/>
          </w:rPr>
          <w:tab/>
        </w:r>
        <w:r w:rsidR="00856839" w:rsidRPr="00856839">
          <w:rPr>
            <w:bCs/>
            <w:noProof/>
            <w:webHidden/>
          </w:rPr>
          <w:fldChar w:fldCharType="begin"/>
        </w:r>
        <w:r w:rsidR="00856839" w:rsidRPr="00856839">
          <w:rPr>
            <w:bCs/>
            <w:noProof/>
            <w:webHidden/>
          </w:rPr>
          <w:instrText xml:space="preserve"> PAGEREF _Toc198731484 \h </w:instrText>
        </w:r>
        <w:r w:rsidR="00856839" w:rsidRPr="00856839">
          <w:rPr>
            <w:bCs/>
            <w:noProof/>
            <w:webHidden/>
          </w:rPr>
        </w:r>
        <w:r w:rsidR="00856839" w:rsidRPr="00856839">
          <w:rPr>
            <w:bCs/>
            <w:noProof/>
            <w:webHidden/>
          </w:rPr>
          <w:fldChar w:fldCharType="separate"/>
        </w:r>
        <w:r w:rsidR="002142B9">
          <w:rPr>
            <w:bCs/>
            <w:noProof/>
            <w:webHidden/>
          </w:rPr>
          <w:t>8</w:t>
        </w:r>
        <w:r w:rsidR="00856839" w:rsidRPr="00856839">
          <w:rPr>
            <w:bCs/>
            <w:noProof/>
            <w:webHidden/>
          </w:rPr>
          <w:fldChar w:fldCharType="end"/>
        </w:r>
      </w:hyperlink>
    </w:p>
    <w:p w14:paraId="62740942" w14:textId="2EB06040"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85" w:history="1">
        <w:r w:rsidRPr="00856839">
          <w:rPr>
            <w:rStyle w:val="Hyperlink"/>
            <w:bCs/>
            <w:noProof/>
          </w:rPr>
          <w:t>Figure 1.2 Indian Nominal GDP (Current Prices) from 1980 to 2030 in trillion US dollars</w:t>
        </w:r>
        <w:r w:rsidRPr="00856839">
          <w:rPr>
            <w:bCs/>
            <w:noProof/>
            <w:webHidden/>
          </w:rPr>
          <w:tab/>
        </w:r>
        <w:r w:rsidRPr="00856839">
          <w:rPr>
            <w:bCs/>
            <w:noProof/>
            <w:webHidden/>
          </w:rPr>
          <w:fldChar w:fldCharType="begin"/>
        </w:r>
        <w:r w:rsidRPr="00856839">
          <w:rPr>
            <w:bCs/>
            <w:noProof/>
            <w:webHidden/>
          </w:rPr>
          <w:instrText xml:space="preserve"> PAGEREF _Toc198731485 \h </w:instrText>
        </w:r>
        <w:r w:rsidRPr="00856839">
          <w:rPr>
            <w:bCs/>
            <w:noProof/>
            <w:webHidden/>
          </w:rPr>
        </w:r>
        <w:r w:rsidRPr="00856839">
          <w:rPr>
            <w:bCs/>
            <w:noProof/>
            <w:webHidden/>
          </w:rPr>
          <w:fldChar w:fldCharType="separate"/>
        </w:r>
        <w:r w:rsidR="002142B9">
          <w:rPr>
            <w:bCs/>
            <w:noProof/>
            <w:webHidden/>
          </w:rPr>
          <w:t>9</w:t>
        </w:r>
        <w:r w:rsidRPr="00856839">
          <w:rPr>
            <w:bCs/>
            <w:noProof/>
            <w:webHidden/>
          </w:rPr>
          <w:fldChar w:fldCharType="end"/>
        </w:r>
      </w:hyperlink>
    </w:p>
    <w:p w14:paraId="18941E9E" w14:textId="3F694EFE"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86" w:history="1">
        <w:r w:rsidRPr="00856839">
          <w:rPr>
            <w:rStyle w:val="Hyperlink"/>
            <w:rFonts w:eastAsia="Calibri" w:cs="Book Antiqua"/>
            <w:bCs/>
            <w:noProof/>
            <w:kern w:val="0"/>
            <w:lang w:val="en-GB" w:eastAsia="en-IN"/>
            <w14:ligatures w14:val="none"/>
          </w:rPr>
          <w:t>Figure 1.3: India’s real GDP (in Rs. Trillion) trend and outlook</w:t>
        </w:r>
        <w:r w:rsidRPr="00856839">
          <w:rPr>
            <w:rStyle w:val="Hyperlink"/>
            <w:rFonts w:eastAsia="Calibri"/>
            <w:bCs/>
            <w:noProof/>
            <w:kern w:val="0"/>
            <w:lang w:val="en-GB"/>
            <w14:ligatures w14:val="none"/>
          </w:rPr>
          <w:t xml:space="preserve"> (at constant 2011-12 prices)</w:t>
        </w:r>
        <w:r w:rsidRPr="00856839">
          <w:rPr>
            <w:bCs/>
            <w:noProof/>
            <w:webHidden/>
          </w:rPr>
          <w:tab/>
        </w:r>
        <w:r w:rsidRPr="00856839">
          <w:rPr>
            <w:bCs/>
            <w:noProof/>
            <w:webHidden/>
          </w:rPr>
          <w:fldChar w:fldCharType="begin"/>
        </w:r>
        <w:r w:rsidRPr="00856839">
          <w:rPr>
            <w:bCs/>
            <w:noProof/>
            <w:webHidden/>
          </w:rPr>
          <w:instrText xml:space="preserve"> PAGEREF _Toc198731486 \h </w:instrText>
        </w:r>
        <w:r w:rsidRPr="00856839">
          <w:rPr>
            <w:bCs/>
            <w:noProof/>
            <w:webHidden/>
          </w:rPr>
        </w:r>
        <w:r w:rsidRPr="00856839">
          <w:rPr>
            <w:bCs/>
            <w:noProof/>
            <w:webHidden/>
          </w:rPr>
          <w:fldChar w:fldCharType="separate"/>
        </w:r>
        <w:r w:rsidR="002142B9">
          <w:rPr>
            <w:bCs/>
            <w:noProof/>
            <w:webHidden/>
          </w:rPr>
          <w:t>14</w:t>
        </w:r>
        <w:r w:rsidRPr="00856839">
          <w:rPr>
            <w:bCs/>
            <w:noProof/>
            <w:webHidden/>
          </w:rPr>
          <w:fldChar w:fldCharType="end"/>
        </w:r>
      </w:hyperlink>
    </w:p>
    <w:p w14:paraId="05674D9F" w14:textId="460834A6"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87" w:history="1">
        <w:r w:rsidRPr="00856839">
          <w:rPr>
            <w:rStyle w:val="Hyperlink"/>
            <w:bCs/>
            <w:noProof/>
          </w:rPr>
          <w:t>Figure 1.4: India’s mining and quarrying GVA growth rate | Share of mining and quarrying in India’s GVA</w:t>
        </w:r>
        <w:r w:rsidRPr="00856839">
          <w:rPr>
            <w:bCs/>
            <w:noProof/>
            <w:webHidden/>
          </w:rPr>
          <w:tab/>
        </w:r>
        <w:r w:rsidRPr="00856839">
          <w:rPr>
            <w:bCs/>
            <w:noProof/>
            <w:webHidden/>
          </w:rPr>
          <w:fldChar w:fldCharType="begin"/>
        </w:r>
        <w:r w:rsidRPr="00856839">
          <w:rPr>
            <w:bCs/>
            <w:noProof/>
            <w:webHidden/>
          </w:rPr>
          <w:instrText xml:space="preserve"> PAGEREF _Toc198731487 \h </w:instrText>
        </w:r>
        <w:r w:rsidRPr="00856839">
          <w:rPr>
            <w:bCs/>
            <w:noProof/>
            <w:webHidden/>
          </w:rPr>
        </w:r>
        <w:r w:rsidRPr="00856839">
          <w:rPr>
            <w:bCs/>
            <w:noProof/>
            <w:webHidden/>
          </w:rPr>
          <w:fldChar w:fldCharType="separate"/>
        </w:r>
        <w:r w:rsidR="002142B9">
          <w:rPr>
            <w:bCs/>
            <w:noProof/>
            <w:webHidden/>
          </w:rPr>
          <w:t>17</w:t>
        </w:r>
        <w:r w:rsidRPr="00856839">
          <w:rPr>
            <w:bCs/>
            <w:noProof/>
            <w:webHidden/>
          </w:rPr>
          <w:fldChar w:fldCharType="end"/>
        </w:r>
      </w:hyperlink>
    </w:p>
    <w:p w14:paraId="67198568" w14:textId="43D89DFE"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88" w:history="1">
        <w:r w:rsidRPr="00856839">
          <w:rPr>
            <w:rStyle w:val="Hyperlink"/>
            <w:rFonts w:eastAsia="Times New Roman" w:cs="Book Antiqua"/>
            <w:bCs/>
            <w:noProof/>
            <w:kern w:val="0"/>
            <w:lang w:val="en-GB" w:eastAsia="en-IN"/>
            <w14:ligatures w14:val="none"/>
          </w:rPr>
          <w:t>Figure 1.5: CPI inflation trend</w:t>
        </w:r>
        <w:r w:rsidRPr="00856839">
          <w:rPr>
            <w:bCs/>
            <w:noProof/>
            <w:webHidden/>
          </w:rPr>
          <w:tab/>
        </w:r>
        <w:r w:rsidRPr="00856839">
          <w:rPr>
            <w:bCs/>
            <w:noProof/>
            <w:webHidden/>
          </w:rPr>
          <w:fldChar w:fldCharType="begin"/>
        </w:r>
        <w:r w:rsidRPr="00856839">
          <w:rPr>
            <w:bCs/>
            <w:noProof/>
            <w:webHidden/>
          </w:rPr>
          <w:instrText xml:space="preserve"> PAGEREF _Toc198731488 \h </w:instrText>
        </w:r>
        <w:r w:rsidRPr="00856839">
          <w:rPr>
            <w:bCs/>
            <w:noProof/>
            <w:webHidden/>
          </w:rPr>
        </w:r>
        <w:r w:rsidRPr="00856839">
          <w:rPr>
            <w:bCs/>
            <w:noProof/>
            <w:webHidden/>
          </w:rPr>
          <w:fldChar w:fldCharType="separate"/>
        </w:r>
        <w:r w:rsidR="002142B9">
          <w:rPr>
            <w:bCs/>
            <w:noProof/>
            <w:webHidden/>
          </w:rPr>
          <w:t>17</w:t>
        </w:r>
        <w:r w:rsidRPr="00856839">
          <w:rPr>
            <w:bCs/>
            <w:noProof/>
            <w:webHidden/>
          </w:rPr>
          <w:fldChar w:fldCharType="end"/>
        </w:r>
      </w:hyperlink>
    </w:p>
    <w:p w14:paraId="591FCCE8" w14:textId="6832035F"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89" w:history="1">
        <w:r w:rsidRPr="00856839">
          <w:rPr>
            <w:rStyle w:val="Hyperlink"/>
            <w:rFonts w:eastAsia="Times New Roman" w:cs="Book Antiqua"/>
            <w:bCs/>
            <w:noProof/>
            <w:kern w:val="0"/>
            <w:lang w:val="en-GB" w:eastAsia="en-IN"/>
            <w14:ligatures w14:val="none"/>
          </w:rPr>
          <w:t>Figure 1.6: IIP growth trend for overall industry</w:t>
        </w:r>
        <w:r w:rsidRPr="00856839">
          <w:rPr>
            <w:bCs/>
            <w:noProof/>
            <w:webHidden/>
          </w:rPr>
          <w:tab/>
        </w:r>
        <w:r w:rsidRPr="00856839">
          <w:rPr>
            <w:bCs/>
            <w:noProof/>
            <w:webHidden/>
          </w:rPr>
          <w:fldChar w:fldCharType="begin"/>
        </w:r>
        <w:r w:rsidRPr="00856839">
          <w:rPr>
            <w:bCs/>
            <w:noProof/>
            <w:webHidden/>
          </w:rPr>
          <w:instrText xml:space="preserve"> PAGEREF _Toc198731489 \h </w:instrText>
        </w:r>
        <w:r w:rsidRPr="00856839">
          <w:rPr>
            <w:bCs/>
            <w:noProof/>
            <w:webHidden/>
          </w:rPr>
        </w:r>
        <w:r w:rsidRPr="00856839">
          <w:rPr>
            <w:bCs/>
            <w:noProof/>
            <w:webHidden/>
          </w:rPr>
          <w:fldChar w:fldCharType="separate"/>
        </w:r>
        <w:r w:rsidR="002142B9">
          <w:rPr>
            <w:bCs/>
            <w:noProof/>
            <w:webHidden/>
          </w:rPr>
          <w:t>18</w:t>
        </w:r>
        <w:r w:rsidRPr="00856839">
          <w:rPr>
            <w:bCs/>
            <w:noProof/>
            <w:webHidden/>
          </w:rPr>
          <w:fldChar w:fldCharType="end"/>
        </w:r>
      </w:hyperlink>
    </w:p>
    <w:p w14:paraId="3404D03A" w14:textId="61B83524"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0" w:history="1">
        <w:r w:rsidRPr="00856839">
          <w:rPr>
            <w:rStyle w:val="Hyperlink"/>
            <w:rFonts w:eastAsia="Times New Roman" w:cs="Book Antiqua"/>
            <w:bCs/>
            <w:noProof/>
            <w:kern w:val="0"/>
            <w:lang w:val="en-GB" w:eastAsia="en-IN"/>
            <w14:ligatures w14:val="none"/>
          </w:rPr>
          <w:t>Figure 1.7: IIP growth trend for mining sector</w:t>
        </w:r>
        <w:r w:rsidRPr="00856839">
          <w:rPr>
            <w:bCs/>
            <w:noProof/>
            <w:webHidden/>
          </w:rPr>
          <w:tab/>
        </w:r>
        <w:r w:rsidRPr="00856839">
          <w:rPr>
            <w:bCs/>
            <w:noProof/>
            <w:webHidden/>
          </w:rPr>
          <w:fldChar w:fldCharType="begin"/>
        </w:r>
        <w:r w:rsidRPr="00856839">
          <w:rPr>
            <w:bCs/>
            <w:noProof/>
            <w:webHidden/>
          </w:rPr>
          <w:instrText xml:space="preserve"> PAGEREF _Toc198731490 \h </w:instrText>
        </w:r>
        <w:r w:rsidRPr="00856839">
          <w:rPr>
            <w:bCs/>
            <w:noProof/>
            <w:webHidden/>
          </w:rPr>
        </w:r>
        <w:r w:rsidRPr="00856839">
          <w:rPr>
            <w:bCs/>
            <w:noProof/>
            <w:webHidden/>
          </w:rPr>
          <w:fldChar w:fldCharType="separate"/>
        </w:r>
        <w:r w:rsidR="002142B9">
          <w:rPr>
            <w:bCs/>
            <w:noProof/>
            <w:webHidden/>
          </w:rPr>
          <w:t>18</w:t>
        </w:r>
        <w:r w:rsidRPr="00856839">
          <w:rPr>
            <w:bCs/>
            <w:noProof/>
            <w:webHidden/>
          </w:rPr>
          <w:fldChar w:fldCharType="end"/>
        </w:r>
      </w:hyperlink>
    </w:p>
    <w:p w14:paraId="37B502C9" w14:textId="72DB99EA"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1" w:history="1">
        <w:r w:rsidRPr="00856839">
          <w:rPr>
            <w:rStyle w:val="Hyperlink"/>
            <w:rFonts w:eastAsia="Times New Roman" w:cs="Book Antiqua"/>
            <w:bCs/>
            <w:noProof/>
            <w:kern w:val="0"/>
            <w:lang w:eastAsia="en-IN"/>
            <w14:ligatures w14:val="none"/>
          </w:rPr>
          <w:t>Figure 1.8: Repo rate in India in %</w:t>
        </w:r>
        <w:r w:rsidRPr="00856839">
          <w:rPr>
            <w:bCs/>
            <w:noProof/>
            <w:webHidden/>
          </w:rPr>
          <w:tab/>
        </w:r>
        <w:r w:rsidRPr="00856839">
          <w:rPr>
            <w:bCs/>
            <w:noProof/>
            <w:webHidden/>
          </w:rPr>
          <w:fldChar w:fldCharType="begin"/>
        </w:r>
        <w:r w:rsidRPr="00856839">
          <w:rPr>
            <w:bCs/>
            <w:noProof/>
            <w:webHidden/>
          </w:rPr>
          <w:instrText xml:space="preserve"> PAGEREF _Toc198731491 \h </w:instrText>
        </w:r>
        <w:r w:rsidRPr="00856839">
          <w:rPr>
            <w:bCs/>
            <w:noProof/>
            <w:webHidden/>
          </w:rPr>
        </w:r>
        <w:r w:rsidRPr="00856839">
          <w:rPr>
            <w:bCs/>
            <w:noProof/>
            <w:webHidden/>
          </w:rPr>
          <w:fldChar w:fldCharType="separate"/>
        </w:r>
        <w:r w:rsidR="002142B9">
          <w:rPr>
            <w:bCs/>
            <w:noProof/>
            <w:webHidden/>
          </w:rPr>
          <w:t>19</w:t>
        </w:r>
        <w:r w:rsidRPr="00856839">
          <w:rPr>
            <w:bCs/>
            <w:noProof/>
            <w:webHidden/>
          </w:rPr>
          <w:fldChar w:fldCharType="end"/>
        </w:r>
      </w:hyperlink>
    </w:p>
    <w:p w14:paraId="363897F6" w14:textId="6DAC9F2A"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2" w:history="1">
        <w:r w:rsidRPr="00856839">
          <w:rPr>
            <w:rStyle w:val="Hyperlink"/>
            <w:rFonts w:eastAsia="Times New Roman" w:cs="Book Antiqua"/>
            <w:bCs/>
            <w:noProof/>
            <w:kern w:val="0"/>
            <w:lang w:eastAsia="en-IN"/>
            <w14:ligatures w14:val="none"/>
          </w:rPr>
          <w:t>Figure 1.9: Fiscal deficit of India as a % of GDP</w:t>
        </w:r>
        <w:r w:rsidRPr="00856839">
          <w:rPr>
            <w:bCs/>
            <w:noProof/>
            <w:webHidden/>
          </w:rPr>
          <w:tab/>
        </w:r>
        <w:r w:rsidRPr="00856839">
          <w:rPr>
            <w:bCs/>
            <w:noProof/>
            <w:webHidden/>
          </w:rPr>
          <w:fldChar w:fldCharType="begin"/>
        </w:r>
        <w:r w:rsidRPr="00856839">
          <w:rPr>
            <w:bCs/>
            <w:noProof/>
            <w:webHidden/>
          </w:rPr>
          <w:instrText xml:space="preserve"> PAGEREF _Toc198731492 \h </w:instrText>
        </w:r>
        <w:r w:rsidRPr="00856839">
          <w:rPr>
            <w:bCs/>
            <w:noProof/>
            <w:webHidden/>
          </w:rPr>
        </w:r>
        <w:r w:rsidRPr="00856839">
          <w:rPr>
            <w:bCs/>
            <w:noProof/>
            <w:webHidden/>
          </w:rPr>
          <w:fldChar w:fldCharType="separate"/>
        </w:r>
        <w:r w:rsidR="002142B9">
          <w:rPr>
            <w:bCs/>
            <w:noProof/>
            <w:webHidden/>
          </w:rPr>
          <w:t>19</w:t>
        </w:r>
        <w:r w:rsidRPr="00856839">
          <w:rPr>
            <w:bCs/>
            <w:noProof/>
            <w:webHidden/>
          </w:rPr>
          <w:fldChar w:fldCharType="end"/>
        </w:r>
      </w:hyperlink>
    </w:p>
    <w:p w14:paraId="342A8206" w14:textId="12630386"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3" w:history="1">
        <w:r w:rsidRPr="00856839">
          <w:rPr>
            <w:rStyle w:val="Hyperlink"/>
            <w:bCs/>
            <w:noProof/>
            <w:lang w:eastAsia="en-IN"/>
          </w:rPr>
          <w:t>Figure 1.10 Per capita electricity consumption in CY2023 in kWh/ person and CAGR (10 year) from 2013 to 2023</w:t>
        </w:r>
        <w:r w:rsidRPr="00856839">
          <w:rPr>
            <w:bCs/>
            <w:noProof/>
            <w:webHidden/>
          </w:rPr>
          <w:tab/>
        </w:r>
        <w:r w:rsidRPr="00856839">
          <w:rPr>
            <w:bCs/>
            <w:noProof/>
            <w:webHidden/>
          </w:rPr>
          <w:fldChar w:fldCharType="begin"/>
        </w:r>
        <w:r w:rsidRPr="00856839">
          <w:rPr>
            <w:bCs/>
            <w:noProof/>
            <w:webHidden/>
          </w:rPr>
          <w:instrText xml:space="preserve"> PAGEREF _Toc198731493 \h </w:instrText>
        </w:r>
        <w:r w:rsidRPr="00856839">
          <w:rPr>
            <w:bCs/>
            <w:noProof/>
            <w:webHidden/>
          </w:rPr>
        </w:r>
        <w:r w:rsidRPr="00856839">
          <w:rPr>
            <w:bCs/>
            <w:noProof/>
            <w:webHidden/>
          </w:rPr>
          <w:fldChar w:fldCharType="separate"/>
        </w:r>
        <w:r w:rsidR="002142B9">
          <w:rPr>
            <w:bCs/>
            <w:noProof/>
            <w:webHidden/>
          </w:rPr>
          <w:t>20</w:t>
        </w:r>
        <w:r w:rsidRPr="00856839">
          <w:rPr>
            <w:bCs/>
            <w:noProof/>
            <w:webHidden/>
          </w:rPr>
          <w:fldChar w:fldCharType="end"/>
        </w:r>
      </w:hyperlink>
    </w:p>
    <w:p w14:paraId="5DCAE8DC" w14:textId="7B8AE97E"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4" w:history="1">
        <w:r w:rsidRPr="00856839">
          <w:rPr>
            <w:rStyle w:val="Hyperlink"/>
            <w:bCs/>
            <w:noProof/>
            <w:lang w:eastAsia="en-IN"/>
          </w:rPr>
          <w:t>Figure 1.11 Share of urban population of India and the World from 2013 to 2023</w:t>
        </w:r>
        <w:r w:rsidRPr="00856839">
          <w:rPr>
            <w:bCs/>
            <w:noProof/>
            <w:webHidden/>
          </w:rPr>
          <w:tab/>
        </w:r>
        <w:r w:rsidRPr="00856839">
          <w:rPr>
            <w:bCs/>
            <w:noProof/>
            <w:webHidden/>
          </w:rPr>
          <w:fldChar w:fldCharType="begin"/>
        </w:r>
        <w:r w:rsidRPr="00856839">
          <w:rPr>
            <w:bCs/>
            <w:noProof/>
            <w:webHidden/>
          </w:rPr>
          <w:instrText xml:space="preserve"> PAGEREF _Toc198731494 \h </w:instrText>
        </w:r>
        <w:r w:rsidRPr="00856839">
          <w:rPr>
            <w:bCs/>
            <w:noProof/>
            <w:webHidden/>
          </w:rPr>
        </w:r>
        <w:r w:rsidRPr="00856839">
          <w:rPr>
            <w:bCs/>
            <w:noProof/>
            <w:webHidden/>
          </w:rPr>
          <w:fldChar w:fldCharType="separate"/>
        </w:r>
        <w:r w:rsidR="002142B9">
          <w:rPr>
            <w:bCs/>
            <w:noProof/>
            <w:webHidden/>
          </w:rPr>
          <w:t>21</w:t>
        </w:r>
        <w:r w:rsidRPr="00856839">
          <w:rPr>
            <w:bCs/>
            <w:noProof/>
            <w:webHidden/>
          </w:rPr>
          <w:fldChar w:fldCharType="end"/>
        </w:r>
      </w:hyperlink>
    </w:p>
    <w:p w14:paraId="4C54211A" w14:textId="1B2C815C"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5" w:history="1">
        <w:r w:rsidRPr="00856839">
          <w:rPr>
            <w:rStyle w:val="Hyperlink"/>
            <w:rFonts w:eastAsia="Times New Roman" w:cs="Book Antiqua"/>
            <w:bCs/>
            <w:noProof/>
            <w:kern w:val="0"/>
            <w:lang w:eastAsia="en-IN"/>
            <w14:ligatures w14:val="none"/>
          </w:rPr>
          <w:t>Figure 1.12</w:t>
        </w:r>
        <w:r w:rsidRPr="00856839">
          <w:rPr>
            <w:rStyle w:val="Hyperlink"/>
            <w:rFonts w:eastAsia="Times New Roman" w:cs="Book Antiqua"/>
            <w:bCs/>
            <w:noProof/>
            <w:kern w:val="0"/>
            <w:lang w:val="en-GB" w:eastAsia="en-IN"/>
            <w14:ligatures w14:val="none"/>
          </w:rPr>
          <w:t>: India’s electricity demand in Billion Units</w:t>
        </w:r>
        <w:r w:rsidRPr="00856839">
          <w:rPr>
            <w:bCs/>
            <w:noProof/>
            <w:webHidden/>
          </w:rPr>
          <w:tab/>
        </w:r>
        <w:r w:rsidRPr="00856839">
          <w:rPr>
            <w:bCs/>
            <w:noProof/>
            <w:webHidden/>
          </w:rPr>
          <w:fldChar w:fldCharType="begin"/>
        </w:r>
        <w:r w:rsidRPr="00856839">
          <w:rPr>
            <w:bCs/>
            <w:noProof/>
            <w:webHidden/>
          </w:rPr>
          <w:instrText xml:space="preserve"> PAGEREF _Toc198731495 \h </w:instrText>
        </w:r>
        <w:r w:rsidRPr="00856839">
          <w:rPr>
            <w:bCs/>
            <w:noProof/>
            <w:webHidden/>
          </w:rPr>
        </w:r>
        <w:r w:rsidRPr="00856839">
          <w:rPr>
            <w:bCs/>
            <w:noProof/>
            <w:webHidden/>
          </w:rPr>
          <w:fldChar w:fldCharType="separate"/>
        </w:r>
        <w:r w:rsidR="002142B9">
          <w:rPr>
            <w:bCs/>
            <w:noProof/>
            <w:webHidden/>
          </w:rPr>
          <w:t>23</w:t>
        </w:r>
        <w:r w:rsidRPr="00856839">
          <w:rPr>
            <w:bCs/>
            <w:noProof/>
            <w:webHidden/>
          </w:rPr>
          <w:fldChar w:fldCharType="end"/>
        </w:r>
      </w:hyperlink>
    </w:p>
    <w:p w14:paraId="5286D2D6" w14:textId="156B6032"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6" w:history="1">
        <w:r w:rsidRPr="00856839">
          <w:rPr>
            <w:rStyle w:val="Hyperlink"/>
            <w:bCs/>
            <w:noProof/>
            <w:lang w:eastAsia="en-IN"/>
          </w:rPr>
          <w:t>Figure 1.13: India’s COP26 Targets</w:t>
        </w:r>
        <w:r w:rsidRPr="00856839">
          <w:rPr>
            <w:bCs/>
            <w:noProof/>
            <w:webHidden/>
          </w:rPr>
          <w:tab/>
        </w:r>
        <w:r w:rsidRPr="00856839">
          <w:rPr>
            <w:bCs/>
            <w:noProof/>
            <w:webHidden/>
          </w:rPr>
          <w:fldChar w:fldCharType="begin"/>
        </w:r>
        <w:r w:rsidRPr="00856839">
          <w:rPr>
            <w:bCs/>
            <w:noProof/>
            <w:webHidden/>
          </w:rPr>
          <w:instrText xml:space="preserve"> PAGEREF _Toc198731496 \h </w:instrText>
        </w:r>
        <w:r w:rsidRPr="00856839">
          <w:rPr>
            <w:bCs/>
            <w:noProof/>
            <w:webHidden/>
          </w:rPr>
        </w:r>
        <w:r w:rsidRPr="00856839">
          <w:rPr>
            <w:bCs/>
            <w:noProof/>
            <w:webHidden/>
          </w:rPr>
          <w:fldChar w:fldCharType="separate"/>
        </w:r>
        <w:r w:rsidR="002142B9">
          <w:rPr>
            <w:bCs/>
            <w:noProof/>
            <w:webHidden/>
          </w:rPr>
          <w:t>24</w:t>
        </w:r>
        <w:r w:rsidRPr="00856839">
          <w:rPr>
            <w:bCs/>
            <w:noProof/>
            <w:webHidden/>
          </w:rPr>
          <w:fldChar w:fldCharType="end"/>
        </w:r>
      </w:hyperlink>
    </w:p>
    <w:p w14:paraId="19534744" w14:textId="5356135D"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7" w:history="1">
        <w:r w:rsidRPr="00856839">
          <w:rPr>
            <w:rStyle w:val="Hyperlink"/>
            <w:bCs/>
            <w:noProof/>
            <w:lang w:eastAsia="en-IN"/>
          </w:rPr>
          <w:t>Figure 1.14: Total Projected CO</w:t>
        </w:r>
        <w:r w:rsidRPr="00856839">
          <w:rPr>
            <w:rStyle w:val="Hyperlink"/>
            <w:bCs/>
            <w:noProof/>
            <w:vertAlign w:val="subscript"/>
            <w:lang w:eastAsia="en-IN"/>
          </w:rPr>
          <w:t>2</w:t>
        </w:r>
        <w:r w:rsidRPr="00856839">
          <w:rPr>
            <w:rStyle w:val="Hyperlink"/>
            <w:bCs/>
            <w:noProof/>
            <w:vertAlign w:val="superscript"/>
            <w:lang w:eastAsia="en-IN"/>
          </w:rPr>
          <w:t xml:space="preserve"> </w:t>
        </w:r>
        <w:r w:rsidRPr="00856839">
          <w:rPr>
            <w:rStyle w:val="Hyperlink"/>
            <w:bCs/>
            <w:noProof/>
            <w:lang w:eastAsia="en-IN"/>
          </w:rPr>
          <w:t>Emissions (MT) from the power sector</w:t>
        </w:r>
        <w:r w:rsidRPr="00856839">
          <w:rPr>
            <w:bCs/>
            <w:noProof/>
            <w:webHidden/>
          </w:rPr>
          <w:tab/>
        </w:r>
        <w:r w:rsidRPr="00856839">
          <w:rPr>
            <w:bCs/>
            <w:noProof/>
            <w:webHidden/>
          </w:rPr>
          <w:fldChar w:fldCharType="begin"/>
        </w:r>
        <w:r w:rsidRPr="00856839">
          <w:rPr>
            <w:bCs/>
            <w:noProof/>
            <w:webHidden/>
          </w:rPr>
          <w:instrText xml:space="preserve"> PAGEREF _Toc198731497 \h </w:instrText>
        </w:r>
        <w:r w:rsidRPr="00856839">
          <w:rPr>
            <w:bCs/>
            <w:noProof/>
            <w:webHidden/>
          </w:rPr>
        </w:r>
        <w:r w:rsidRPr="00856839">
          <w:rPr>
            <w:bCs/>
            <w:noProof/>
            <w:webHidden/>
          </w:rPr>
          <w:fldChar w:fldCharType="separate"/>
        </w:r>
        <w:r w:rsidR="002142B9">
          <w:rPr>
            <w:bCs/>
            <w:noProof/>
            <w:webHidden/>
          </w:rPr>
          <w:t>25</w:t>
        </w:r>
        <w:r w:rsidRPr="00856839">
          <w:rPr>
            <w:bCs/>
            <w:noProof/>
            <w:webHidden/>
          </w:rPr>
          <w:fldChar w:fldCharType="end"/>
        </w:r>
      </w:hyperlink>
    </w:p>
    <w:p w14:paraId="2AE1C848" w14:textId="2831AF47"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8" w:history="1">
        <w:r w:rsidRPr="00856839">
          <w:rPr>
            <w:rStyle w:val="Hyperlink"/>
            <w:rFonts w:eastAsia="Times New Roman" w:cs="Book Antiqua"/>
            <w:bCs/>
            <w:noProof/>
            <w:kern w:val="0"/>
            <w:lang w:val="en-GB" w:eastAsia="en-IN"/>
            <w14:ligatures w14:val="none"/>
          </w:rPr>
          <w:t>Figure 1.15: Weighted Average Emission Rate (kgCO</w:t>
        </w:r>
        <w:r w:rsidRPr="00856839">
          <w:rPr>
            <w:rStyle w:val="Hyperlink"/>
            <w:rFonts w:eastAsia="Times New Roman" w:cs="Book Antiqua"/>
            <w:bCs/>
            <w:noProof/>
            <w:kern w:val="0"/>
            <w:vertAlign w:val="subscript"/>
            <w:lang w:val="en-GB" w:eastAsia="en-IN"/>
            <w14:ligatures w14:val="none"/>
          </w:rPr>
          <w:t>2</w:t>
        </w:r>
        <w:r w:rsidRPr="00856839">
          <w:rPr>
            <w:rStyle w:val="Hyperlink"/>
            <w:rFonts w:eastAsia="Times New Roman" w:cs="Book Antiqua"/>
            <w:bCs/>
            <w:noProof/>
            <w:kern w:val="0"/>
            <w:lang w:val="en-GB" w:eastAsia="en-IN"/>
            <w14:ligatures w14:val="none"/>
          </w:rPr>
          <w:t>/kwh</w:t>
        </w:r>
        <w:r w:rsidRPr="00856839">
          <w:rPr>
            <w:rStyle w:val="Hyperlink"/>
            <w:rFonts w:eastAsia="Times New Roman" w:cs="Book Antiqua"/>
            <w:bCs/>
            <w:noProof/>
            <w:kern w:val="0"/>
            <w:vertAlign w:val="subscript"/>
            <w:lang w:val="en-GB" w:eastAsia="en-IN"/>
            <w14:ligatures w14:val="none"/>
          </w:rPr>
          <w:t>net</w:t>
        </w:r>
        <w:r w:rsidRPr="00856839">
          <w:rPr>
            <w:rStyle w:val="Hyperlink"/>
            <w:rFonts w:eastAsia="Times New Roman" w:cs="Book Antiqua"/>
            <w:bCs/>
            <w:noProof/>
            <w:kern w:val="0"/>
            <w:lang w:val="en-GB" w:eastAsia="en-IN"/>
            <w14:ligatures w14:val="none"/>
          </w:rPr>
          <w:t>)</w:t>
        </w:r>
        <w:r w:rsidRPr="00856839">
          <w:rPr>
            <w:bCs/>
            <w:noProof/>
            <w:webHidden/>
          </w:rPr>
          <w:tab/>
        </w:r>
        <w:r w:rsidRPr="00856839">
          <w:rPr>
            <w:bCs/>
            <w:noProof/>
            <w:webHidden/>
          </w:rPr>
          <w:fldChar w:fldCharType="begin"/>
        </w:r>
        <w:r w:rsidRPr="00856839">
          <w:rPr>
            <w:bCs/>
            <w:noProof/>
            <w:webHidden/>
          </w:rPr>
          <w:instrText xml:space="preserve"> PAGEREF _Toc198731498 \h </w:instrText>
        </w:r>
        <w:r w:rsidRPr="00856839">
          <w:rPr>
            <w:bCs/>
            <w:noProof/>
            <w:webHidden/>
          </w:rPr>
        </w:r>
        <w:r w:rsidRPr="00856839">
          <w:rPr>
            <w:bCs/>
            <w:noProof/>
            <w:webHidden/>
          </w:rPr>
          <w:fldChar w:fldCharType="separate"/>
        </w:r>
        <w:r w:rsidR="002142B9">
          <w:rPr>
            <w:bCs/>
            <w:noProof/>
            <w:webHidden/>
          </w:rPr>
          <w:t>25</w:t>
        </w:r>
        <w:r w:rsidRPr="00856839">
          <w:rPr>
            <w:bCs/>
            <w:noProof/>
            <w:webHidden/>
          </w:rPr>
          <w:fldChar w:fldCharType="end"/>
        </w:r>
      </w:hyperlink>
    </w:p>
    <w:p w14:paraId="32CD3E0F" w14:textId="151DFE21"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499" w:history="1">
        <w:r w:rsidRPr="00856839">
          <w:rPr>
            <w:rStyle w:val="Hyperlink"/>
            <w:bCs/>
            <w:noProof/>
          </w:rPr>
          <w:t xml:space="preserve">Figure 2.1: </w:t>
        </w:r>
        <w:r w:rsidRPr="00856839">
          <w:rPr>
            <w:rStyle w:val="Hyperlink"/>
            <w:rFonts w:eastAsia="Times New Roman" w:cs="Book Antiqua"/>
            <w:bCs/>
            <w:noProof/>
            <w:lang w:eastAsia="en-IN"/>
          </w:rPr>
          <w:t>Value in Rs trillion of minerals in India distribution</w:t>
        </w:r>
        <w:r w:rsidRPr="00856839">
          <w:rPr>
            <w:bCs/>
            <w:noProof/>
            <w:webHidden/>
          </w:rPr>
          <w:tab/>
        </w:r>
        <w:r w:rsidRPr="00856839">
          <w:rPr>
            <w:bCs/>
            <w:noProof/>
            <w:webHidden/>
          </w:rPr>
          <w:fldChar w:fldCharType="begin"/>
        </w:r>
        <w:r w:rsidRPr="00856839">
          <w:rPr>
            <w:bCs/>
            <w:noProof/>
            <w:webHidden/>
          </w:rPr>
          <w:instrText xml:space="preserve"> PAGEREF _Toc198731499 \h </w:instrText>
        </w:r>
        <w:r w:rsidRPr="00856839">
          <w:rPr>
            <w:bCs/>
            <w:noProof/>
            <w:webHidden/>
          </w:rPr>
        </w:r>
        <w:r w:rsidRPr="00856839">
          <w:rPr>
            <w:bCs/>
            <w:noProof/>
            <w:webHidden/>
          </w:rPr>
          <w:fldChar w:fldCharType="separate"/>
        </w:r>
        <w:r w:rsidR="002142B9">
          <w:rPr>
            <w:bCs/>
            <w:noProof/>
            <w:webHidden/>
          </w:rPr>
          <w:t>27</w:t>
        </w:r>
        <w:r w:rsidRPr="00856839">
          <w:rPr>
            <w:bCs/>
            <w:noProof/>
            <w:webHidden/>
          </w:rPr>
          <w:fldChar w:fldCharType="end"/>
        </w:r>
      </w:hyperlink>
    </w:p>
    <w:p w14:paraId="06D29F5E" w14:textId="3AAAE878"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0" w:history="1">
        <w:r w:rsidRPr="00856839">
          <w:rPr>
            <w:rStyle w:val="Hyperlink"/>
            <w:bCs/>
            <w:noProof/>
            <w:lang w:eastAsia="en-IN"/>
          </w:rPr>
          <w:t>Figure 2.2: Value of minerals (coal and major minerals) in India (Rs trillion)</w:t>
        </w:r>
        <w:r w:rsidRPr="00856839">
          <w:rPr>
            <w:bCs/>
            <w:noProof/>
            <w:webHidden/>
          </w:rPr>
          <w:tab/>
        </w:r>
        <w:r w:rsidRPr="00856839">
          <w:rPr>
            <w:bCs/>
            <w:noProof/>
            <w:webHidden/>
          </w:rPr>
          <w:fldChar w:fldCharType="begin"/>
        </w:r>
        <w:r w:rsidRPr="00856839">
          <w:rPr>
            <w:bCs/>
            <w:noProof/>
            <w:webHidden/>
          </w:rPr>
          <w:instrText xml:space="preserve"> PAGEREF _Toc198731500 \h </w:instrText>
        </w:r>
        <w:r w:rsidRPr="00856839">
          <w:rPr>
            <w:bCs/>
            <w:noProof/>
            <w:webHidden/>
          </w:rPr>
        </w:r>
        <w:r w:rsidRPr="00856839">
          <w:rPr>
            <w:bCs/>
            <w:noProof/>
            <w:webHidden/>
          </w:rPr>
          <w:fldChar w:fldCharType="separate"/>
        </w:r>
        <w:r w:rsidR="002142B9">
          <w:rPr>
            <w:bCs/>
            <w:noProof/>
            <w:webHidden/>
          </w:rPr>
          <w:t>28</w:t>
        </w:r>
        <w:r w:rsidRPr="00856839">
          <w:rPr>
            <w:bCs/>
            <w:noProof/>
            <w:webHidden/>
          </w:rPr>
          <w:fldChar w:fldCharType="end"/>
        </w:r>
      </w:hyperlink>
    </w:p>
    <w:p w14:paraId="59388B6D" w14:textId="49A50B13"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1" w:history="1">
        <w:r w:rsidRPr="00856839">
          <w:rPr>
            <w:rStyle w:val="Hyperlink"/>
            <w:rFonts w:eastAsia="Times New Roman" w:cs="Book Antiqua"/>
            <w:bCs/>
            <w:noProof/>
            <w:kern w:val="0"/>
            <w:lang w:eastAsia="en-IN"/>
            <w14:ligatures w14:val="none"/>
          </w:rPr>
          <w:t>Figure 2.3</w:t>
        </w:r>
        <w:r w:rsidRPr="00856839">
          <w:rPr>
            <w:rStyle w:val="Hyperlink"/>
            <w:rFonts w:eastAsia="Times New Roman" w:cs="Book Antiqua"/>
            <w:bCs/>
            <w:noProof/>
            <w:kern w:val="0"/>
            <w:lang w:val="en-GB" w:eastAsia="en-IN"/>
            <w14:ligatures w14:val="none"/>
          </w:rPr>
          <w:t>: Value of coal produced in India and expected future value (Rs trillion)</w:t>
        </w:r>
        <w:r w:rsidRPr="00856839">
          <w:rPr>
            <w:bCs/>
            <w:noProof/>
            <w:webHidden/>
          </w:rPr>
          <w:tab/>
        </w:r>
        <w:r w:rsidRPr="00856839">
          <w:rPr>
            <w:bCs/>
            <w:noProof/>
            <w:webHidden/>
          </w:rPr>
          <w:fldChar w:fldCharType="begin"/>
        </w:r>
        <w:r w:rsidRPr="00856839">
          <w:rPr>
            <w:bCs/>
            <w:noProof/>
            <w:webHidden/>
          </w:rPr>
          <w:instrText xml:space="preserve"> PAGEREF _Toc198731501 \h </w:instrText>
        </w:r>
        <w:r w:rsidRPr="00856839">
          <w:rPr>
            <w:bCs/>
            <w:noProof/>
            <w:webHidden/>
          </w:rPr>
        </w:r>
        <w:r w:rsidRPr="00856839">
          <w:rPr>
            <w:bCs/>
            <w:noProof/>
            <w:webHidden/>
          </w:rPr>
          <w:fldChar w:fldCharType="separate"/>
        </w:r>
        <w:r w:rsidR="002142B9">
          <w:rPr>
            <w:bCs/>
            <w:noProof/>
            <w:webHidden/>
          </w:rPr>
          <w:t>28</w:t>
        </w:r>
        <w:r w:rsidRPr="00856839">
          <w:rPr>
            <w:bCs/>
            <w:noProof/>
            <w:webHidden/>
          </w:rPr>
          <w:fldChar w:fldCharType="end"/>
        </w:r>
      </w:hyperlink>
    </w:p>
    <w:p w14:paraId="6949A9DD" w14:textId="5BA6BCAE"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2" w:history="1">
        <w:r w:rsidRPr="00856839">
          <w:rPr>
            <w:rStyle w:val="Hyperlink"/>
            <w:rFonts w:eastAsia="Times New Roman" w:cs="Book Antiqua"/>
            <w:bCs/>
            <w:iCs/>
            <w:noProof/>
            <w:kern w:val="0"/>
            <w:lang w:val="en-GB" w:eastAsia="en-IN"/>
            <w14:ligatures w14:val="none"/>
          </w:rPr>
          <w:t>Figure 2.4 :</w:t>
        </w:r>
        <w:r w:rsidRPr="00856839">
          <w:rPr>
            <w:rStyle w:val="Hyperlink"/>
            <w:rFonts w:eastAsia="Times New Roman" w:cs="Book Antiqua"/>
            <w:bCs/>
            <w:noProof/>
            <w:kern w:val="0"/>
            <w:lang w:val="en-GB" w:eastAsia="en-IN"/>
            <w14:ligatures w14:val="none"/>
          </w:rPr>
          <w:t>World’s energy consumption (EJ) by major countries in CY2018 and CY2023</w:t>
        </w:r>
        <w:r w:rsidRPr="00856839">
          <w:rPr>
            <w:bCs/>
            <w:noProof/>
            <w:webHidden/>
          </w:rPr>
          <w:tab/>
        </w:r>
        <w:r w:rsidRPr="00856839">
          <w:rPr>
            <w:bCs/>
            <w:noProof/>
            <w:webHidden/>
          </w:rPr>
          <w:fldChar w:fldCharType="begin"/>
        </w:r>
        <w:r w:rsidRPr="00856839">
          <w:rPr>
            <w:bCs/>
            <w:noProof/>
            <w:webHidden/>
          </w:rPr>
          <w:instrText xml:space="preserve"> PAGEREF _Toc198731502 \h </w:instrText>
        </w:r>
        <w:r w:rsidRPr="00856839">
          <w:rPr>
            <w:bCs/>
            <w:noProof/>
            <w:webHidden/>
          </w:rPr>
        </w:r>
        <w:r w:rsidRPr="00856839">
          <w:rPr>
            <w:bCs/>
            <w:noProof/>
            <w:webHidden/>
          </w:rPr>
          <w:fldChar w:fldCharType="separate"/>
        </w:r>
        <w:r w:rsidR="002142B9">
          <w:rPr>
            <w:bCs/>
            <w:noProof/>
            <w:webHidden/>
          </w:rPr>
          <w:t>32</w:t>
        </w:r>
        <w:r w:rsidRPr="00856839">
          <w:rPr>
            <w:bCs/>
            <w:noProof/>
            <w:webHidden/>
          </w:rPr>
          <w:fldChar w:fldCharType="end"/>
        </w:r>
      </w:hyperlink>
    </w:p>
    <w:p w14:paraId="4A06783F" w14:textId="26A144D1"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3" w:history="1">
        <w:r w:rsidRPr="00856839">
          <w:rPr>
            <w:rStyle w:val="Hyperlink"/>
            <w:rFonts w:eastAsia="Times New Roman" w:cs="Book Antiqua"/>
            <w:bCs/>
            <w:iCs/>
            <w:noProof/>
            <w:kern w:val="0"/>
            <w:lang w:val="en-GB" w:eastAsia="en-IN"/>
            <w14:ligatures w14:val="none"/>
          </w:rPr>
          <w:t>Figure 2.5: Growth in steel demand vs GDP in India</w:t>
        </w:r>
        <w:r w:rsidRPr="00856839">
          <w:rPr>
            <w:bCs/>
            <w:noProof/>
            <w:webHidden/>
          </w:rPr>
          <w:tab/>
        </w:r>
        <w:r w:rsidRPr="00856839">
          <w:rPr>
            <w:bCs/>
            <w:noProof/>
            <w:webHidden/>
          </w:rPr>
          <w:fldChar w:fldCharType="begin"/>
        </w:r>
        <w:r w:rsidRPr="00856839">
          <w:rPr>
            <w:bCs/>
            <w:noProof/>
            <w:webHidden/>
          </w:rPr>
          <w:instrText xml:space="preserve"> PAGEREF _Toc198731503 \h </w:instrText>
        </w:r>
        <w:r w:rsidRPr="00856839">
          <w:rPr>
            <w:bCs/>
            <w:noProof/>
            <w:webHidden/>
          </w:rPr>
        </w:r>
        <w:r w:rsidRPr="00856839">
          <w:rPr>
            <w:bCs/>
            <w:noProof/>
            <w:webHidden/>
          </w:rPr>
          <w:fldChar w:fldCharType="separate"/>
        </w:r>
        <w:r w:rsidR="002142B9">
          <w:rPr>
            <w:bCs/>
            <w:noProof/>
            <w:webHidden/>
          </w:rPr>
          <w:t>32</w:t>
        </w:r>
        <w:r w:rsidRPr="00856839">
          <w:rPr>
            <w:bCs/>
            <w:noProof/>
            <w:webHidden/>
          </w:rPr>
          <w:fldChar w:fldCharType="end"/>
        </w:r>
      </w:hyperlink>
    </w:p>
    <w:p w14:paraId="753FF77A" w14:textId="13D9C518"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4" w:history="1">
        <w:r w:rsidRPr="00856839">
          <w:rPr>
            <w:rStyle w:val="Hyperlink"/>
            <w:rFonts w:eastAsia="Times New Roman" w:cs="Book Antiqua"/>
            <w:bCs/>
            <w:iCs/>
            <w:noProof/>
            <w:kern w:val="0"/>
            <w:lang w:val="en-GB" w:eastAsia="en-IN"/>
            <w14:ligatures w14:val="none"/>
          </w:rPr>
          <w:t>Figure 2.6: Growth in power demand vs GDP in India</w:t>
        </w:r>
        <w:r w:rsidRPr="00856839">
          <w:rPr>
            <w:bCs/>
            <w:noProof/>
            <w:webHidden/>
          </w:rPr>
          <w:tab/>
        </w:r>
        <w:r w:rsidRPr="00856839">
          <w:rPr>
            <w:bCs/>
            <w:noProof/>
            <w:webHidden/>
          </w:rPr>
          <w:fldChar w:fldCharType="begin"/>
        </w:r>
        <w:r w:rsidRPr="00856839">
          <w:rPr>
            <w:bCs/>
            <w:noProof/>
            <w:webHidden/>
          </w:rPr>
          <w:instrText xml:space="preserve"> PAGEREF _Toc198731504 \h </w:instrText>
        </w:r>
        <w:r w:rsidRPr="00856839">
          <w:rPr>
            <w:bCs/>
            <w:noProof/>
            <w:webHidden/>
          </w:rPr>
        </w:r>
        <w:r w:rsidRPr="00856839">
          <w:rPr>
            <w:bCs/>
            <w:noProof/>
            <w:webHidden/>
          </w:rPr>
          <w:fldChar w:fldCharType="separate"/>
        </w:r>
        <w:r w:rsidR="002142B9">
          <w:rPr>
            <w:bCs/>
            <w:noProof/>
            <w:webHidden/>
          </w:rPr>
          <w:t>33</w:t>
        </w:r>
        <w:r w:rsidRPr="00856839">
          <w:rPr>
            <w:bCs/>
            <w:noProof/>
            <w:webHidden/>
          </w:rPr>
          <w:fldChar w:fldCharType="end"/>
        </w:r>
      </w:hyperlink>
    </w:p>
    <w:p w14:paraId="3206076C" w14:textId="246AE1EB"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5" w:history="1">
        <w:r w:rsidRPr="00856839">
          <w:rPr>
            <w:rStyle w:val="Hyperlink"/>
            <w:rFonts w:eastAsia="Times New Roman" w:cs="Book Antiqua"/>
            <w:bCs/>
            <w:iCs/>
            <w:noProof/>
            <w:kern w:val="0"/>
            <w:lang w:val="en-GB" w:eastAsia="en-IN"/>
            <w14:ligatures w14:val="none"/>
          </w:rPr>
          <w:t>Figure 2.7: Growth in cement demand vs GDP in India</w:t>
        </w:r>
        <w:r w:rsidRPr="00856839">
          <w:rPr>
            <w:bCs/>
            <w:noProof/>
            <w:webHidden/>
          </w:rPr>
          <w:tab/>
        </w:r>
        <w:r w:rsidRPr="00856839">
          <w:rPr>
            <w:bCs/>
            <w:noProof/>
            <w:webHidden/>
          </w:rPr>
          <w:fldChar w:fldCharType="begin"/>
        </w:r>
        <w:r w:rsidRPr="00856839">
          <w:rPr>
            <w:bCs/>
            <w:noProof/>
            <w:webHidden/>
          </w:rPr>
          <w:instrText xml:space="preserve"> PAGEREF _Toc198731505 \h </w:instrText>
        </w:r>
        <w:r w:rsidRPr="00856839">
          <w:rPr>
            <w:bCs/>
            <w:noProof/>
            <w:webHidden/>
          </w:rPr>
        </w:r>
        <w:r w:rsidRPr="00856839">
          <w:rPr>
            <w:bCs/>
            <w:noProof/>
            <w:webHidden/>
          </w:rPr>
          <w:fldChar w:fldCharType="separate"/>
        </w:r>
        <w:r w:rsidR="002142B9">
          <w:rPr>
            <w:bCs/>
            <w:noProof/>
            <w:webHidden/>
          </w:rPr>
          <w:t>34</w:t>
        </w:r>
        <w:r w:rsidRPr="00856839">
          <w:rPr>
            <w:bCs/>
            <w:noProof/>
            <w:webHidden/>
          </w:rPr>
          <w:fldChar w:fldCharType="end"/>
        </w:r>
      </w:hyperlink>
    </w:p>
    <w:p w14:paraId="2C5776B4" w14:textId="3369B0B1"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6" w:history="1">
        <w:r w:rsidRPr="00856839">
          <w:rPr>
            <w:rStyle w:val="Hyperlink"/>
            <w:rFonts w:eastAsia="Times New Roman" w:cs="Book Antiqua"/>
            <w:bCs/>
            <w:noProof/>
            <w:kern w:val="0"/>
            <w:lang w:eastAsia="en-IN"/>
            <w14:ligatures w14:val="none"/>
          </w:rPr>
          <w:t>Figure 2.8</w:t>
        </w:r>
        <w:r w:rsidRPr="00856839">
          <w:rPr>
            <w:rStyle w:val="Hyperlink"/>
            <w:rFonts w:eastAsia="Times New Roman" w:cs="Book Antiqua"/>
            <w:bCs/>
            <w:noProof/>
            <w:kern w:val="0"/>
            <w:lang w:val="en-GB" w:eastAsia="en-IN"/>
            <w14:ligatures w14:val="none"/>
          </w:rPr>
          <w:t>: Coal sector: From nationalisation to commercialisation</w:t>
        </w:r>
        <w:r w:rsidRPr="00856839">
          <w:rPr>
            <w:bCs/>
            <w:noProof/>
            <w:webHidden/>
          </w:rPr>
          <w:tab/>
        </w:r>
        <w:r w:rsidRPr="00856839">
          <w:rPr>
            <w:bCs/>
            <w:noProof/>
            <w:webHidden/>
          </w:rPr>
          <w:fldChar w:fldCharType="begin"/>
        </w:r>
        <w:r w:rsidRPr="00856839">
          <w:rPr>
            <w:bCs/>
            <w:noProof/>
            <w:webHidden/>
          </w:rPr>
          <w:instrText xml:space="preserve"> PAGEREF _Toc198731506 \h </w:instrText>
        </w:r>
        <w:r w:rsidRPr="00856839">
          <w:rPr>
            <w:bCs/>
            <w:noProof/>
            <w:webHidden/>
          </w:rPr>
        </w:r>
        <w:r w:rsidRPr="00856839">
          <w:rPr>
            <w:bCs/>
            <w:noProof/>
            <w:webHidden/>
          </w:rPr>
          <w:fldChar w:fldCharType="separate"/>
        </w:r>
        <w:r w:rsidR="002142B9">
          <w:rPr>
            <w:bCs/>
            <w:noProof/>
            <w:webHidden/>
          </w:rPr>
          <w:t>34</w:t>
        </w:r>
        <w:r w:rsidRPr="00856839">
          <w:rPr>
            <w:bCs/>
            <w:noProof/>
            <w:webHidden/>
          </w:rPr>
          <w:fldChar w:fldCharType="end"/>
        </w:r>
      </w:hyperlink>
    </w:p>
    <w:p w14:paraId="3271A145" w14:textId="78AC323E"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7" w:history="1">
        <w:r w:rsidRPr="00856839">
          <w:rPr>
            <w:rStyle w:val="Hyperlink"/>
            <w:rFonts w:eastAsia="Times New Roman" w:cs="Book Antiqua"/>
            <w:bCs/>
            <w:noProof/>
            <w:kern w:val="0"/>
            <w:lang w:eastAsia="en-IN"/>
            <w14:ligatures w14:val="none"/>
          </w:rPr>
          <w:t>Figure 2.9</w:t>
        </w:r>
        <w:r w:rsidRPr="00856839">
          <w:rPr>
            <w:rStyle w:val="Hyperlink"/>
            <w:rFonts w:eastAsia="Times New Roman" w:cs="Book Antiqua"/>
            <w:bCs/>
            <w:noProof/>
            <w:kern w:val="0"/>
            <w:lang w:val="en-GB" w:eastAsia="en-IN"/>
            <w14:ligatures w14:val="none"/>
          </w:rPr>
          <w:t>: Key policies influencing the coal market</w:t>
        </w:r>
        <w:r w:rsidRPr="00856839">
          <w:rPr>
            <w:bCs/>
            <w:noProof/>
            <w:webHidden/>
          </w:rPr>
          <w:tab/>
        </w:r>
        <w:r w:rsidRPr="00856839">
          <w:rPr>
            <w:bCs/>
            <w:noProof/>
            <w:webHidden/>
          </w:rPr>
          <w:fldChar w:fldCharType="begin"/>
        </w:r>
        <w:r w:rsidRPr="00856839">
          <w:rPr>
            <w:bCs/>
            <w:noProof/>
            <w:webHidden/>
          </w:rPr>
          <w:instrText xml:space="preserve"> PAGEREF _Toc198731507 \h </w:instrText>
        </w:r>
        <w:r w:rsidRPr="00856839">
          <w:rPr>
            <w:bCs/>
            <w:noProof/>
            <w:webHidden/>
          </w:rPr>
        </w:r>
        <w:r w:rsidRPr="00856839">
          <w:rPr>
            <w:bCs/>
            <w:noProof/>
            <w:webHidden/>
          </w:rPr>
          <w:fldChar w:fldCharType="separate"/>
        </w:r>
        <w:r w:rsidR="002142B9">
          <w:rPr>
            <w:bCs/>
            <w:noProof/>
            <w:webHidden/>
          </w:rPr>
          <w:t>35</w:t>
        </w:r>
        <w:r w:rsidRPr="00856839">
          <w:rPr>
            <w:bCs/>
            <w:noProof/>
            <w:webHidden/>
          </w:rPr>
          <w:fldChar w:fldCharType="end"/>
        </w:r>
      </w:hyperlink>
    </w:p>
    <w:p w14:paraId="4C44B1A7" w14:textId="01105A5B"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8" w:history="1">
        <w:r w:rsidRPr="00856839">
          <w:rPr>
            <w:rStyle w:val="Hyperlink"/>
            <w:rFonts w:eastAsia="Times New Roman" w:cs="Book Antiqua"/>
            <w:bCs/>
            <w:noProof/>
            <w:kern w:val="0"/>
            <w:lang w:val="en-GB" w:eastAsia="en-IN"/>
            <w14:ligatures w14:val="none"/>
          </w:rPr>
          <w:t>Figure 2.10 India’s coal demand by end-use sectors fiscal 2024</w:t>
        </w:r>
        <w:r w:rsidRPr="00856839">
          <w:rPr>
            <w:bCs/>
            <w:noProof/>
            <w:webHidden/>
          </w:rPr>
          <w:tab/>
        </w:r>
        <w:r w:rsidRPr="00856839">
          <w:rPr>
            <w:bCs/>
            <w:noProof/>
            <w:webHidden/>
          </w:rPr>
          <w:fldChar w:fldCharType="begin"/>
        </w:r>
        <w:r w:rsidRPr="00856839">
          <w:rPr>
            <w:bCs/>
            <w:noProof/>
            <w:webHidden/>
          </w:rPr>
          <w:instrText xml:space="preserve"> PAGEREF _Toc198731508 \h </w:instrText>
        </w:r>
        <w:r w:rsidRPr="00856839">
          <w:rPr>
            <w:bCs/>
            <w:noProof/>
            <w:webHidden/>
          </w:rPr>
        </w:r>
        <w:r w:rsidRPr="00856839">
          <w:rPr>
            <w:bCs/>
            <w:noProof/>
            <w:webHidden/>
          </w:rPr>
          <w:fldChar w:fldCharType="separate"/>
        </w:r>
        <w:r w:rsidR="002142B9">
          <w:rPr>
            <w:bCs/>
            <w:noProof/>
            <w:webHidden/>
          </w:rPr>
          <w:t>38</w:t>
        </w:r>
        <w:r w:rsidRPr="00856839">
          <w:rPr>
            <w:bCs/>
            <w:noProof/>
            <w:webHidden/>
          </w:rPr>
          <w:fldChar w:fldCharType="end"/>
        </w:r>
      </w:hyperlink>
    </w:p>
    <w:p w14:paraId="0260287E" w14:textId="6B6702D6"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09" w:history="1">
        <w:r w:rsidRPr="00856839">
          <w:rPr>
            <w:rStyle w:val="Hyperlink"/>
            <w:rFonts w:eastAsia="Times New Roman" w:cs="Book Antiqua"/>
            <w:bCs/>
            <w:noProof/>
            <w:kern w:val="0"/>
            <w:lang w:val="en-GB" w:eastAsia="en-IN"/>
            <w14:ligatures w14:val="none"/>
          </w:rPr>
          <w:t>Figure 2.11 Overall coal demand in India – thermal coal (non-coking) and coking coal (MMT)</w:t>
        </w:r>
        <w:r w:rsidRPr="00856839">
          <w:rPr>
            <w:bCs/>
            <w:noProof/>
            <w:webHidden/>
          </w:rPr>
          <w:tab/>
        </w:r>
        <w:r w:rsidRPr="00856839">
          <w:rPr>
            <w:bCs/>
            <w:noProof/>
            <w:webHidden/>
          </w:rPr>
          <w:fldChar w:fldCharType="begin"/>
        </w:r>
        <w:r w:rsidRPr="00856839">
          <w:rPr>
            <w:bCs/>
            <w:noProof/>
            <w:webHidden/>
          </w:rPr>
          <w:instrText xml:space="preserve"> PAGEREF _Toc198731509 \h </w:instrText>
        </w:r>
        <w:r w:rsidRPr="00856839">
          <w:rPr>
            <w:bCs/>
            <w:noProof/>
            <w:webHidden/>
          </w:rPr>
        </w:r>
        <w:r w:rsidRPr="00856839">
          <w:rPr>
            <w:bCs/>
            <w:noProof/>
            <w:webHidden/>
          </w:rPr>
          <w:fldChar w:fldCharType="separate"/>
        </w:r>
        <w:r w:rsidR="002142B9">
          <w:rPr>
            <w:bCs/>
            <w:noProof/>
            <w:webHidden/>
          </w:rPr>
          <w:t>38</w:t>
        </w:r>
        <w:r w:rsidRPr="00856839">
          <w:rPr>
            <w:bCs/>
            <w:noProof/>
            <w:webHidden/>
          </w:rPr>
          <w:fldChar w:fldCharType="end"/>
        </w:r>
      </w:hyperlink>
    </w:p>
    <w:p w14:paraId="3DFE0E90" w14:textId="69E4CB45"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0" w:history="1">
        <w:r w:rsidRPr="00856839">
          <w:rPr>
            <w:rStyle w:val="Hyperlink"/>
            <w:rFonts w:eastAsia="Times New Roman" w:cs="Book Antiqua"/>
            <w:bCs/>
            <w:noProof/>
            <w:kern w:val="0"/>
            <w:lang w:val="en-GB" w:eastAsia="en-IN"/>
            <w14:ligatures w14:val="none"/>
          </w:rPr>
          <w:t>Figure 2.12 India’s raw coal supply sources</w:t>
        </w:r>
        <w:r w:rsidRPr="00856839">
          <w:rPr>
            <w:bCs/>
            <w:noProof/>
            <w:webHidden/>
          </w:rPr>
          <w:tab/>
        </w:r>
        <w:r w:rsidRPr="00856839">
          <w:rPr>
            <w:bCs/>
            <w:noProof/>
            <w:webHidden/>
          </w:rPr>
          <w:fldChar w:fldCharType="begin"/>
        </w:r>
        <w:r w:rsidRPr="00856839">
          <w:rPr>
            <w:bCs/>
            <w:noProof/>
            <w:webHidden/>
          </w:rPr>
          <w:instrText xml:space="preserve"> PAGEREF _Toc198731510 \h </w:instrText>
        </w:r>
        <w:r w:rsidRPr="00856839">
          <w:rPr>
            <w:bCs/>
            <w:noProof/>
            <w:webHidden/>
          </w:rPr>
        </w:r>
        <w:r w:rsidRPr="00856839">
          <w:rPr>
            <w:bCs/>
            <w:noProof/>
            <w:webHidden/>
          </w:rPr>
          <w:fldChar w:fldCharType="separate"/>
        </w:r>
        <w:r w:rsidR="002142B9">
          <w:rPr>
            <w:bCs/>
            <w:noProof/>
            <w:webHidden/>
          </w:rPr>
          <w:t>39</w:t>
        </w:r>
        <w:r w:rsidRPr="00856839">
          <w:rPr>
            <w:bCs/>
            <w:noProof/>
            <w:webHidden/>
          </w:rPr>
          <w:fldChar w:fldCharType="end"/>
        </w:r>
      </w:hyperlink>
    </w:p>
    <w:p w14:paraId="56818B45" w14:textId="0957014B"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1" w:history="1">
        <w:r w:rsidRPr="00856839">
          <w:rPr>
            <w:rStyle w:val="Hyperlink"/>
            <w:rFonts w:eastAsia="Times New Roman" w:cs="Book Antiqua"/>
            <w:bCs/>
            <w:noProof/>
            <w:kern w:val="0"/>
            <w:lang w:val="en-GB" w:eastAsia="en-IN"/>
            <w14:ligatures w14:val="none"/>
          </w:rPr>
          <w:t>Figure 2.13 India’s levelized raw coal production scenario from different sources (MMT)</w:t>
        </w:r>
        <w:r w:rsidRPr="00856839">
          <w:rPr>
            <w:bCs/>
            <w:noProof/>
            <w:webHidden/>
          </w:rPr>
          <w:tab/>
        </w:r>
        <w:r w:rsidRPr="00856839">
          <w:rPr>
            <w:bCs/>
            <w:noProof/>
            <w:webHidden/>
          </w:rPr>
          <w:fldChar w:fldCharType="begin"/>
        </w:r>
        <w:r w:rsidRPr="00856839">
          <w:rPr>
            <w:bCs/>
            <w:noProof/>
            <w:webHidden/>
          </w:rPr>
          <w:instrText xml:space="preserve"> PAGEREF _Toc198731511 \h </w:instrText>
        </w:r>
        <w:r w:rsidRPr="00856839">
          <w:rPr>
            <w:bCs/>
            <w:noProof/>
            <w:webHidden/>
          </w:rPr>
        </w:r>
        <w:r w:rsidRPr="00856839">
          <w:rPr>
            <w:bCs/>
            <w:noProof/>
            <w:webHidden/>
          </w:rPr>
          <w:fldChar w:fldCharType="separate"/>
        </w:r>
        <w:r w:rsidR="002142B9">
          <w:rPr>
            <w:bCs/>
            <w:noProof/>
            <w:webHidden/>
          </w:rPr>
          <w:t>39</w:t>
        </w:r>
        <w:r w:rsidRPr="00856839">
          <w:rPr>
            <w:bCs/>
            <w:noProof/>
            <w:webHidden/>
          </w:rPr>
          <w:fldChar w:fldCharType="end"/>
        </w:r>
      </w:hyperlink>
    </w:p>
    <w:p w14:paraId="42C8C88F" w14:textId="69D94AF2"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2" w:history="1">
        <w:r w:rsidRPr="00856839">
          <w:rPr>
            <w:rStyle w:val="Hyperlink"/>
            <w:bCs/>
            <w:noProof/>
          </w:rPr>
          <w:t>Figure 3.1: Value chain of mining process showing scope of consultancy services</w:t>
        </w:r>
        <w:r w:rsidRPr="00856839">
          <w:rPr>
            <w:bCs/>
            <w:noProof/>
            <w:webHidden/>
          </w:rPr>
          <w:tab/>
        </w:r>
        <w:r w:rsidRPr="00856839">
          <w:rPr>
            <w:bCs/>
            <w:noProof/>
            <w:webHidden/>
          </w:rPr>
          <w:fldChar w:fldCharType="begin"/>
        </w:r>
        <w:r w:rsidRPr="00856839">
          <w:rPr>
            <w:bCs/>
            <w:noProof/>
            <w:webHidden/>
          </w:rPr>
          <w:instrText xml:space="preserve"> PAGEREF _Toc198731512 \h </w:instrText>
        </w:r>
        <w:r w:rsidRPr="00856839">
          <w:rPr>
            <w:bCs/>
            <w:noProof/>
            <w:webHidden/>
          </w:rPr>
        </w:r>
        <w:r w:rsidRPr="00856839">
          <w:rPr>
            <w:bCs/>
            <w:noProof/>
            <w:webHidden/>
          </w:rPr>
          <w:fldChar w:fldCharType="separate"/>
        </w:r>
        <w:r w:rsidR="002142B9">
          <w:rPr>
            <w:bCs/>
            <w:noProof/>
            <w:webHidden/>
          </w:rPr>
          <w:t>49</w:t>
        </w:r>
        <w:r w:rsidRPr="00856839">
          <w:rPr>
            <w:bCs/>
            <w:noProof/>
            <w:webHidden/>
          </w:rPr>
          <w:fldChar w:fldCharType="end"/>
        </w:r>
      </w:hyperlink>
    </w:p>
    <w:p w14:paraId="2BC2DE68" w14:textId="501D28AA"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3" w:history="1">
        <w:r w:rsidRPr="00856839">
          <w:rPr>
            <w:rStyle w:val="Hyperlink"/>
            <w:rFonts w:eastAsia="Times New Roman" w:cs="Book Antiqua"/>
            <w:bCs/>
            <w:noProof/>
            <w:kern w:val="0"/>
            <w:lang w:val="en-GB" w:eastAsia="en-IN"/>
            <w14:ligatures w14:val="none"/>
          </w:rPr>
          <w:t>Figure 3.2: NMET expenditure in million rupees</w:t>
        </w:r>
        <w:r w:rsidRPr="00856839">
          <w:rPr>
            <w:bCs/>
            <w:noProof/>
            <w:webHidden/>
          </w:rPr>
          <w:tab/>
        </w:r>
        <w:r w:rsidRPr="00856839">
          <w:rPr>
            <w:bCs/>
            <w:noProof/>
            <w:webHidden/>
          </w:rPr>
          <w:fldChar w:fldCharType="begin"/>
        </w:r>
        <w:r w:rsidRPr="00856839">
          <w:rPr>
            <w:bCs/>
            <w:noProof/>
            <w:webHidden/>
          </w:rPr>
          <w:instrText xml:space="preserve"> PAGEREF _Toc198731513 \h </w:instrText>
        </w:r>
        <w:r w:rsidRPr="00856839">
          <w:rPr>
            <w:bCs/>
            <w:noProof/>
            <w:webHidden/>
          </w:rPr>
        </w:r>
        <w:r w:rsidRPr="00856839">
          <w:rPr>
            <w:bCs/>
            <w:noProof/>
            <w:webHidden/>
          </w:rPr>
          <w:fldChar w:fldCharType="separate"/>
        </w:r>
        <w:r w:rsidR="002142B9">
          <w:rPr>
            <w:bCs/>
            <w:noProof/>
            <w:webHidden/>
          </w:rPr>
          <w:t>52</w:t>
        </w:r>
        <w:r w:rsidRPr="00856839">
          <w:rPr>
            <w:bCs/>
            <w:noProof/>
            <w:webHidden/>
          </w:rPr>
          <w:fldChar w:fldCharType="end"/>
        </w:r>
      </w:hyperlink>
    </w:p>
    <w:p w14:paraId="6DDB080E" w14:textId="09ADDA2D"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4" w:history="1">
        <w:r w:rsidRPr="00856839">
          <w:rPr>
            <w:rStyle w:val="Hyperlink"/>
            <w:rFonts w:eastAsia="Times New Roman" w:cs="Book Antiqua"/>
            <w:bCs/>
            <w:noProof/>
            <w:kern w:val="0"/>
            <w:lang w:val="en-GB" w:eastAsia="en-IN"/>
            <w14:ligatures w14:val="none"/>
          </w:rPr>
          <w:t>Figure 3.3: NMET sanctioned projects estimated costs in million</w:t>
        </w:r>
        <w:r w:rsidRPr="00856839">
          <w:rPr>
            <w:bCs/>
            <w:noProof/>
            <w:webHidden/>
          </w:rPr>
          <w:tab/>
        </w:r>
        <w:r w:rsidRPr="00856839">
          <w:rPr>
            <w:bCs/>
            <w:noProof/>
            <w:webHidden/>
          </w:rPr>
          <w:fldChar w:fldCharType="begin"/>
        </w:r>
        <w:r w:rsidRPr="00856839">
          <w:rPr>
            <w:bCs/>
            <w:noProof/>
            <w:webHidden/>
          </w:rPr>
          <w:instrText xml:space="preserve"> PAGEREF _Toc198731514 \h </w:instrText>
        </w:r>
        <w:r w:rsidRPr="00856839">
          <w:rPr>
            <w:bCs/>
            <w:noProof/>
            <w:webHidden/>
          </w:rPr>
        </w:r>
        <w:r w:rsidRPr="00856839">
          <w:rPr>
            <w:bCs/>
            <w:noProof/>
            <w:webHidden/>
          </w:rPr>
          <w:fldChar w:fldCharType="separate"/>
        </w:r>
        <w:r w:rsidR="002142B9">
          <w:rPr>
            <w:bCs/>
            <w:noProof/>
            <w:webHidden/>
          </w:rPr>
          <w:t>52</w:t>
        </w:r>
        <w:r w:rsidRPr="00856839">
          <w:rPr>
            <w:bCs/>
            <w:noProof/>
            <w:webHidden/>
          </w:rPr>
          <w:fldChar w:fldCharType="end"/>
        </w:r>
      </w:hyperlink>
    </w:p>
    <w:p w14:paraId="06D0FDD8" w14:textId="6D97B0B5"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5" w:history="1">
        <w:r w:rsidRPr="00856839">
          <w:rPr>
            <w:rStyle w:val="Hyperlink"/>
            <w:bCs/>
            <w:noProof/>
          </w:rPr>
          <w:t>Figure 3.4 Estimated market for mining consultancy (Rs million)</w:t>
        </w:r>
        <w:r w:rsidRPr="00856839">
          <w:rPr>
            <w:bCs/>
            <w:noProof/>
            <w:webHidden/>
          </w:rPr>
          <w:tab/>
        </w:r>
        <w:r w:rsidRPr="00856839">
          <w:rPr>
            <w:bCs/>
            <w:noProof/>
            <w:webHidden/>
          </w:rPr>
          <w:fldChar w:fldCharType="begin"/>
        </w:r>
        <w:r w:rsidRPr="00856839">
          <w:rPr>
            <w:bCs/>
            <w:noProof/>
            <w:webHidden/>
          </w:rPr>
          <w:instrText xml:space="preserve"> PAGEREF _Toc198731515 \h </w:instrText>
        </w:r>
        <w:r w:rsidRPr="00856839">
          <w:rPr>
            <w:bCs/>
            <w:noProof/>
            <w:webHidden/>
          </w:rPr>
        </w:r>
        <w:r w:rsidRPr="00856839">
          <w:rPr>
            <w:bCs/>
            <w:noProof/>
            <w:webHidden/>
          </w:rPr>
          <w:fldChar w:fldCharType="separate"/>
        </w:r>
        <w:r w:rsidR="002142B9">
          <w:rPr>
            <w:bCs/>
            <w:noProof/>
            <w:webHidden/>
          </w:rPr>
          <w:t>56</w:t>
        </w:r>
        <w:r w:rsidRPr="00856839">
          <w:rPr>
            <w:bCs/>
            <w:noProof/>
            <w:webHidden/>
          </w:rPr>
          <w:fldChar w:fldCharType="end"/>
        </w:r>
      </w:hyperlink>
    </w:p>
    <w:p w14:paraId="1AA70B95" w14:textId="6F631114"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6" w:history="1">
        <w:r w:rsidRPr="00856839">
          <w:rPr>
            <w:rStyle w:val="Hyperlink"/>
            <w:bCs/>
            <w:noProof/>
          </w:rPr>
          <w:t>Figure 3.5 Estimated sector wise market for mining consultancy (Rs million)</w:t>
        </w:r>
        <w:r w:rsidRPr="00856839">
          <w:rPr>
            <w:bCs/>
            <w:noProof/>
            <w:webHidden/>
          </w:rPr>
          <w:tab/>
        </w:r>
        <w:r w:rsidRPr="00856839">
          <w:rPr>
            <w:bCs/>
            <w:noProof/>
            <w:webHidden/>
          </w:rPr>
          <w:fldChar w:fldCharType="begin"/>
        </w:r>
        <w:r w:rsidRPr="00856839">
          <w:rPr>
            <w:bCs/>
            <w:noProof/>
            <w:webHidden/>
          </w:rPr>
          <w:instrText xml:space="preserve"> PAGEREF _Toc198731516 \h </w:instrText>
        </w:r>
        <w:r w:rsidRPr="00856839">
          <w:rPr>
            <w:bCs/>
            <w:noProof/>
            <w:webHidden/>
          </w:rPr>
        </w:r>
        <w:r w:rsidRPr="00856839">
          <w:rPr>
            <w:bCs/>
            <w:noProof/>
            <w:webHidden/>
          </w:rPr>
          <w:fldChar w:fldCharType="separate"/>
        </w:r>
        <w:r w:rsidR="002142B9">
          <w:rPr>
            <w:bCs/>
            <w:noProof/>
            <w:webHidden/>
          </w:rPr>
          <w:t>56</w:t>
        </w:r>
        <w:r w:rsidRPr="00856839">
          <w:rPr>
            <w:bCs/>
            <w:noProof/>
            <w:webHidden/>
          </w:rPr>
          <w:fldChar w:fldCharType="end"/>
        </w:r>
      </w:hyperlink>
    </w:p>
    <w:p w14:paraId="15740AE1" w14:textId="469319E3"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7" w:history="1">
        <w:r w:rsidRPr="00856839">
          <w:rPr>
            <w:rStyle w:val="Hyperlink"/>
            <w:bCs/>
            <w:noProof/>
          </w:rPr>
          <w:t>Figure 3.6 Expected drilling market for commercial coal mines (in lakh meters) up to Tranche X of MMDR Act/ Tranche XX of CMSP Act</w:t>
        </w:r>
        <w:r w:rsidRPr="00856839">
          <w:rPr>
            <w:bCs/>
            <w:noProof/>
            <w:webHidden/>
          </w:rPr>
          <w:tab/>
        </w:r>
        <w:r w:rsidRPr="00856839">
          <w:rPr>
            <w:bCs/>
            <w:noProof/>
            <w:webHidden/>
          </w:rPr>
          <w:fldChar w:fldCharType="begin"/>
        </w:r>
        <w:r w:rsidRPr="00856839">
          <w:rPr>
            <w:bCs/>
            <w:noProof/>
            <w:webHidden/>
          </w:rPr>
          <w:instrText xml:space="preserve"> PAGEREF _Toc198731517 \h </w:instrText>
        </w:r>
        <w:r w:rsidRPr="00856839">
          <w:rPr>
            <w:bCs/>
            <w:noProof/>
            <w:webHidden/>
          </w:rPr>
        </w:r>
        <w:r w:rsidRPr="00856839">
          <w:rPr>
            <w:bCs/>
            <w:noProof/>
            <w:webHidden/>
          </w:rPr>
          <w:fldChar w:fldCharType="separate"/>
        </w:r>
        <w:r w:rsidR="002142B9">
          <w:rPr>
            <w:bCs/>
            <w:noProof/>
            <w:webHidden/>
          </w:rPr>
          <w:t>57</w:t>
        </w:r>
        <w:r w:rsidRPr="00856839">
          <w:rPr>
            <w:bCs/>
            <w:noProof/>
            <w:webHidden/>
          </w:rPr>
          <w:fldChar w:fldCharType="end"/>
        </w:r>
      </w:hyperlink>
    </w:p>
    <w:p w14:paraId="1FD2129C" w14:textId="1454E96B"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8" w:history="1">
        <w:r w:rsidRPr="00856839">
          <w:rPr>
            <w:rStyle w:val="Hyperlink"/>
            <w:bCs/>
            <w:noProof/>
          </w:rPr>
          <w:t>Figure 4.1: Snapshot of CMPDIL’s financial performance in fiscal 2025</w:t>
        </w:r>
        <w:r w:rsidRPr="00856839">
          <w:rPr>
            <w:bCs/>
            <w:noProof/>
            <w:webHidden/>
          </w:rPr>
          <w:tab/>
        </w:r>
        <w:r w:rsidRPr="00856839">
          <w:rPr>
            <w:bCs/>
            <w:noProof/>
            <w:webHidden/>
          </w:rPr>
          <w:fldChar w:fldCharType="begin"/>
        </w:r>
        <w:r w:rsidRPr="00856839">
          <w:rPr>
            <w:bCs/>
            <w:noProof/>
            <w:webHidden/>
          </w:rPr>
          <w:instrText xml:space="preserve"> PAGEREF _Toc198731518 \h </w:instrText>
        </w:r>
        <w:r w:rsidRPr="00856839">
          <w:rPr>
            <w:bCs/>
            <w:noProof/>
            <w:webHidden/>
          </w:rPr>
        </w:r>
        <w:r w:rsidRPr="00856839">
          <w:rPr>
            <w:bCs/>
            <w:noProof/>
            <w:webHidden/>
          </w:rPr>
          <w:fldChar w:fldCharType="separate"/>
        </w:r>
        <w:r w:rsidR="002142B9">
          <w:rPr>
            <w:bCs/>
            <w:noProof/>
            <w:webHidden/>
          </w:rPr>
          <w:t>66</w:t>
        </w:r>
        <w:r w:rsidRPr="00856839">
          <w:rPr>
            <w:bCs/>
            <w:noProof/>
            <w:webHidden/>
          </w:rPr>
          <w:fldChar w:fldCharType="end"/>
        </w:r>
      </w:hyperlink>
    </w:p>
    <w:p w14:paraId="5920BF57" w14:textId="188B5A15"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19" w:history="1">
        <w:r w:rsidRPr="00856839">
          <w:rPr>
            <w:rStyle w:val="Hyperlink"/>
            <w:bCs/>
            <w:noProof/>
          </w:rPr>
          <w:t>Figure 4.2: Revenue (in million rupees) from exploration for CMPDIL and MECL</w:t>
        </w:r>
        <w:r w:rsidRPr="00856839">
          <w:rPr>
            <w:bCs/>
            <w:noProof/>
            <w:webHidden/>
          </w:rPr>
          <w:tab/>
        </w:r>
        <w:r w:rsidRPr="00856839">
          <w:rPr>
            <w:bCs/>
            <w:noProof/>
            <w:webHidden/>
          </w:rPr>
          <w:fldChar w:fldCharType="begin"/>
        </w:r>
        <w:r w:rsidRPr="00856839">
          <w:rPr>
            <w:bCs/>
            <w:noProof/>
            <w:webHidden/>
          </w:rPr>
          <w:instrText xml:space="preserve"> PAGEREF _Toc198731519 \h </w:instrText>
        </w:r>
        <w:r w:rsidRPr="00856839">
          <w:rPr>
            <w:bCs/>
            <w:noProof/>
            <w:webHidden/>
          </w:rPr>
        </w:r>
        <w:r w:rsidRPr="00856839">
          <w:rPr>
            <w:bCs/>
            <w:noProof/>
            <w:webHidden/>
          </w:rPr>
          <w:fldChar w:fldCharType="separate"/>
        </w:r>
        <w:r w:rsidR="002142B9">
          <w:rPr>
            <w:bCs/>
            <w:noProof/>
            <w:webHidden/>
          </w:rPr>
          <w:t>67</w:t>
        </w:r>
        <w:r w:rsidRPr="00856839">
          <w:rPr>
            <w:bCs/>
            <w:noProof/>
            <w:webHidden/>
          </w:rPr>
          <w:fldChar w:fldCharType="end"/>
        </w:r>
      </w:hyperlink>
    </w:p>
    <w:p w14:paraId="5859502F" w14:textId="350B918D"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20" w:history="1">
        <w:r w:rsidRPr="00856839">
          <w:rPr>
            <w:rStyle w:val="Hyperlink"/>
            <w:bCs/>
            <w:noProof/>
          </w:rPr>
          <w:t>Figure 4.3: Revenue (in million rupees) from planning and design for CMPDIL and MECON revenue</w:t>
        </w:r>
        <w:r w:rsidRPr="00856839">
          <w:rPr>
            <w:bCs/>
            <w:noProof/>
            <w:webHidden/>
          </w:rPr>
          <w:tab/>
        </w:r>
        <w:r w:rsidRPr="00856839">
          <w:rPr>
            <w:bCs/>
            <w:noProof/>
            <w:webHidden/>
          </w:rPr>
          <w:fldChar w:fldCharType="begin"/>
        </w:r>
        <w:r w:rsidRPr="00856839">
          <w:rPr>
            <w:bCs/>
            <w:noProof/>
            <w:webHidden/>
          </w:rPr>
          <w:instrText xml:space="preserve"> PAGEREF _Toc198731520 \h </w:instrText>
        </w:r>
        <w:r w:rsidRPr="00856839">
          <w:rPr>
            <w:bCs/>
            <w:noProof/>
            <w:webHidden/>
          </w:rPr>
        </w:r>
        <w:r w:rsidRPr="00856839">
          <w:rPr>
            <w:bCs/>
            <w:noProof/>
            <w:webHidden/>
          </w:rPr>
          <w:fldChar w:fldCharType="separate"/>
        </w:r>
        <w:r w:rsidR="002142B9">
          <w:rPr>
            <w:bCs/>
            <w:noProof/>
            <w:webHidden/>
          </w:rPr>
          <w:t>67</w:t>
        </w:r>
        <w:r w:rsidRPr="00856839">
          <w:rPr>
            <w:bCs/>
            <w:noProof/>
            <w:webHidden/>
          </w:rPr>
          <w:fldChar w:fldCharType="end"/>
        </w:r>
      </w:hyperlink>
    </w:p>
    <w:p w14:paraId="75660445" w14:textId="17DB915C"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21" w:history="1">
        <w:r w:rsidRPr="00856839">
          <w:rPr>
            <w:rStyle w:val="Hyperlink"/>
            <w:bCs/>
            <w:noProof/>
          </w:rPr>
          <w:t>Figure 4.4: Details of drilling by CMPDIL in Lakh Meters  |   Details of drilling in by MECL in Lakh Meters</w:t>
        </w:r>
        <w:r w:rsidRPr="00856839">
          <w:rPr>
            <w:bCs/>
            <w:noProof/>
            <w:webHidden/>
          </w:rPr>
          <w:tab/>
        </w:r>
        <w:r w:rsidRPr="00856839">
          <w:rPr>
            <w:bCs/>
            <w:noProof/>
            <w:webHidden/>
          </w:rPr>
          <w:fldChar w:fldCharType="begin"/>
        </w:r>
        <w:r w:rsidRPr="00856839">
          <w:rPr>
            <w:bCs/>
            <w:noProof/>
            <w:webHidden/>
          </w:rPr>
          <w:instrText xml:space="preserve"> PAGEREF _Toc198731521 \h </w:instrText>
        </w:r>
        <w:r w:rsidRPr="00856839">
          <w:rPr>
            <w:bCs/>
            <w:noProof/>
            <w:webHidden/>
          </w:rPr>
        </w:r>
        <w:r w:rsidRPr="00856839">
          <w:rPr>
            <w:bCs/>
            <w:noProof/>
            <w:webHidden/>
          </w:rPr>
          <w:fldChar w:fldCharType="separate"/>
        </w:r>
        <w:r w:rsidR="002142B9">
          <w:rPr>
            <w:bCs/>
            <w:noProof/>
            <w:webHidden/>
          </w:rPr>
          <w:t>75</w:t>
        </w:r>
        <w:r w:rsidRPr="00856839">
          <w:rPr>
            <w:bCs/>
            <w:noProof/>
            <w:webHidden/>
          </w:rPr>
          <w:fldChar w:fldCharType="end"/>
        </w:r>
      </w:hyperlink>
    </w:p>
    <w:p w14:paraId="65BECC2A" w14:textId="5D6446AB" w:rsidR="00856839" w:rsidRPr="00856839" w:rsidRDefault="00856839">
      <w:pPr>
        <w:pStyle w:val="TableofFigures"/>
        <w:tabs>
          <w:tab w:val="right" w:leader="dot" w:pos="10520"/>
        </w:tabs>
        <w:rPr>
          <w:rFonts w:asciiTheme="minorHAnsi" w:eastAsiaTheme="minorEastAsia" w:hAnsiTheme="minorHAnsi" w:cstheme="minorBidi"/>
          <w:bCs/>
          <w:noProof/>
          <w:color w:val="auto"/>
          <w:sz w:val="24"/>
          <w:szCs w:val="24"/>
        </w:rPr>
      </w:pPr>
      <w:hyperlink w:anchor="_Toc198731522" w:history="1">
        <w:r w:rsidRPr="00856839">
          <w:rPr>
            <w:rStyle w:val="Hyperlink"/>
            <w:bCs/>
            <w:noProof/>
          </w:rPr>
          <w:t>Figure 4.5: Details of geophysical logging carried out by CMPDIL and MECL in Lakh Meters</w:t>
        </w:r>
        <w:r w:rsidRPr="00856839">
          <w:rPr>
            <w:bCs/>
            <w:noProof/>
            <w:webHidden/>
          </w:rPr>
          <w:tab/>
        </w:r>
        <w:r w:rsidRPr="00856839">
          <w:rPr>
            <w:bCs/>
            <w:noProof/>
            <w:webHidden/>
          </w:rPr>
          <w:fldChar w:fldCharType="begin"/>
        </w:r>
        <w:r w:rsidRPr="00856839">
          <w:rPr>
            <w:bCs/>
            <w:noProof/>
            <w:webHidden/>
          </w:rPr>
          <w:instrText xml:space="preserve"> PAGEREF _Toc198731522 \h </w:instrText>
        </w:r>
        <w:r w:rsidRPr="00856839">
          <w:rPr>
            <w:bCs/>
            <w:noProof/>
            <w:webHidden/>
          </w:rPr>
        </w:r>
        <w:r w:rsidRPr="00856839">
          <w:rPr>
            <w:bCs/>
            <w:noProof/>
            <w:webHidden/>
          </w:rPr>
          <w:fldChar w:fldCharType="separate"/>
        </w:r>
        <w:r w:rsidR="002142B9">
          <w:rPr>
            <w:bCs/>
            <w:noProof/>
            <w:webHidden/>
          </w:rPr>
          <w:t>76</w:t>
        </w:r>
        <w:r w:rsidRPr="00856839">
          <w:rPr>
            <w:bCs/>
            <w:noProof/>
            <w:webHidden/>
          </w:rPr>
          <w:fldChar w:fldCharType="end"/>
        </w:r>
      </w:hyperlink>
    </w:p>
    <w:p w14:paraId="7BE0A836" w14:textId="63AB6642" w:rsidR="00C7511A" w:rsidRPr="00903909" w:rsidRDefault="00C7511A" w:rsidP="00662938">
      <w:pPr>
        <w:pageBreakBefore/>
        <w:spacing w:before="40" w:after="40" w:line="264" w:lineRule="auto"/>
        <w:ind w:right="182"/>
        <w:rPr>
          <w:b/>
          <w:sz w:val="28"/>
          <w:szCs w:val="28"/>
        </w:rPr>
      </w:pPr>
      <w:r w:rsidRPr="00856839">
        <w:rPr>
          <w:bCs/>
        </w:rPr>
        <w:fldChar w:fldCharType="end"/>
      </w:r>
      <w:bookmarkStart w:id="1" w:name="_Toc320786905"/>
      <w:bookmarkStart w:id="2" w:name="_Toc373250307"/>
      <w:r w:rsidRPr="00903909">
        <w:rPr>
          <w:b/>
          <w:sz w:val="28"/>
          <w:szCs w:val="28"/>
        </w:rPr>
        <w:t>Abbreviations</w:t>
      </w:r>
    </w:p>
    <w:tbl>
      <w:tblPr>
        <w:tblW w:w="5000" w:type="pct"/>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left w:w="58" w:type="dxa"/>
          <w:right w:w="58" w:type="dxa"/>
        </w:tblCellMar>
        <w:tblLook w:val="0600" w:firstRow="0" w:lastRow="0" w:firstColumn="0" w:lastColumn="0" w:noHBand="1" w:noVBand="1"/>
      </w:tblPr>
      <w:tblGrid>
        <w:gridCol w:w="1747"/>
        <w:gridCol w:w="8777"/>
      </w:tblGrid>
      <w:tr w:rsidR="00C7511A" w:rsidRPr="00C46961" w14:paraId="475BF377" w14:textId="77777777" w:rsidTr="002F7E18">
        <w:trPr>
          <w:cantSplit/>
          <w:trHeight w:val="288"/>
          <w:tblHeader/>
        </w:trPr>
        <w:tc>
          <w:tcPr>
            <w:tcW w:w="830" w:type="pct"/>
            <w:shd w:val="clear" w:color="auto" w:fill="005B72"/>
            <w:vAlign w:val="center"/>
          </w:tcPr>
          <w:p w14:paraId="74A2104E" w14:textId="77777777" w:rsidR="00C7511A" w:rsidRPr="00C46961" w:rsidRDefault="00C7511A" w:rsidP="002F7E18">
            <w:pPr>
              <w:spacing w:after="120" w:line="240" w:lineRule="auto"/>
              <w:ind w:right="182"/>
              <w:rPr>
                <w:b/>
                <w:color w:val="FFFFFF" w:themeColor="background1"/>
                <w:szCs w:val="20"/>
              </w:rPr>
            </w:pPr>
            <w:r w:rsidRPr="00C46961">
              <w:rPr>
                <w:b/>
                <w:color w:val="FFFFFF" w:themeColor="background1"/>
                <w:szCs w:val="20"/>
              </w:rPr>
              <w:t>Abbreviation</w:t>
            </w:r>
          </w:p>
        </w:tc>
        <w:tc>
          <w:tcPr>
            <w:tcW w:w="4170" w:type="pct"/>
            <w:shd w:val="clear" w:color="auto" w:fill="005B72"/>
            <w:vAlign w:val="center"/>
          </w:tcPr>
          <w:p w14:paraId="085887BC" w14:textId="77777777" w:rsidR="00C7511A" w:rsidRPr="00C46961" w:rsidRDefault="00C7511A" w:rsidP="002F7E18">
            <w:pPr>
              <w:spacing w:after="120" w:line="240" w:lineRule="auto"/>
              <w:ind w:right="182"/>
              <w:rPr>
                <w:b/>
                <w:color w:val="FFFFFF" w:themeColor="background1"/>
                <w:szCs w:val="20"/>
              </w:rPr>
            </w:pPr>
            <w:r w:rsidRPr="00C46961">
              <w:rPr>
                <w:b/>
                <w:color w:val="FFFFFF" w:themeColor="background1"/>
                <w:szCs w:val="20"/>
              </w:rPr>
              <w:t>Full form</w:t>
            </w:r>
          </w:p>
        </w:tc>
      </w:tr>
      <w:tr w:rsidR="006600AD" w:rsidRPr="00C46961" w14:paraId="5229D8FD" w14:textId="77777777" w:rsidTr="002F7E18">
        <w:trPr>
          <w:cantSplit/>
          <w:trHeight w:val="288"/>
        </w:trPr>
        <w:tc>
          <w:tcPr>
            <w:tcW w:w="830" w:type="pct"/>
            <w:shd w:val="clear" w:color="auto" w:fill="FFFFFF"/>
            <w:vAlign w:val="center"/>
          </w:tcPr>
          <w:p w14:paraId="2D97F09A" w14:textId="39D76646" w:rsidR="006600AD" w:rsidRPr="007E7856" w:rsidRDefault="006600AD" w:rsidP="007E7856">
            <w:pPr>
              <w:spacing w:before="0" w:after="0" w:line="276" w:lineRule="auto"/>
              <w:ind w:right="182"/>
              <w:rPr>
                <w:b/>
                <w:bCs/>
                <w:szCs w:val="20"/>
              </w:rPr>
            </w:pPr>
            <w:r w:rsidRPr="007E7856">
              <w:rPr>
                <w:b/>
                <w:szCs w:val="20"/>
              </w:rPr>
              <w:t>CIL</w:t>
            </w:r>
          </w:p>
        </w:tc>
        <w:tc>
          <w:tcPr>
            <w:tcW w:w="4170" w:type="pct"/>
            <w:shd w:val="clear" w:color="auto" w:fill="FFFFFF"/>
            <w:vAlign w:val="center"/>
          </w:tcPr>
          <w:p w14:paraId="38F60BA7" w14:textId="177B6E30" w:rsidR="006600AD" w:rsidRPr="007E7856" w:rsidRDefault="006600AD" w:rsidP="007E7856">
            <w:pPr>
              <w:spacing w:before="0" w:after="0" w:line="276" w:lineRule="auto"/>
              <w:ind w:right="182"/>
              <w:rPr>
                <w:szCs w:val="20"/>
              </w:rPr>
            </w:pPr>
            <w:r w:rsidRPr="007E7856">
              <w:rPr>
                <w:szCs w:val="20"/>
              </w:rPr>
              <w:t>Coal India Limited</w:t>
            </w:r>
          </w:p>
        </w:tc>
      </w:tr>
      <w:tr w:rsidR="00363885" w:rsidRPr="00C46961" w14:paraId="6B4ADC59" w14:textId="77777777" w:rsidTr="002F7E18">
        <w:trPr>
          <w:cantSplit/>
          <w:trHeight w:val="288"/>
        </w:trPr>
        <w:tc>
          <w:tcPr>
            <w:tcW w:w="830" w:type="pct"/>
            <w:shd w:val="clear" w:color="auto" w:fill="FFFFFF"/>
            <w:vAlign w:val="center"/>
          </w:tcPr>
          <w:p w14:paraId="62DAAF40" w14:textId="75327E3A" w:rsidR="00363885" w:rsidRPr="007E7856" w:rsidRDefault="00363885" w:rsidP="007E7856">
            <w:pPr>
              <w:spacing w:before="0" w:after="0" w:line="276" w:lineRule="auto"/>
              <w:ind w:right="182"/>
              <w:rPr>
                <w:b/>
                <w:szCs w:val="20"/>
              </w:rPr>
            </w:pPr>
            <w:r w:rsidRPr="007E7856">
              <w:rPr>
                <w:b/>
                <w:szCs w:val="20"/>
              </w:rPr>
              <w:t>CMPDIL</w:t>
            </w:r>
          </w:p>
        </w:tc>
        <w:tc>
          <w:tcPr>
            <w:tcW w:w="4170" w:type="pct"/>
            <w:shd w:val="clear" w:color="auto" w:fill="FFFFFF"/>
            <w:vAlign w:val="center"/>
          </w:tcPr>
          <w:p w14:paraId="7A82141F" w14:textId="2D216404" w:rsidR="00363885" w:rsidRPr="007E7856" w:rsidRDefault="00363885" w:rsidP="007E7856">
            <w:pPr>
              <w:spacing w:before="0" w:after="0" w:line="276" w:lineRule="auto"/>
              <w:ind w:right="182"/>
              <w:rPr>
                <w:szCs w:val="20"/>
              </w:rPr>
            </w:pPr>
            <w:r w:rsidRPr="007E7856">
              <w:rPr>
                <w:szCs w:val="20"/>
              </w:rPr>
              <w:t>Central Mine Planning and Design Institute Limited</w:t>
            </w:r>
          </w:p>
        </w:tc>
      </w:tr>
      <w:tr w:rsidR="006600AD" w:rsidRPr="00C46961" w14:paraId="6625FD09" w14:textId="77777777" w:rsidTr="002F7E18">
        <w:trPr>
          <w:cantSplit/>
          <w:trHeight w:val="288"/>
        </w:trPr>
        <w:tc>
          <w:tcPr>
            <w:tcW w:w="830" w:type="pct"/>
            <w:shd w:val="clear" w:color="auto" w:fill="FFFFFF"/>
            <w:vAlign w:val="center"/>
          </w:tcPr>
          <w:p w14:paraId="39F088B3" w14:textId="2E0434D9" w:rsidR="006600AD" w:rsidRPr="007E7856" w:rsidRDefault="006600AD" w:rsidP="007E7856">
            <w:pPr>
              <w:spacing w:before="0" w:after="0" w:line="276" w:lineRule="auto"/>
              <w:ind w:right="182"/>
              <w:rPr>
                <w:b/>
                <w:bCs/>
                <w:szCs w:val="20"/>
              </w:rPr>
            </w:pPr>
            <w:r w:rsidRPr="007E7856">
              <w:rPr>
                <w:b/>
                <w:bCs/>
                <w:szCs w:val="20"/>
              </w:rPr>
              <w:t>BCCL</w:t>
            </w:r>
          </w:p>
        </w:tc>
        <w:tc>
          <w:tcPr>
            <w:tcW w:w="4170" w:type="pct"/>
            <w:shd w:val="clear" w:color="auto" w:fill="FFFFFF"/>
            <w:vAlign w:val="center"/>
          </w:tcPr>
          <w:p w14:paraId="5BB9134B" w14:textId="3C1EAAFD" w:rsidR="006600AD" w:rsidRPr="007E7856" w:rsidRDefault="006600AD" w:rsidP="007E7856">
            <w:pPr>
              <w:spacing w:before="0" w:after="0" w:line="276" w:lineRule="auto"/>
              <w:ind w:right="182"/>
              <w:rPr>
                <w:szCs w:val="20"/>
              </w:rPr>
            </w:pPr>
            <w:r w:rsidRPr="007E7856">
              <w:rPr>
                <w:szCs w:val="20"/>
              </w:rPr>
              <w:t>Bharat Coking Coal Limited</w:t>
            </w:r>
          </w:p>
        </w:tc>
      </w:tr>
      <w:tr w:rsidR="006600AD" w:rsidRPr="00C46961" w14:paraId="504F649A" w14:textId="77777777" w:rsidTr="002F7E18">
        <w:trPr>
          <w:cantSplit/>
          <w:trHeight w:val="288"/>
        </w:trPr>
        <w:tc>
          <w:tcPr>
            <w:tcW w:w="830" w:type="pct"/>
            <w:shd w:val="clear" w:color="auto" w:fill="FFFFFF"/>
            <w:vAlign w:val="center"/>
          </w:tcPr>
          <w:p w14:paraId="66C4804C" w14:textId="30EE81C5" w:rsidR="006600AD" w:rsidRPr="007E7856" w:rsidRDefault="006600AD" w:rsidP="007E7856">
            <w:pPr>
              <w:spacing w:before="0" w:after="0" w:line="276" w:lineRule="auto"/>
              <w:ind w:right="182"/>
              <w:rPr>
                <w:b/>
                <w:bCs/>
                <w:szCs w:val="20"/>
              </w:rPr>
            </w:pPr>
            <w:r w:rsidRPr="007E7856">
              <w:rPr>
                <w:b/>
                <w:szCs w:val="20"/>
              </w:rPr>
              <w:t>CCL</w:t>
            </w:r>
          </w:p>
        </w:tc>
        <w:tc>
          <w:tcPr>
            <w:tcW w:w="4170" w:type="pct"/>
            <w:shd w:val="clear" w:color="auto" w:fill="FFFFFF"/>
            <w:vAlign w:val="center"/>
          </w:tcPr>
          <w:p w14:paraId="1B7AC7CB" w14:textId="48F53E34" w:rsidR="006600AD" w:rsidRPr="007E7856" w:rsidRDefault="006600AD" w:rsidP="007E7856">
            <w:pPr>
              <w:spacing w:before="0" w:after="0" w:line="276" w:lineRule="auto"/>
              <w:ind w:right="182"/>
              <w:rPr>
                <w:szCs w:val="20"/>
              </w:rPr>
            </w:pPr>
            <w:r w:rsidRPr="007E7856">
              <w:rPr>
                <w:szCs w:val="20"/>
              </w:rPr>
              <w:t>Central Coalfields Limited</w:t>
            </w:r>
          </w:p>
        </w:tc>
      </w:tr>
      <w:tr w:rsidR="006600AD" w:rsidRPr="00C46961" w14:paraId="2728DDAB" w14:textId="77777777" w:rsidTr="002F7E18">
        <w:trPr>
          <w:cantSplit/>
          <w:trHeight w:val="288"/>
        </w:trPr>
        <w:tc>
          <w:tcPr>
            <w:tcW w:w="830" w:type="pct"/>
            <w:shd w:val="clear" w:color="auto" w:fill="FFFFFF"/>
            <w:vAlign w:val="center"/>
          </w:tcPr>
          <w:p w14:paraId="2B1EAE43" w14:textId="53082E7F" w:rsidR="006600AD" w:rsidRPr="007E7856" w:rsidRDefault="006600AD" w:rsidP="007E7856">
            <w:pPr>
              <w:spacing w:before="0" w:after="0" w:line="276" w:lineRule="auto"/>
              <w:ind w:right="182"/>
              <w:rPr>
                <w:b/>
                <w:szCs w:val="20"/>
              </w:rPr>
            </w:pPr>
            <w:r w:rsidRPr="007E7856">
              <w:rPr>
                <w:b/>
                <w:szCs w:val="20"/>
              </w:rPr>
              <w:t>ECL</w:t>
            </w:r>
          </w:p>
        </w:tc>
        <w:tc>
          <w:tcPr>
            <w:tcW w:w="4170" w:type="pct"/>
            <w:shd w:val="clear" w:color="auto" w:fill="FFFFFF"/>
            <w:vAlign w:val="center"/>
          </w:tcPr>
          <w:p w14:paraId="530FFB4F" w14:textId="7BECA875" w:rsidR="006600AD" w:rsidRPr="007E7856" w:rsidRDefault="006600AD" w:rsidP="007E7856">
            <w:pPr>
              <w:spacing w:before="0" w:after="0" w:line="276" w:lineRule="auto"/>
              <w:ind w:right="182"/>
              <w:rPr>
                <w:szCs w:val="20"/>
              </w:rPr>
            </w:pPr>
            <w:r w:rsidRPr="007E7856">
              <w:rPr>
                <w:szCs w:val="20"/>
              </w:rPr>
              <w:t>Eastern Coalfields Limited</w:t>
            </w:r>
          </w:p>
        </w:tc>
      </w:tr>
      <w:tr w:rsidR="006600AD" w:rsidRPr="00C46961" w14:paraId="6879B61B" w14:textId="77777777" w:rsidTr="002F7E18">
        <w:trPr>
          <w:cantSplit/>
          <w:trHeight w:val="288"/>
        </w:trPr>
        <w:tc>
          <w:tcPr>
            <w:tcW w:w="830" w:type="pct"/>
            <w:shd w:val="clear" w:color="auto" w:fill="FFFFFF"/>
            <w:vAlign w:val="center"/>
          </w:tcPr>
          <w:p w14:paraId="4CC89FB4" w14:textId="4107870A" w:rsidR="006600AD" w:rsidRPr="007E7856" w:rsidRDefault="006600AD" w:rsidP="007E7856">
            <w:pPr>
              <w:spacing w:before="0" w:after="0" w:line="276" w:lineRule="auto"/>
              <w:ind w:right="182"/>
              <w:rPr>
                <w:b/>
                <w:szCs w:val="20"/>
              </w:rPr>
            </w:pPr>
            <w:r w:rsidRPr="007E7856">
              <w:rPr>
                <w:b/>
                <w:szCs w:val="20"/>
              </w:rPr>
              <w:t>MCL</w:t>
            </w:r>
          </w:p>
        </w:tc>
        <w:tc>
          <w:tcPr>
            <w:tcW w:w="4170" w:type="pct"/>
            <w:shd w:val="clear" w:color="auto" w:fill="FFFFFF"/>
            <w:vAlign w:val="center"/>
          </w:tcPr>
          <w:p w14:paraId="47A38D8A" w14:textId="58D47242" w:rsidR="006600AD" w:rsidRPr="007E7856" w:rsidRDefault="006600AD" w:rsidP="007E7856">
            <w:pPr>
              <w:spacing w:before="0" w:after="0" w:line="276" w:lineRule="auto"/>
              <w:ind w:right="182"/>
              <w:rPr>
                <w:szCs w:val="20"/>
              </w:rPr>
            </w:pPr>
            <w:r w:rsidRPr="007E7856">
              <w:rPr>
                <w:szCs w:val="20"/>
              </w:rPr>
              <w:t>Mahanadi Coalfield Limited</w:t>
            </w:r>
          </w:p>
        </w:tc>
      </w:tr>
      <w:tr w:rsidR="006600AD" w:rsidRPr="00C46961" w14:paraId="7D7C5F8F" w14:textId="77777777" w:rsidTr="002F7E18">
        <w:trPr>
          <w:cantSplit/>
          <w:trHeight w:val="288"/>
        </w:trPr>
        <w:tc>
          <w:tcPr>
            <w:tcW w:w="830" w:type="pct"/>
            <w:shd w:val="clear" w:color="auto" w:fill="FFFFFF"/>
            <w:vAlign w:val="center"/>
          </w:tcPr>
          <w:p w14:paraId="365EB3DF" w14:textId="69302FD5" w:rsidR="006600AD" w:rsidRPr="007E7856" w:rsidRDefault="006600AD" w:rsidP="007E7856">
            <w:pPr>
              <w:spacing w:before="0" w:after="0" w:line="276" w:lineRule="auto"/>
              <w:ind w:right="182"/>
              <w:rPr>
                <w:b/>
                <w:szCs w:val="20"/>
              </w:rPr>
            </w:pPr>
            <w:r w:rsidRPr="007E7856">
              <w:rPr>
                <w:b/>
                <w:szCs w:val="20"/>
              </w:rPr>
              <w:t>NCL</w:t>
            </w:r>
          </w:p>
        </w:tc>
        <w:tc>
          <w:tcPr>
            <w:tcW w:w="4170" w:type="pct"/>
            <w:shd w:val="clear" w:color="auto" w:fill="FFFFFF"/>
            <w:vAlign w:val="center"/>
          </w:tcPr>
          <w:p w14:paraId="6A27372B" w14:textId="78A7E0C2" w:rsidR="006600AD" w:rsidRPr="007E7856" w:rsidRDefault="006600AD" w:rsidP="007E7856">
            <w:pPr>
              <w:spacing w:before="0" w:after="0" w:line="276" w:lineRule="auto"/>
              <w:ind w:right="182"/>
              <w:rPr>
                <w:szCs w:val="20"/>
              </w:rPr>
            </w:pPr>
            <w:r w:rsidRPr="007E7856">
              <w:rPr>
                <w:szCs w:val="20"/>
              </w:rPr>
              <w:t>Northern Coalfield Limited</w:t>
            </w:r>
          </w:p>
        </w:tc>
      </w:tr>
      <w:tr w:rsidR="006600AD" w:rsidRPr="00C46961" w14:paraId="09AE6F3C" w14:textId="77777777" w:rsidTr="002F7E18">
        <w:trPr>
          <w:cantSplit/>
          <w:trHeight w:val="288"/>
        </w:trPr>
        <w:tc>
          <w:tcPr>
            <w:tcW w:w="830" w:type="pct"/>
            <w:shd w:val="clear" w:color="auto" w:fill="FFFFFF"/>
            <w:vAlign w:val="center"/>
          </w:tcPr>
          <w:p w14:paraId="3901B628" w14:textId="2BA32163" w:rsidR="006600AD" w:rsidRPr="007E7856" w:rsidRDefault="006600AD" w:rsidP="007E7856">
            <w:pPr>
              <w:spacing w:before="0" w:after="0" w:line="276" w:lineRule="auto"/>
              <w:ind w:right="182"/>
              <w:rPr>
                <w:b/>
                <w:szCs w:val="20"/>
              </w:rPr>
            </w:pPr>
            <w:r w:rsidRPr="007E7856">
              <w:rPr>
                <w:b/>
                <w:szCs w:val="20"/>
              </w:rPr>
              <w:t>SECL</w:t>
            </w:r>
          </w:p>
        </w:tc>
        <w:tc>
          <w:tcPr>
            <w:tcW w:w="4170" w:type="pct"/>
            <w:shd w:val="clear" w:color="auto" w:fill="FFFFFF"/>
            <w:vAlign w:val="center"/>
          </w:tcPr>
          <w:p w14:paraId="11B5E211" w14:textId="2C44A0AB" w:rsidR="006600AD" w:rsidRPr="007E7856" w:rsidRDefault="006600AD" w:rsidP="007E7856">
            <w:pPr>
              <w:spacing w:before="0" w:after="0" w:line="276" w:lineRule="auto"/>
              <w:ind w:right="182"/>
              <w:rPr>
                <w:szCs w:val="20"/>
              </w:rPr>
            </w:pPr>
            <w:r w:rsidRPr="007E7856">
              <w:rPr>
                <w:szCs w:val="20"/>
              </w:rPr>
              <w:t>South Eastern Coalfields Limited</w:t>
            </w:r>
          </w:p>
        </w:tc>
      </w:tr>
      <w:tr w:rsidR="006600AD" w:rsidRPr="00C46961" w14:paraId="23D4324F" w14:textId="77777777" w:rsidTr="002F7E18">
        <w:trPr>
          <w:cantSplit/>
          <w:trHeight w:val="288"/>
        </w:trPr>
        <w:tc>
          <w:tcPr>
            <w:tcW w:w="830" w:type="pct"/>
            <w:shd w:val="clear" w:color="auto" w:fill="FFFFFF"/>
            <w:vAlign w:val="center"/>
          </w:tcPr>
          <w:p w14:paraId="2C3A2EC0" w14:textId="5FD48175" w:rsidR="006600AD" w:rsidRPr="007E7856" w:rsidRDefault="006600AD" w:rsidP="007E7856">
            <w:pPr>
              <w:spacing w:before="0" w:after="0" w:line="276" w:lineRule="auto"/>
              <w:ind w:right="182"/>
              <w:rPr>
                <w:b/>
                <w:szCs w:val="20"/>
              </w:rPr>
            </w:pPr>
            <w:r w:rsidRPr="007E7856">
              <w:rPr>
                <w:b/>
                <w:szCs w:val="20"/>
              </w:rPr>
              <w:t>WCL</w:t>
            </w:r>
          </w:p>
        </w:tc>
        <w:tc>
          <w:tcPr>
            <w:tcW w:w="4170" w:type="pct"/>
            <w:shd w:val="clear" w:color="auto" w:fill="FFFFFF"/>
            <w:vAlign w:val="center"/>
          </w:tcPr>
          <w:p w14:paraId="4F2043C1" w14:textId="76774E53" w:rsidR="006600AD" w:rsidRPr="007E7856" w:rsidRDefault="006600AD" w:rsidP="007E7856">
            <w:pPr>
              <w:spacing w:before="0" w:after="0" w:line="276" w:lineRule="auto"/>
              <w:ind w:right="182"/>
              <w:rPr>
                <w:szCs w:val="20"/>
              </w:rPr>
            </w:pPr>
            <w:r w:rsidRPr="007E7856">
              <w:rPr>
                <w:szCs w:val="20"/>
              </w:rPr>
              <w:t>Western Coalfields Limited</w:t>
            </w:r>
          </w:p>
        </w:tc>
      </w:tr>
      <w:tr w:rsidR="006600AD" w:rsidRPr="00C46961" w14:paraId="58D2E77F" w14:textId="77777777" w:rsidTr="002F7E18">
        <w:trPr>
          <w:cantSplit/>
          <w:trHeight w:val="288"/>
        </w:trPr>
        <w:tc>
          <w:tcPr>
            <w:tcW w:w="830" w:type="pct"/>
            <w:shd w:val="clear" w:color="auto" w:fill="FFFFFF"/>
            <w:vAlign w:val="center"/>
          </w:tcPr>
          <w:p w14:paraId="2A763B27" w14:textId="074C0F96" w:rsidR="006600AD" w:rsidRPr="007E7856" w:rsidRDefault="006600AD" w:rsidP="007E7856">
            <w:pPr>
              <w:spacing w:before="0" w:after="0" w:line="276" w:lineRule="auto"/>
              <w:ind w:right="182"/>
              <w:rPr>
                <w:b/>
                <w:bCs/>
                <w:szCs w:val="20"/>
              </w:rPr>
            </w:pPr>
            <w:r w:rsidRPr="007E7856">
              <w:rPr>
                <w:b/>
                <w:bCs/>
                <w:szCs w:val="20"/>
              </w:rPr>
              <w:t>APA</w:t>
            </w:r>
          </w:p>
        </w:tc>
        <w:tc>
          <w:tcPr>
            <w:tcW w:w="4170" w:type="pct"/>
            <w:shd w:val="clear" w:color="auto" w:fill="FFFFFF"/>
            <w:vAlign w:val="center"/>
          </w:tcPr>
          <w:p w14:paraId="14C80776" w14:textId="0BFEA7DD" w:rsidR="006600AD" w:rsidRPr="007E7856" w:rsidRDefault="006600AD" w:rsidP="007E7856">
            <w:pPr>
              <w:spacing w:before="0" w:after="0" w:line="276" w:lineRule="auto"/>
              <w:ind w:right="182"/>
              <w:rPr>
                <w:szCs w:val="20"/>
              </w:rPr>
            </w:pPr>
            <w:r w:rsidRPr="007E7856">
              <w:rPr>
                <w:szCs w:val="20"/>
              </w:rPr>
              <w:t>Accredited Prospecting/Exploration Agency</w:t>
            </w:r>
          </w:p>
        </w:tc>
      </w:tr>
      <w:tr w:rsidR="006600AD" w:rsidRPr="00C46961" w14:paraId="0435FD94" w14:textId="77777777" w:rsidTr="002F7E18">
        <w:trPr>
          <w:cantSplit/>
          <w:trHeight w:val="288"/>
        </w:trPr>
        <w:tc>
          <w:tcPr>
            <w:tcW w:w="830" w:type="pct"/>
            <w:shd w:val="clear" w:color="auto" w:fill="FFFFFF"/>
            <w:vAlign w:val="center"/>
          </w:tcPr>
          <w:p w14:paraId="1404DCEA" w14:textId="77777777" w:rsidR="006600AD" w:rsidRPr="007E7856" w:rsidRDefault="006600AD" w:rsidP="007E7856">
            <w:pPr>
              <w:spacing w:before="0" w:after="0" w:line="276" w:lineRule="auto"/>
              <w:ind w:right="182"/>
              <w:rPr>
                <w:b/>
                <w:bCs/>
                <w:szCs w:val="20"/>
              </w:rPr>
            </w:pPr>
            <w:r w:rsidRPr="007E7856">
              <w:rPr>
                <w:b/>
                <w:bCs/>
                <w:szCs w:val="20"/>
              </w:rPr>
              <w:t>BMT</w:t>
            </w:r>
          </w:p>
        </w:tc>
        <w:tc>
          <w:tcPr>
            <w:tcW w:w="4170" w:type="pct"/>
            <w:shd w:val="clear" w:color="auto" w:fill="FFFFFF"/>
            <w:vAlign w:val="center"/>
          </w:tcPr>
          <w:p w14:paraId="199BAC84" w14:textId="77777777" w:rsidR="006600AD" w:rsidRPr="007E7856" w:rsidRDefault="006600AD" w:rsidP="007E7856">
            <w:pPr>
              <w:spacing w:before="0" w:after="0" w:line="276" w:lineRule="auto"/>
              <w:ind w:right="182"/>
              <w:rPr>
                <w:szCs w:val="20"/>
              </w:rPr>
            </w:pPr>
            <w:r w:rsidRPr="007E7856">
              <w:rPr>
                <w:szCs w:val="20"/>
              </w:rPr>
              <w:t>Billion Metric Tons</w:t>
            </w:r>
          </w:p>
        </w:tc>
      </w:tr>
      <w:tr w:rsidR="006600AD" w:rsidRPr="00C46961" w14:paraId="0EED1EA8" w14:textId="77777777" w:rsidTr="002F7E18">
        <w:trPr>
          <w:cantSplit/>
          <w:trHeight w:val="288"/>
        </w:trPr>
        <w:tc>
          <w:tcPr>
            <w:tcW w:w="830" w:type="pct"/>
            <w:shd w:val="clear" w:color="auto" w:fill="FFFFFF"/>
            <w:vAlign w:val="center"/>
            <w:hideMark/>
          </w:tcPr>
          <w:p w14:paraId="5B358DC2" w14:textId="77777777" w:rsidR="006600AD" w:rsidRPr="007E7856" w:rsidRDefault="006600AD" w:rsidP="007E7856">
            <w:pPr>
              <w:spacing w:before="0" w:after="0" w:line="276" w:lineRule="auto"/>
              <w:ind w:right="182"/>
              <w:rPr>
                <w:b/>
                <w:szCs w:val="20"/>
              </w:rPr>
            </w:pPr>
            <w:r w:rsidRPr="007E7856">
              <w:rPr>
                <w:b/>
                <w:szCs w:val="20"/>
              </w:rPr>
              <w:t>BU</w:t>
            </w:r>
          </w:p>
        </w:tc>
        <w:tc>
          <w:tcPr>
            <w:tcW w:w="4170" w:type="pct"/>
            <w:shd w:val="clear" w:color="auto" w:fill="FFFFFF"/>
            <w:vAlign w:val="center"/>
            <w:hideMark/>
          </w:tcPr>
          <w:p w14:paraId="308C3C2C" w14:textId="77777777" w:rsidR="006600AD" w:rsidRPr="007E7856" w:rsidRDefault="006600AD" w:rsidP="007E7856">
            <w:pPr>
              <w:spacing w:before="0" w:after="0" w:line="276" w:lineRule="auto"/>
              <w:ind w:right="182"/>
              <w:rPr>
                <w:szCs w:val="20"/>
              </w:rPr>
            </w:pPr>
            <w:r w:rsidRPr="007E7856">
              <w:rPr>
                <w:szCs w:val="20"/>
              </w:rPr>
              <w:t>Billion units</w:t>
            </w:r>
          </w:p>
        </w:tc>
      </w:tr>
      <w:tr w:rsidR="006600AD" w:rsidRPr="00C46961" w14:paraId="7602F45E" w14:textId="77777777" w:rsidTr="002F7E18">
        <w:trPr>
          <w:cantSplit/>
          <w:trHeight w:val="288"/>
        </w:trPr>
        <w:tc>
          <w:tcPr>
            <w:tcW w:w="830" w:type="pct"/>
            <w:shd w:val="clear" w:color="auto" w:fill="FFFFFF"/>
            <w:vAlign w:val="center"/>
            <w:hideMark/>
          </w:tcPr>
          <w:p w14:paraId="39BDCF20" w14:textId="77777777" w:rsidR="006600AD" w:rsidRPr="007E7856" w:rsidRDefault="006600AD" w:rsidP="007E7856">
            <w:pPr>
              <w:spacing w:before="0" w:after="0" w:line="276" w:lineRule="auto"/>
              <w:ind w:right="182"/>
              <w:rPr>
                <w:b/>
                <w:szCs w:val="20"/>
              </w:rPr>
            </w:pPr>
            <w:r w:rsidRPr="007E7856">
              <w:rPr>
                <w:b/>
                <w:szCs w:val="20"/>
              </w:rPr>
              <w:t>CAGR</w:t>
            </w:r>
          </w:p>
        </w:tc>
        <w:tc>
          <w:tcPr>
            <w:tcW w:w="4170" w:type="pct"/>
            <w:shd w:val="clear" w:color="auto" w:fill="FFFFFF"/>
            <w:vAlign w:val="center"/>
            <w:hideMark/>
          </w:tcPr>
          <w:p w14:paraId="41BFCC07" w14:textId="77777777" w:rsidR="006600AD" w:rsidRPr="007E7856" w:rsidRDefault="006600AD" w:rsidP="007E7856">
            <w:pPr>
              <w:spacing w:before="0" w:after="0" w:line="276" w:lineRule="auto"/>
              <w:ind w:right="182"/>
              <w:rPr>
                <w:szCs w:val="20"/>
              </w:rPr>
            </w:pPr>
            <w:r w:rsidRPr="007E7856">
              <w:rPr>
                <w:szCs w:val="20"/>
              </w:rPr>
              <w:t>Compound annual growth rate</w:t>
            </w:r>
          </w:p>
        </w:tc>
      </w:tr>
      <w:tr w:rsidR="006600AD" w:rsidRPr="00C46961" w14:paraId="24232178" w14:textId="77777777" w:rsidTr="002F7E18">
        <w:trPr>
          <w:cantSplit/>
          <w:trHeight w:val="288"/>
        </w:trPr>
        <w:tc>
          <w:tcPr>
            <w:tcW w:w="830" w:type="pct"/>
            <w:shd w:val="clear" w:color="auto" w:fill="FFFFFF"/>
            <w:vAlign w:val="center"/>
          </w:tcPr>
          <w:p w14:paraId="6A65B375" w14:textId="77777777" w:rsidR="006600AD" w:rsidRPr="007E7856" w:rsidRDefault="006600AD" w:rsidP="007E7856">
            <w:pPr>
              <w:spacing w:before="0" w:after="0" w:line="276" w:lineRule="auto"/>
              <w:ind w:right="182"/>
              <w:rPr>
                <w:b/>
                <w:szCs w:val="20"/>
              </w:rPr>
            </w:pPr>
            <w:r w:rsidRPr="007E7856">
              <w:rPr>
                <w:b/>
                <w:szCs w:val="20"/>
              </w:rPr>
              <w:t>Capex</w:t>
            </w:r>
          </w:p>
        </w:tc>
        <w:tc>
          <w:tcPr>
            <w:tcW w:w="4170" w:type="pct"/>
            <w:shd w:val="clear" w:color="auto" w:fill="FFFFFF"/>
            <w:vAlign w:val="center"/>
          </w:tcPr>
          <w:p w14:paraId="5AA26C57" w14:textId="77777777" w:rsidR="006600AD" w:rsidRPr="007E7856" w:rsidRDefault="006600AD" w:rsidP="007E7856">
            <w:pPr>
              <w:spacing w:before="0" w:after="0" w:line="276" w:lineRule="auto"/>
              <w:ind w:right="182"/>
              <w:rPr>
                <w:szCs w:val="20"/>
              </w:rPr>
            </w:pPr>
            <w:r w:rsidRPr="007E7856">
              <w:rPr>
                <w:szCs w:val="20"/>
              </w:rPr>
              <w:t>Capital expenditure</w:t>
            </w:r>
          </w:p>
        </w:tc>
      </w:tr>
      <w:tr w:rsidR="006600AD" w:rsidRPr="00C46961" w14:paraId="17705E4E" w14:textId="77777777" w:rsidTr="002F7E18">
        <w:trPr>
          <w:cantSplit/>
          <w:trHeight w:val="288"/>
        </w:trPr>
        <w:tc>
          <w:tcPr>
            <w:tcW w:w="830" w:type="pct"/>
            <w:shd w:val="clear" w:color="auto" w:fill="FFFFFF"/>
            <w:vAlign w:val="center"/>
          </w:tcPr>
          <w:p w14:paraId="72C7C697" w14:textId="77777777" w:rsidR="006600AD" w:rsidRPr="007E7856" w:rsidRDefault="006600AD" w:rsidP="007E7856">
            <w:pPr>
              <w:spacing w:before="0" w:after="0" w:line="276" w:lineRule="auto"/>
              <w:ind w:right="182"/>
              <w:rPr>
                <w:b/>
                <w:szCs w:val="20"/>
              </w:rPr>
            </w:pPr>
            <w:r w:rsidRPr="007E7856">
              <w:rPr>
                <w:b/>
                <w:szCs w:val="20"/>
              </w:rPr>
              <w:t>CBA Act</w:t>
            </w:r>
          </w:p>
        </w:tc>
        <w:tc>
          <w:tcPr>
            <w:tcW w:w="4170" w:type="pct"/>
            <w:shd w:val="clear" w:color="auto" w:fill="FFFFFF"/>
            <w:vAlign w:val="center"/>
          </w:tcPr>
          <w:p w14:paraId="751A926D" w14:textId="77777777" w:rsidR="006600AD" w:rsidRPr="007E7856" w:rsidRDefault="006600AD" w:rsidP="007E7856">
            <w:pPr>
              <w:spacing w:before="0" w:after="0" w:line="276" w:lineRule="auto"/>
              <w:ind w:right="182"/>
              <w:rPr>
                <w:szCs w:val="20"/>
              </w:rPr>
            </w:pPr>
            <w:r w:rsidRPr="007E7856">
              <w:rPr>
                <w:szCs w:val="20"/>
              </w:rPr>
              <w:t>Coal Bearing Areas (Acquisition &amp; Development) Act, 1957, as amended</w:t>
            </w:r>
          </w:p>
        </w:tc>
      </w:tr>
      <w:tr w:rsidR="006600AD" w:rsidRPr="00C46961" w14:paraId="3A8DF66F" w14:textId="77777777" w:rsidTr="002F7E18">
        <w:trPr>
          <w:cantSplit/>
          <w:trHeight w:val="288"/>
        </w:trPr>
        <w:tc>
          <w:tcPr>
            <w:tcW w:w="830" w:type="pct"/>
            <w:shd w:val="clear" w:color="auto" w:fill="FFFFFF"/>
            <w:vAlign w:val="center"/>
          </w:tcPr>
          <w:p w14:paraId="1022FA54" w14:textId="77777777" w:rsidR="006600AD" w:rsidRPr="007E7856" w:rsidRDefault="006600AD" w:rsidP="007E7856">
            <w:pPr>
              <w:spacing w:before="0" w:after="0" w:line="276" w:lineRule="auto"/>
              <w:ind w:right="182"/>
              <w:rPr>
                <w:b/>
                <w:szCs w:val="20"/>
              </w:rPr>
            </w:pPr>
            <w:r w:rsidRPr="007E7856">
              <w:rPr>
                <w:b/>
                <w:szCs w:val="20"/>
              </w:rPr>
              <w:t>CM (SP) Act</w:t>
            </w:r>
          </w:p>
        </w:tc>
        <w:tc>
          <w:tcPr>
            <w:tcW w:w="4170" w:type="pct"/>
            <w:shd w:val="clear" w:color="auto" w:fill="FFFFFF"/>
            <w:vAlign w:val="center"/>
          </w:tcPr>
          <w:p w14:paraId="28EA2B5A" w14:textId="77777777" w:rsidR="006600AD" w:rsidRPr="007E7856" w:rsidRDefault="006600AD" w:rsidP="007E7856">
            <w:pPr>
              <w:spacing w:before="0" w:after="0" w:line="276" w:lineRule="auto"/>
              <w:ind w:right="182"/>
              <w:rPr>
                <w:szCs w:val="20"/>
              </w:rPr>
            </w:pPr>
            <w:r w:rsidRPr="007E7856">
              <w:rPr>
                <w:szCs w:val="20"/>
              </w:rPr>
              <w:t>Coal Mines (Special Provisions) Act, 2015</w:t>
            </w:r>
          </w:p>
        </w:tc>
      </w:tr>
      <w:tr w:rsidR="006600AD" w:rsidRPr="00C46961" w14:paraId="5644D1C8" w14:textId="77777777" w:rsidTr="002F7E18">
        <w:trPr>
          <w:cantSplit/>
          <w:trHeight w:val="288"/>
        </w:trPr>
        <w:tc>
          <w:tcPr>
            <w:tcW w:w="830" w:type="pct"/>
            <w:shd w:val="clear" w:color="auto" w:fill="FFFFFF"/>
            <w:vAlign w:val="center"/>
          </w:tcPr>
          <w:p w14:paraId="7333D8E3" w14:textId="77777777" w:rsidR="006600AD" w:rsidRPr="007E7856" w:rsidRDefault="006600AD" w:rsidP="007E7856">
            <w:pPr>
              <w:spacing w:before="0" w:after="0" w:line="276" w:lineRule="auto"/>
              <w:ind w:right="182"/>
              <w:rPr>
                <w:b/>
                <w:szCs w:val="20"/>
              </w:rPr>
            </w:pPr>
            <w:r w:rsidRPr="007E7856">
              <w:rPr>
                <w:b/>
                <w:szCs w:val="20"/>
              </w:rPr>
              <w:t>CPP</w:t>
            </w:r>
          </w:p>
        </w:tc>
        <w:tc>
          <w:tcPr>
            <w:tcW w:w="4170" w:type="pct"/>
            <w:shd w:val="clear" w:color="auto" w:fill="FFFFFF"/>
            <w:vAlign w:val="center"/>
          </w:tcPr>
          <w:p w14:paraId="27147121" w14:textId="77777777" w:rsidR="006600AD" w:rsidRPr="007E7856" w:rsidRDefault="006600AD" w:rsidP="007E7856">
            <w:pPr>
              <w:spacing w:before="0" w:after="0" w:line="276" w:lineRule="auto"/>
              <w:ind w:right="182"/>
              <w:rPr>
                <w:szCs w:val="20"/>
              </w:rPr>
            </w:pPr>
            <w:r w:rsidRPr="007E7856">
              <w:rPr>
                <w:szCs w:val="20"/>
              </w:rPr>
              <w:t>Captive power plant</w:t>
            </w:r>
          </w:p>
        </w:tc>
      </w:tr>
      <w:tr w:rsidR="006600AD" w:rsidRPr="00C46961" w14:paraId="3FA1A4AE" w14:textId="77777777" w:rsidTr="002F7E18">
        <w:trPr>
          <w:cantSplit/>
          <w:trHeight w:val="288"/>
        </w:trPr>
        <w:tc>
          <w:tcPr>
            <w:tcW w:w="830" w:type="pct"/>
            <w:shd w:val="clear" w:color="auto" w:fill="FFFFFF"/>
            <w:vAlign w:val="center"/>
          </w:tcPr>
          <w:p w14:paraId="2930DAD9" w14:textId="77777777" w:rsidR="006600AD" w:rsidRPr="007E7856" w:rsidRDefault="006600AD" w:rsidP="007E7856">
            <w:pPr>
              <w:spacing w:before="0" w:after="0" w:line="276" w:lineRule="auto"/>
              <w:ind w:right="182"/>
              <w:rPr>
                <w:b/>
                <w:szCs w:val="20"/>
              </w:rPr>
            </w:pPr>
            <w:r w:rsidRPr="007E7856">
              <w:rPr>
                <w:b/>
                <w:szCs w:val="20"/>
              </w:rPr>
              <w:t>Cr</w:t>
            </w:r>
          </w:p>
        </w:tc>
        <w:tc>
          <w:tcPr>
            <w:tcW w:w="4170" w:type="pct"/>
            <w:shd w:val="clear" w:color="auto" w:fill="FFFFFF"/>
            <w:vAlign w:val="center"/>
          </w:tcPr>
          <w:p w14:paraId="52486D9B" w14:textId="77777777" w:rsidR="006600AD" w:rsidRPr="007E7856" w:rsidRDefault="006600AD" w:rsidP="007E7856">
            <w:pPr>
              <w:spacing w:before="0" w:after="0" w:line="276" w:lineRule="auto"/>
              <w:ind w:right="182"/>
              <w:rPr>
                <w:szCs w:val="20"/>
                <w:lang w:val="en-IN"/>
              </w:rPr>
            </w:pPr>
            <w:r w:rsidRPr="007E7856">
              <w:rPr>
                <w:szCs w:val="20"/>
                <w:lang w:val="en-IN"/>
              </w:rPr>
              <w:t>Crore</w:t>
            </w:r>
          </w:p>
        </w:tc>
      </w:tr>
      <w:tr w:rsidR="006600AD" w:rsidRPr="00C46961" w14:paraId="6D3DE66D" w14:textId="77777777" w:rsidTr="002F7E18">
        <w:trPr>
          <w:cantSplit/>
          <w:trHeight w:val="288"/>
        </w:trPr>
        <w:tc>
          <w:tcPr>
            <w:tcW w:w="830" w:type="pct"/>
            <w:shd w:val="clear" w:color="auto" w:fill="FFFFFF"/>
            <w:vAlign w:val="center"/>
          </w:tcPr>
          <w:p w14:paraId="37378B17" w14:textId="77777777" w:rsidR="006600AD" w:rsidRPr="007E7856" w:rsidRDefault="006600AD" w:rsidP="007E7856">
            <w:pPr>
              <w:spacing w:before="0" w:after="0" w:line="276" w:lineRule="auto"/>
              <w:ind w:right="182"/>
              <w:rPr>
                <w:b/>
                <w:szCs w:val="20"/>
              </w:rPr>
            </w:pPr>
            <w:r w:rsidRPr="007E7856">
              <w:rPr>
                <w:b/>
                <w:szCs w:val="20"/>
              </w:rPr>
              <w:t>CY</w:t>
            </w:r>
          </w:p>
        </w:tc>
        <w:tc>
          <w:tcPr>
            <w:tcW w:w="4170" w:type="pct"/>
            <w:shd w:val="clear" w:color="auto" w:fill="FFFFFF"/>
            <w:vAlign w:val="center"/>
          </w:tcPr>
          <w:p w14:paraId="68DFD010" w14:textId="77777777" w:rsidR="006600AD" w:rsidRPr="007E7856" w:rsidRDefault="006600AD" w:rsidP="007E7856">
            <w:pPr>
              <w:spacing w:before="0" w:after="0" w:line="276" w:lineRule="auto"/>
              <w:ind w:right="182"/>
              <w:rPr>
                <w:szCs w:val="20"/>
              </w:rPr>
            </w:pPr>
            <w:r w:rsidRPr="007E7856">
              <w:rPr>
                <w:szCs w:val="20"/>
              </w:rPr>
              <w:t>Calendar year (01 January to 31 December)</w:t>
            </w:r>
          </w:p>
        </w:tc>
      </w:tr>
      <w:tr w:rsidR="006600AD" w:rsidRPr="00C46961" w14:paraId="27E6BF52" w14:textId="77777777" w:rsidTr="002F7E18">
        <w:trPr>
          <w:cantSplit/>
          <w:trHeight w:val="288"/>
        </w:trPr>
        <w:tc>
          <w:tcPr>
            <w:tcW w:w="830" w:type="pct"/>
            <w:shd w:val="clear" w:color="auto" w:fill="FFFFFF"/>
            <w:vAlign w:val="center"/>
          </w:tcPr>
          <w:p w14:paraId="7ABDE406" w14:textId="77777777" w:rsidR="006600AD" w:rsidRPr="007E7856" w:rsidRDefault="006600AD" w:rsidP="007E7856">
            <w:pPr>
              <w:spacing w:before="0" w:after="0" w:line="276" w:lineRule="auto"/>
              <w:ind w:right="182"/>
              <w:rPr>
                <w:b/>
                <w:szCs w:val="20"/>
              </w:rPr>
            </w:pPr>
            <w:r w:rsidRPr="007E7856">
              <w:rPr>
                <w:b/>
                <w:szCs w:val="20"/>
              </w:rPr>
              <w:t>DRI</w:t>
            </w:r>
          </w:p>
        </w:tc>
        <w:tc>
          <w:tcPr>
            <w:tcW w:w="4170" w:type="pct"/>
            <w:shd w:val="clear" w:color="auto" w:fill="FFFFFF"/>
            <w:vAlign w:val="center"/>
          </w:tcPr>
          <w:p w14:paraId="61E1A0E8" w14:textId="77777777" w:rsidR="006600AD" w:rsidRPr="007E7856" w:rsidRDefault="006600AD" w:rsidP="007E7856">
            <w:pPr>
              <w:spacing w:before="0" w:after="0" w:line="276" w:lineRule="auto"/>
              <w:ind w:right="182"/>
              <w:rPr>
                <w:szCs w:val="20"/>
              </w:rPr>
            </w:pPr>
            <w:r w:rsidRPr="007E7856">
              <w:rPr>
                <w:szCs w:val="20"/>
              </w:rPr>
              <w:t>Direct reduced iron</w:t>
            </w:r>
          </w:p>
        </w:tc>
      </w:tr>
      <w:tr w:rsidR="006600AD" w:rsidRPr="00C46961" w14:paraId="373BCBBF" w14:textId="77777777" w:rsidTr="002F7E18">
        <w:trPr>
          <w:cantSplit/>
          <w:trHeight w:val="288"/>
        </w:trPr>
        <w:tc>
          <w:tcPr>
            <w:tcW w:w="830" w:type="pct"/>
            <w:shd w:val="clear" w:color="auto" w:fill="FFFFFF"/>
            <w:vAlign w:val="center"/>
          </w:tcPr>
          <w:p w14:paraId="2FA174E9" w14:textId="77777777" w:rsidR="006600AD" w:rsidRPr="007E7856" w:rsidRDefault="006600AD" w:rsidP="007E7856">
            <w:pPr>
              <w:spacing w:before="0" w:after="0" w:line="276" w:lineRule="auto"/>
              <w:ind w:right="182"/>
              <w:rPr>
                <w:b/>
                <w:szCs w:val="20"/>
              </w:rPr>
            </w:pPr>
            <w:r w:rsidRPr="007E7856">
              <w:rPr>
                <w:b/>
                <w:szCs w:val="20"/>
              </w:rPr>
              <w:t>EBIT</w:t>
            </w:r>
          </w:p>
        </w:tc>
        <w:tc>
          <w:tcPr>
            <w:tcW w:w="4170" w:type="pct"/>
            <w:shd w:val="clear" w:color="auto" w:fill="FFFFFF"/>
            <w:vAlign w:val="center"/>
          </w:tcPr>
          <w:p w14:paraId="600EEA35" w14:textId="77777777" w:rsidR="006600AD" w:rsidRPr="007E7856" w:rsidRDefault="006600AD" w:rsidP="007E7856">
            <w:pPr>
              <w:spacing w:before="0" w:after="0" w:line="276" w:lineRule="auto"/>
              <w:ind w:right="182"/>
              <w:rPr>
                <w:szCs w:val="20"/>
              </w:rPr>
            </w:pPr>
            <w:r w:rsidRPr="007E7856">
              <w:rPr>
                <w:szCs w:val="20"/>
              </w:rPr>
              <w:t>Earnings before interest and taxes</w:t>
            </w:r>
          </w:p>
        </w:tc>
      </w:tr>
      <w:tr w:rsidR="006600AD" w:rsidRPr="00C46961" w14:paraId="11FD596C" w14:textId="77777777" w:rsidTr="002F7E18">
        <w:trPr>
          <w:cantSplit/>
          <w:trHeight w:val="288"/>
        </w:trPr>
        <w:tc>
          <w:tcPr>
            <w:tcW w:w="830" w:type="pct"/>
            <w:shd w:val="clear" w:color="auto" w:fill="FFFFFF"/>
            <w:vAlign w:val="center"/>
          </w:tcPr>
          <w:p w14:paraId="0C0425B9" w14:textId="77777777" w:rsidR="006600AD" w:rsidRPr="007E7856" w:rsidRDefault="006600AD" w:rsidP="007E7856">
            <w:pPr>
              <w:spacing w:before="0" w:after="0" w:line="276" w:lineRule="auto"/>
              <w:ind w:right="182"/>
              <w:rPr>
                <w:b/>
                <w:szCs w:val="20"/>
              </w:rPr>
            </w:pPr>
            <w:r w:rsidRPr="007E7856">
              <w:rPr>
                <w:b/>
                <w:szCs w:val="20"/>
              </w:rPr>
              <w:t>EBITDA</w:t>
            </w:r>
          </w:p>
        </w:tc>
        <w:tc>
          <w:tcPr>
            <w:tcW w:w="4170" w:type="pct"/>
            <w:shd w:val="clear" w:color="auto" w:fill="FFFFFF"/>
            <w:vAlign w:val="center"/>
          </w:tcPr>
          <w:p w14:paraId="1627DAB0" w14:textId="77777777" w:rsidR="006600AD" w:rsidRPr="007E7856" w:rsidRDefault="006600AD" w:rsidP="007E7856">
            <w:pPr>
              <w:spacing w:before="0" w:after="0" w:line="276" w:lineRule="auto"/>
              <w:ind w:right="182"/>
              <w:rPr>
                <w:szCs w:val="20"/>
              </w:rPr>
            </w:pPr>
            <w:r w:rsidRPr="007E7856">
              <w:rPr>
                <w:szCs w:val="20"/>
              </w:rPr>
              <w:t>Earnings before interest, taxes, depreciation and amortization</w:t>
            </w:r>
          </w:p>
        </w:tc>
      </w:tr>
      <w:tr w:rsidR="006600AD" w:rsidRPr="00C46961" w14:paraId="1CAB58EA" w14:textId="77777777" w:rsidTr="002F7E18">
        <w:trPr>
          <w:cantSplit/>
          <w:trHeight w:val="288"/>
        </w:trPr>
        <w:tc>
          <w:tcPr>
            <w:tcW w:w="830" w:type="pct"/>
            <w:shd w:val="clear" w:color="auto" w:fill="FFFFFF"/>
            <w:vAlign w:val="center"/>
          </w:tcPr>
          <w:p w14:paraId="73083FC2" w14:textId="77777777" w:rsidR="006600AD" w:rsidRPr="007E7856" w:rsidRDefault="006600AD" w:rsidP="007E7856">
            <w:pPr>
              <w:spacing w:before="0" w:after="0" w:line="276" w:lineRule="auto"/>
              <w:ind w:right="182"/>
              <w:rPr>
                <w:b/>
                <w:szCs w:val="20"/>
              </w:rPr>
            </w:pPr>
            <w:r w:rsidRPr="007E7856">
              <w:rPr>
                <w:b/>
                <w:szCs w:val="20"/>
              </w:rPr>
              <w:t>EC/FC</w:t>
            </w:r>
          </w:p>
        </w:tc>
        <w:tc>
          <w:tcPr>
            <w:tcW w:w="4170" w:type="pct"/>
            <w:shd w:val="clear" w:color="auto" w:fill="FFFFFF"/>
            <w:vAlign w:val="center"/>
          </w:tcPr>
          <w:p w14:paraId="1E82D829" w14:textId="77777777" w:rsidR="006600AD" w:rsidRPr="007E7856" w:rsidRDefault="006600AD" w:rsidP="007E7856">
            <w:pPr>
              <w:spacing w:before="0" w:after="0" w:line="276" w:lineRule="auto"/>
              <w:ind w:right="182"/>
              <w:rPr>
                <w:szCs w:val="20"/>
              </w:rPr>
            </w:pPr>
            <w:r w:rsidRPr="007E7856">
              <w:rPr>
                <w:szCs w:val="20"/>
              </w:rPr>
              <w:t>Environment clearance/forest clearance</w:t>
            </w:r>
          </w:p>
        </w:tc>
      </w:tr>
      <w:tr w:rsidR="006600AD" w:rsidRPr="00C46961" w14:paraId="6698BCA5" w14:textId="77777777" w:rsidTr="002F7E18">
        <w:trPr>
          <w:cantSplit/>
          <w:trHeight w:val="288"/>
        </w:trPr>
        <w:tc>
          <w:tcPr>
            <w:tcW w:w="830" w:type="pct"/>
            <w:shd w:val="clear" w:color="auto" w:fill="FFFFFF"/>
            <w:vAlign w:val="center"/>
          </w:tcPr>
          <w:p w14:paraId="747ECF70" w14:textId="77777777" w:rsidR="006600AD" w:rsidRPr="007E7856" w:rsidRDefault="006600AD" w:rsidP="007E7856">
            <w:pPr>
              <w:spacing w:before="0" w:after="0" w:line="276" w:lineRule="auto"/>
              <w:ind w:right="182"/>
              <w:rPr>
                <w:b/>
                <w:szCs w:val="20"/>
              </w:rPr>
            </w:pPr>
            <w:r w:rsidRPr="007E7856">
              <w:rPr>
                <w:b/>
                <w:szCs w:val="20"/>
              </w:rPr>
              <w:t>EHS</w:t>
            </w:r>
          </w:p>
        </w:tc>
        <w:tc>
          <w:tcPr>
            <w:tcW w:w="4170" w:type="pct"/>
            <w:shd w:val="clear" w:color="auto" w:fill="FFFFFF"/>
            <w:vAlign w:val="center"/>
          </w:tcPr>
          <w:p w14:paraId="3FE8F200" w14:textId="77777777" w:rsidR="006600AD" w:rsidRPr="007E7856" w:rsidRDefault="006600AD" w:rsidP="007E7856">
            <w:pPr>
              <w:spacing w:before="0" w:after="0" w:line="276" w:lineRule="auto"/>
              <w:ind w:right="182"/>
              <w:rPr>
                <w:szCs w:val="20"/>
              </w:rPr>
            </w:pPr>
            <w:r w:rsidRPr="007E7856">
              <w:rPr>
                <w:szCs w:val="20"/>
              </w:rPr>
              <w:t>Environmental, health and safety</w:t>
            </w:r>
          </w:p>
        </w:tc>
      </w:tr>
      <w:tr w:rsidR="006600AD" w:rsidRPr="00C46961" w14:paraId="71BFF355" w14:textId="77777777" w:rsidTr="002F7E18">
        <w:trPr>
          <w:cantSplit/>
          <w:trHeight w:val="288"/>
        </w:trPr>
        <w:tc>
          <w:tcPr>
            <w:tcW w:w="830" w:type="pct"/>
            <w:shd w:val="clear" w:color="auto" w:fill="FFFFFF"/>
            <w:vAlign w:val="center"/>
          </w:tcPr>
          <w:p w14:paraId="0C89ED32" w14:textId="77777777" w:rsidR="006600AD" w:rsidRPr="007E7856" w:rsidRDefault="006600AD" w:rsidP="007E7856">
            <w:pPr>
              <w:spacing w:before="0" w:after="0" w:line="276" w:lineRule="auto"/>
              <w:ind w:right="182"/>
              <w:rPr>
                <w:b/>
                <w:szCs w:val="20"/>
              </w:rPr>
            </w:pPr>
            <w:r w:rsidRPr="007E7856">
              <w:rPr>
                <w:b/>
                <w:szCs w:val="20"/>
              </w:rPr>
              <w:t>EIA/ EMP</w:t>
            </w:r>
          </w:p>
        </w:tc>
        <w:tc>
          <w:tcPr>
            <w:tcW w:w="4170" w:type="pct"/>
            <w:shd w:val="clear" w:color="auto" w:fill="FFFFFF"/>
            <w:vAlign w:val="center"/>
          </w:tcPr>
          <w:p w14:paraId="225D562E" w14:textId="77777777" w:rsidR="006600AD" w:rsidRPr="007E7856" w:rsidRDefault="006600AD" w:rsidP="007E7856">
            <w:pPr>
              <w:spacing w:before="0" w:after="0" w:line="276" w:lineRule="auto"/>
              <w:ind w:right="182"/>
              <w:rPr>
                <w:szCs w:val="20"/>
              </w:rPr>
            </w:pPr>
            <w:r w:rsidRPr="007E7856">
              <w:rPr>
                <w:szCs w:val="20"/>
              </w:rPr>
              <w:t>Environmental Impact Assessment/ Environmental Management Plan</w:t>
            </w:r>
          </w:p>
        </w:tc>
      </w:tr>
      <w:tr w:rsidR="006B5EAB" w:rsidRPr="00C46961" w14:paraId="08CB9480" w14:textId="77777777" w:rsidTr="002F7E18">
        <w:trPr>
          <w:cantSplit/>
          <w:trHeight w:val="288"/>
        </w:trPr>
        <w:tc>
          <w:tcPr>
            <w:tcW w:w="830" w:type="pct"/>
            <w:shd w:val="clear" w:color="auto" w:fill="FFFFFF"/>
            <w:vAlign w:val="center"/>
          </w:tcPr>
          <w:p w14:paraId="06E0BAB8" w14:textId="524D9A5F" w:rsidR="006B5EAB" w:rsidRPr="007E7856" w:rsidRDefault="006B5EAB" w:rsidP="007E7856">
            <w:pPr>
              <w:spacing w:before="0" w:after="0" w:line="276" w:lineRule="auto"/>
              <w:ind w:right="182"/>
              <w:rPr>
                <w:b/>
                <w:szCs w:val="20"/>
              </w:rPr>
            </w:pPr>
            <w:r w:rsidRPr="007E7856">
              <w:rPr>
                <w:b/>
                <w:szCs w:val="20"/>
              </w:rPr>
              <w:t>EL</w:t>
            </w:r>
          </w:p>
        </w:tc>
        <w:tc>
          <w:tcPr>
            <w:tcW w:w="4170" w:type="pct"/>
            <w:shd w:val="clear" w:color="auto" w:fill="FFFFFF"/>
            <w:vAlign w:val="center"/>
          </w:tcPr>
          <w:p w14:paraId="7667D7B8" w14:textId="49D51B9D" w:rsidR="006B5EAB" w:rsidRPr="007E7856" w:rsidRDefault="006B5EAB" w:rsidP="007E7856">
            <w:pPr>
              <w:spacing w:before="0" w:after="0" w:line="276" w:lineRule="auto"/>
              <w:ind w:right="182"/>
              <w:rPr>
                <w:szCs w:val="20"/>
              </w:rPr>
            </w:pPr>
            <w:r w:rsidRPr="007E7856">
              <w:rPr>
                <w:szCs w:val="20"/>
              </w:rPr>
              <w:t>Exploration Licenses</w:t>
            </w:r>
          </w:p>
        </w:tc>
      </w:tr>
      <w:tr w:rsidR="006600AD" w:rsidRPr="00C46961" w14:paraId="6B288C20" w14:textId="77777777" w:rsidTr="002F7E18">
        <w:trPr>
          <w:cantSplit/>
          <w:trHeight w:val="288"/>
        </w:trPr>
        <w:tc>
          <w:tcPr>
            <w:tcW w:w="830" w:type="pct"/>
            <w:shd w:val="clear" w:color="auto" w:fill="FFFFFF"/>
            <w:vAlign w:val="center"/>
          </w:tcPr>
          <w:p w14:paraId="079E6CB6" w14:textId="77777777" w:rsidR="006600AD" w:rsidRPr="007E7856" w:rsidRDefault="006600AD" w:rsidP="007E7856">
            <w:pPr>
              <w:spacing w:before="0" w:after="0" w:line="276" w:lineRule="auto"/>
              <w:ind w:right="182"/>
              <w:rPr>
                <w:b/>
                <w:szCs w:val="20"/>
              </w:rPr>
            </w:pPr>
            <w:r w:rsidRPr="007E7856">
              <w:rPr>
                <w:b/>
                <w:szCs w:val="20"/>
              </w:rPr>
              <w:t>FY</w:t>
            </w:r>
          </w:p>
        </w:tc>
        <w:tc>
          <w:tcPr>
            <w:tcW w:w="4170" w:type="pct"/>
            <w:shd w:val="clear" w:color="auto" w:fill="FFFFFF"/>
            <w:vAlign w:val="center"/>
          </w:tcPr>
          <w:p w14:paraId="63BD2B07" w14:textId="77777777" w:rsidR="006600AD" w:rsidRPr="007E7856" w:rsidRDefault="006600AD" w:rsidP="007E7856">
            <w:pPr>
              <w:spacing w:before="0" w:after="0" w:line="276" w:lineRule="auto"/>
              <w:ind w:right="182"/>
              <w:rPr>
                <w:szCs w:val="20"/>
              </w:rPr>
            </w:pPr>
            <w:r w:rsidRPr="007E7856">
              <w:rPr>
                <w:szCs w:val="20"/>
              </w:rPr>
              <w:t>Financial/fiscal year (April 1, XXXX, to March 31, XXXX+1)</w:t>
            </w:r>
          </w:p>
        </w:tc>
      </w:tr>
      <w:tr w:rsidR="006600AD" w:rsidRPr="00C46961" w14:paraId="46C698C3" w14:textId="77777777" w:rsidTr="002F7E18">
        <w:trPr>
          <w:cantSplit/>
          <w:trHeight w:val="288"/>
        </w:trPr>
        <w:tc>
          <w:tcPr>
            <w:tcW w:w="830" w:type="pct"/>
            <w:shd w:val="clear" w:color="auto" w:fill="FFFFFF"/>
            <w:vAlign w:val="center"/>
          </w:tcPr>
          <w:p w14:paraId="0D9486A3" w14:textId="77777777" w:rsidR="006600AD" w:rsidRPr="007E7856" w:rsidRDefault="006600AD" w:rsidP="007E7856">
            <w:pPr>
              <w:spacing w:before="0" w:after="0" w:line="276" w:lineRule="auto"/>
              <w:ind w:right="182"/>
              <w:rPr>
                <w:b/>
                <w:szCs w:val="20"/>
              </w:rPr>
            </w:pPr>
            <w:r w:rsidRPr="007E7856">
              <w:rPr>
                <w:b/>
                <w:szCs w:val="20"/>
              </w:rPr>
              <w:t>GCV</w:t>
            </w:r>
            <w:r w:rsidRPr="007E7856">
              <w:rPr>
                <w:b/>
                <w:szCs w:val="20"/>
              </w:rPr>
              <w:tab/>
            </w:r>
          </w:p>
        </w:tc>
        <w:tc>
          <w:tcPr>
            <w:tcW w:w="4170" w:type="pct"/>
            <w:shd w:val="clear" w:color="auto" w:fill="FFFFFF"/>
            <w:vAlign w:val="center"/>
          </w:tcPr>
          <w:p w14:paraId="15FDDAFB" w14:textId="77777777" w:rsidR="006600AD" w:rsidRPr="007E7856" w:rsidRDefault="006600AD" w:rsidP="007E7856">
            <w:pPr>
              <w:spacing w:before="0" w:after="0" w:line="276" w:lineRule="auto"/>
              <w:ind w:right="182"/>
              <w:rPr>
                <w:szCs w:val="20"/>
              </w:rPr>
            </w:pPr>
            <w:r w:rsidRPr="007E7856">
              <w:rPr>
                <w:szCs w:val="20"/>
              </w:rPr>
              <w:t>Gross calorific value</w:t>
            </w:r>
          </w:p>
        </w:tc>
      </w:tr>
      <w:tr w:rsidR="006600AD" w:rsidRPr="00C46961" w14:paraId="385D3CB8" w14:textId="77777777" w:rsidTr="002F7E18">
        <w:trPr>
          <w:cantSplit/>
          <w:trHeight w:val="288"/>
        </w:trPr>
        <w:tc>
          <w:tcPr>
            <w:tcW w:w="830" w:type="pct"/>
            <w:shd w:val="clear" w:color="auto" w:fill="FFFFFF"/>
            <w:vAlign w:val="center"/>
          </w:tcPr>
          <w:p w14:paraId="4BDF58EA" w14:textId="77777777" w:rsidR="006600AD" w:rsidRPr="007E7856" w:rsidRDefault="006600AD" w:rsidP="007E7856">
            <w:pPr>
              <w:spacing w:before="0" w:after="0" w:line="276" w:lineRule="auto"/>
              <w:ind w:right="182"/>
              <w:rPr>
                <w:b/>
                <w:szCs w:val="20"/>
              </w:rPr>
            </w:pPr>
            <w:r w:rsidRPr="007E7856">
              <w:rPr>
                <w:b/>
                <w:szCs w:val="20"/>
              </w:rPr>
              <w:t>GDP</w:t>
            </w:r>
          </w:p>
        </w:tc>
        <w:tc>
          <w:tcPr>
            <w:tcW w:w="4170" w:type="pct"/>
            <w:shd w:val="clear" w:color="auto" w:fill="FFFFFF"/>
            <w:vAlign w:val="center"/>
          </w:tcPr>
          <w:p w14:paraId="5262EE4F" w14:textId="77777777" w:rsidR="006600AD" w:rsidRPr="007E7856" w:rsidRDefault="006600AD" w:rsidP="007E7856">
            <w:pPr>
              <w:spacing w:before="0" w:after="0" w:line="276" w:lineRule="auto"/>
              <w:ind w:right="182"/>
              <w:rPr>
                <w:szCs w:val="20"/>
              </w:rPr>
            </w:pPr>
            <w:r w:rsidRPr="007E7856">
              <w:rPr>
                <w:szCs w:val="20"/>
              </w:rPr>
              <w:t>Gross domestic product</w:t>
            </w:r>
          </w:p>
        </w:tc>
      </w:tr>
      <w:tr w:rsidR="006600AD" w:rsidRPr="00C46961" w14:paraId="42158864" w14:textId="77777777" w:rsidTr="002F7E18">
        <w:trPr>
          <w:cantSplit/>
          <w:trHeight w:val="288"/>
        </w:trPr>
        <w:tc>
          <w:tcPr>
            <w:tcW w:w="830" w:type="pct"/>
            <w:shd w:val="clear" w:color="auto" w:fill="FFFFFF"/>
            <w:vAlign w:val="center"/>
            <w:hideMark/>
          </w:tcPr>
          <w:p w14:paraId="6BEF2786" w14:textId="77777777" w:rsidR="006600AD" w:rsidRPr="007E7856" w:rsidRDefault="006600AD" w:rsidP="007E7856">
            <w:pPr>
              <w:spacing w:before="0" w:after="0" w:line="276" w:lineRule="auto"/>
              <w:ind w:right="182"/>
              <w:rPr>
                <w:b/>
                <w:szCs w:val="20"/>
              </w:rPr>
            </w:pPr>
            <w:r w:rsidRPr="007E7856">
              <w:rPr>
                <w:b/>
                <w:szCs w:val="20"/>
              </w:rPr>
              <w:t>GoI</w:t>
            </w:r>
          </w:p>
        </w:tc>
        <w:tc>
          <w:tcPr>
            <w:tcW w:w="4170" w:type="pct"/>
            <w:shd w:val="clear" w:color="auto" w:fill="FFFFFF"/>
            <w:vAlign w:val="center"/>
            <w:hideMark/>
          </w:tcPr>
          <w:p w14:paraId="50CC20DC" w14:textId="77777777" w:rsidR="006600AD" w:rsidRPr="007E7856" w:rsidRDefault="006600AD" w:rsidP="007E7856">
            <w:pPr>
              <w:spacing w:before="0" w:after="0" w:line="276" w:lineRule="auto"/>
              <w:ind w:right="182"/>
              <w:rPr>
                <w:szCs w:val="20"/>
              </w:rPr>
            </w:pPr>
            <w:r w:rsidRPr="007E7856">
              <w:rPr>
                <w:szCs w:val="20"/>
              </w:rPr>
              <w:t>Government of India</w:t>
            </w:r>
          </w:p>
        </w:tc>
      </w:tr>
      <w:tr w:rsidR="006600AD" w:rsidRPr="00C46961" w14:paraId="2D3869A5" w14:textId="77777777" w:rsidTr="002F7E18">
        <w:trPr>
          <w:cantSplit/>
          <w:trHeight w:val="288"/>
        </w:trPr>
        <w:tc>
          <w:tcPr>
            <w:tcW w:w="830" w:type="pct"/>
            <w:shd w:val="clear" w:color="auto" w:fill="FFFFFF"/>
            <w:vAlign w:val="center"/>
          </w:tcPr>
          <w:p w14:paraId="4F1E3074" w14:textId="77777777" w:rsidR="006600AD" w:rsidRPr="007E7856" w:rsidRDefault="006600AD" w:rsidP="007E7856">
            <w:pPr>
              <w:spacing w:before="0" w:after="0" w:line="276" w:lineRule="auto"/>
              <w:ind w:right="182"/>
              <w:rPr>
                <w:b/>
                <w:szCs w:val="20"/>
              </w:rPr>
            </w:pPr>
            <w:r w:rsidRPr="007E7856">
              <w:rPr>
                <w:b/>
                <w:szCs w:val="20"/>
              </w:rPr>
              <w:t>GSI</w:t>
            </w:r>
          </w:p>
        </w:tc>
        <w:tc>
          <w:tcPr>
            <w:tcW w:w="4170" w:type="pct"/>
            <w:shd w:val="clear" w:color="auto" w:fill="FFFFFF"/>
            <w:vAlign w:val="center"/>
          </w:tcPr>
          <w:p w14:paraId="5435C0F5" w14:textId="77777777" w:rsidR="006600AD" w:rsidRPr="007E7856" w:rsidRDefault="006600AD" w:rsidP="007E7856">
            <w:pPr>
              <w:spacing w:before="0" w:after="0" w:line="276" w:lineRule="auto"/>
              <w:ind w:right="182"/>
              <w:rPr>
                <w:szCs w:val="20"/>
              </w:rPr>
            </w:pPr>
            <w:r w:rsidRPr="007E7856">
              <w:rPr>
                <w:szCs w:val="20"/>
              </w:rPr>
              <w:t>Geological Survey of India</w:t>
            </w:r>
          </w:p>
        </w:tc>
      </w:tr>
      <w:tr w:rsidR="006600AD" w:rsidRPr="00C46961" w14:paraId="751DA777" w14:textId="77777777" w:rsidTr="002F7E18">
        <w:trPr>
          <w:cantSplit/>
          <w:trHeight w:val="288"/>
        </w:trPr>
        <w:tc>
          <w:tcPr>
            <w:tcW w:w="830" w:type="pct"/>
            <w:shd w:val="clear" w:color="auto" w:fill="FFFFFF"/>
            <w:vAlign w:val="center"/>
          </w:tcPr>
          <w:p w14:paraId="25E0FB5A" w14:textId="77777777" w:rsidR="006600AD" w:rsidRPr="007E7856" w:rsidRDefault="006600AD" w:rsidP="007E7856">
            <w:pPr>
              <w:spacing w:before="0" w:after="0" w:line="276" w:lineRule="auto"/>
              <w:ind w:right="182"/>
              <w:rPr>
                <w:b/>
                <w:szCs w:val="20"/>
              </w:rPr>
            </w:pPr>
            <w:r w:rsidRPr="007E7856">
              <w:rPr>
                <w:b/>
                <w:szCs w:val="20"/>
              </w:rPr>
              <w:t>Ha</w:t>
            </w:r>
          </w:p>
        </w:tc>
        <w:tc>
          <w:tcPr>
            <w:tcW w:w="4170" w:type="pct"/>
            <w:shd w:val="clear" w:color="auto" w:fill="FFFFFF"/>
            <w:vAlign w:val="center"/>
          </w:tcPr>
          <w:p w14:paraId="43176F82" w14:textId="77777777" w:rsidR="006600AD" w:rsidRPr="007E7856" w:rsidRDefault="006600AD" w:rsidP="007E7856">
            <w:pPr>
              <w:spacing w:before="0" w:after="0" w:line="276" w:lineRule="auto"/>
              <w:ind w:right="182"/>
              <w:rPr>
                <w:szCs w:val="20"/>
              </w:rPr>
            </w:pPr>
            <w:r w:rsidRPr="007E7856">
              <w:rPr>
                <w:szCs w:val="20"/>
              </w:rPr>
              <w:t>Hectare</w:t>
            </w:r>
          </w:p>
        </w:tc>
      </w:tr>
      <w:tr w:rsidR="00D0448C" w:rsidRPr="00C46961" w14:paraId="06EC30B3" w14:textId="77777777" w:rsidTr="002F7E18">
        <w:trPr>
          <w:cantSplit/>
          <w:trHeight w:val="288"/>
        </w:trPr>
        <w:tc>
          <w:tcPr>
            <w:tcW w:w="830" w:type="pct"/>
            <w:shd w:val="clear" w:color="auto" w:fill="FFFFFF"/>
            <w:vAlign w:val="center"/>
          </w:tcPr>
          <w:p w14:paraId="02072C85" w14:textId="6640C945" w:rsidR="00D0448C" w:rsidRPr="007E7856" w:rsidRDefault="00535139" w:rsidP="007E7856">
            <w:pPr>
              <w:spacing w:before="0" w:after="0" w:line="276" w:lineRule="auto"/>
              <w:ind w:right="182"/>
              <w:rPr>
                <w:b/>
                <w:szCs w:val="20"/>
              </w:rPr>
            </w:pPr>
            <w:r w:rsidRPr="007E7856">
              <w:rPr>
                <w:b/>
                <w:szCs w:val="20"/>
              </w:rPr>
              <w:t>ICCP</w:t>
            </w:r>
          </w:p>
        </w:tc>
        <w:tc>
          <w:tcPr>
            <w:tcW w:w="4170" w:type="pct"/>
            <w:shd w:val="clear" w:color="auto" w:fill="FFFFFF"/>
            <w:vAlign w:val="center"/>
          </w:tcPr>
          <w:p w14:paraId="6843AA61" w14:textId="5D671640" w:rsidR="00D0448C" w:rsidRPr="007E7856" w:rsidRDefault="00D0448C" w:rsidP="007E7856">
            <w:pPr>
              <w:spacing w:before="0" w:after="0" w:line="276" w:lineRule="auto"/>
              <w:ind w:right="182"/>
              <w:rPr>
                <w:szCs w:val="20"/>
              </w:rPr>
            </w:pPr>
            <w:r w:rsidRPr="007E7856">
              <w:rPr>
                <w:szCs w:val="20"/>
              </w:rPr>
              <w:t>International Committee of Coal &amp; Organic Petrology</w:t>
            </w:r>
          </w:p>
        </w:tc>
      </w:tr>
      <w:tr w:rsidR="006600AD" w:rsidRPr="00C46961" w14:paraId="07BC774A" w14:textId="77777777" w:rsidTr="002F7E18">
        <w:trPr>
          <w:cantSplit/>
          <w:trHeight w:val="288"/>
        </w:trPr>
        <w:tc>
          <w:tcPr>
            <w:tcW w:w="830" w:type="pct"/>
            <w:shd w:val="clear" w:color="auto" w:fill="FFFFFF"/>
            <w:vAlign w:val="center"/>
          </w:tcPr>
          <w:p w14:paraId="20194CCE" w14:textId="77777777" w:rsidR="006600AD" w:rsidRPr="007E7856" w:rsidRDefault="006600AD" w:rsidP="007E7856">
            <w:pPr>
              <w:spacing w:before="0" w:after="0" w:line="276" w:lineRule="auto"/>
              <w:ind w:right="182"/>
              <w:rPr>
                <w:b/>
                <w:szCs w:val="20"/>
              </w:rPr>
            </w:pPr>
            <w:r w:rsidRPr="007E7856">
              <w:rPr>
                <w:b/>
                <w:szCs w:val="20"/>
              </w:rPr>
              <w:t>IMF</w:t>
            </w:r>
          </w:p>
        </w:tc>
        <w:tc>
          <w:tcPr>
            <w:tcW w:w="4170" w:type="pct"/>
            <w:shd w:val="clear" w:color="auto" w:fill="FFFFFF"/>
            <w:vAlign w:val="center"/>
          </w:tcPr>
          <w:p w14:paraId="05A4361C" w14:textId="77777777" w:rsidR="006600AD" w:rsidRPr="007E7856" w:rsidRDefault="006600AD" w:rsidP="007E7856">
            <w:pPr>
              <w:spacing w:before="0" w:after="0" w:line="276" w:lineRule="auto"/>
              <w:ind w:right="182"/>
              <w:rPr>
                <w:szCs w:val="20"/>
              </w:rPr>
            </w:pPr>
            <w:r w:rsidRPr="007E7856">
              <w:rPr>
                <w:szCs w:val="20"/>
              </w:rPr>
              <w:t>International Monetary Fund</w:t>
            </w:r>
          </w:p>
        </w:tc>
      </w:tr>
      <w:tr w:rsidR="006600AD" w:rsidRPr="00C46961" w14:paraId="5F5A33BB" w14:textId="77777777" w:rsidTr="002F7E18">
        <w:trPr>
          <w:cantSplit/>
          <w:trHeight w:val="288"/>
        </w:trPr>
        <w:tc>
          <w:tcPr>
            <w:tcW w:w="830" w:type="pct"/>
            <w:shd w:val="clear" w:color="auto" w:fill="FFFFFF"/>
            <w:vAlign w:val="center"/>
          </w:tcPr>
          <w:p w14:paraId="5C48C369" w14:textId="77777777" w:rsidR="006600AD" w:rsidRPr="007E7856" w:rsidRDefault="006600AD" w:rsidP="007E7856">
            <w:pPr>
              <w:spacing w:before="0" w:after="0" w:line="276" w:lineRule="auto"/>
              <w:ind w:right="182"/>
              <w:rPr>
                <w:b/>
                <w:szCs w:val="20"/>
              </w:rPr>
            </w:pPr>
            <w:r w:rsidRPr="007E7856">
              <w:rPr>
                <w:b/>
                <w:szCs w:val="20"/>
              </w:rPr>
              <w:t>JV</w:t>
            </w:r>
          </w:p>
        </w:tc>
        <w:tc>
          <w:tcPr>
            <w:tcW w:w="4170" w:type="pct"/>
            <w:shd w:val="clear" w:color="auto" w:fill="FFFFFF"/>
            <w:vAlign w:val="center"/>
          </w:tcPr>
          <w:p w14:paraId="6E7D7E11" w14:textId="77777777" w:rsidR="006600AD" w:rsidRPr="007E7856" w:rsidRDefault="006600AD" w:rsidP="007E7856">
            <w:pPr>
              <w:spacing w:before="0" w:after="0" w:line="276" w:lineRule="auto"/>
              <w:ind w:right="182"/>
              <w:rPr>
                <w:szCs w:val="20"/>
              </w:rPr>
            </w:pPr>
            <w:r w:rsidRPr="007E7856">
              <w:rPr>
                <w:szCs w:val="20"/>
              </w:rPr>
              <w:t>Joint venture</w:t>
            </w:r>
          </w:p>
        </w:tc>
      </w:tr>
      <w:tr w:rsidR="006600AD" w:rsidRPr="00C46961" w14:paraId="4CE05058" w14:textId="77777777" w:rsidTr="002F7E18">
        <w:trPr>
          <w:cantSplit/>
          <w:trHeight w:val="288"/>
        </w:trPr>
        <w:tc>
          <w:tcPr>
            <w:tcW w:w="830" w:type="pct"/>
            <w:shd w:val="clear" w:color="auto" w:fill="FFFFFF"/>
            <w:vAlign w:val="center"/>
          </w:tcPr>
          <w:p w14:paraId="227F79F5" w14:textId="77777777" w:rsidR="006600AD" w:rsidRPr="007E7856" w:rsidRDefault="006600AD" w:rsidP="007E7856">
            <w:pPr>
              <w:spacing w:before="0" w:after="0" w:line="276" w:lineRule="auto"/>
              <w:ind w:right="182"/>
              <w:rPr>
                <w:b/>
                <w:szCs w:val="20"/>
              </w:rPr>
            </w:pPr>
            <w:r w:rsidRPr="007E7856">
              <w:rPr>
                <w:b/>
                <w:szCs w:val="20"/>
              </w:rPr>
              <w:t>KABIL</w:t>
            </w:r>
          </w:p>
        </w:tc>
        <w:tc>
          <w:tcPr>
            <w:tcW w:w="4170" w:type="pct"/>
            <w:shd w:val="clear" w:color="auto" w:fill="FFFFFF"/>
            <w:vAlign w:val="center"/>
          </w:tcPr>
          <w:p w14:paraId="0F766A7F" w14:textId="77777777" w:rsidR="006600AD" w:rsidRPr="007E7856" w:rsidRDefault="006600AD" w:rsidP="007E7856">
            <w:pPr>
              <w:spacing w:before="0" w:after="0" w:line="276" w:lineRule="auto"/>
              <w:ind w:right="182"/>
              <w:rPr>
                <w:szCs w:val="20"/>
              </w:rPr>
            </w:pPr>
            <w:r w:rsidRPr="007E7856">
              <w:rPr>
                <w:szCs w:val="20"/>
              </w:rPr>
              <w:t xml:space="preserve">Khanij Bidesh India Ltd. </w:t>
            </w:r>
          </w:p>
        </w:tc>
      </w:tr>
      <w:tr w:rsidR="006600AD" w:rsidRPr="00C46961" w14:paraId="639E6A5B" w14:textId="77777777" w:rsidTr="002F7E18">
        <w:trPr>
          <w:cantSplit/>
          <w:trHeight w:val="288"/>
        </w:trPr>
        <w:tc>
          <w:tcPr>
            <w:tcW w:w="830" w:type="pct"/>
            <w:shd w:val="clear" w:color="auto" w:fill="FFFFFF"/>
            <w:vAlign w:val="center"/>
          </w:tcPr>
          <w:p w14:paraId="54772160" w14:textId="77777777" w:rsidR="006600AD" w:rsidRPr="007E7856" w:rsidRDefault="006600AD" w:rsidP="007E7856">
            <w:pPr>
              <w:spacing w:before="0" w:after="0" w:line="276" w:lineRule="auto"/>
              <w:ind w:right="182"/>
              <w:rPr>
                <w:b/>
                <w:szCs w:val="20"/>
              </w:rPr>
            </w:pPr>
            <w:r w:rsidRPr="007E7856">
              <w:rPr>
                <w:b/>
                <w:szCs w:val="20"/>
              </w:rPr>
              <w:t>km</w:t>
            </w:r>
          </w:p>
        </w:tc>
        <w:tc>
          <w:tcPr>
            <w:tcW w:w="4170" w:type="pct"/>
            <w:shd w:val="clear" w:color="auto" w:fill="FFFFFF"/>
            <w:vAlign w:val="center"/>
          </w:tcPr>
          <w:p w14:paraId="79483ECE" w14:textId="7D84DA9D" w:rsidR="006600AD" w:rsidRPr="007E7856" w:rsidRDefault="00905A2F" w:rsidP="007E7856">
            <w:pPr>
              <w:spacing w:before="0" w:after="0" w:line="276" w:lineRule="auto"/>
              <w:ind w:right="182"/>
              <w:rPr>
                <w:szCs w:val="20"/>
              </w:rPr>
            </w:pPr>
            <w:r w:rsidRPr="007E7856">
              <w:rPr>
                <w:szCs w:val="20"/>
              </w:rPr>
              <w:t>Kilometer</w:t>
            </w:r>
          </w:p>
        </w:tc>
      </w:tr>
      <w:tr w:rsidR="006600AD" w:rsidRPr="00C46961" w14:paraId="4222D700" w14:textId="77777777" w:rsidTr="002F7E18">
        <w:trPr>
          <w:cantSplit/>
          <w:trHeight w:val="288"/>
        </w:trPr>
        <w:tc>
          <w:tcPr>
            <w:tcW w:w="830" w:type="pct"/>
            <w:shd w:val="clear" w:color="auto" w:fill="FFFFFF"/>
            <w:vAlign w:val="center"/>
          </w:tcPr>
          <w:p w14:paraId="22C02D78" w14:textId="77777777" w:rsidR="006600AD" w:rsidRPr="007E7856" w:rsidRDefault="006600AD" w:rsidP="007E7856">
            <w:pPr>
              <w:spacing w:before="0" w:after="0" w:line="276" w:lineRule="auto"/>
              <w:ind w:right="182"/>
              <w:rPr>
                <w:b/>
                <w:szCs w:val="20"/>
              </w:rPr>
            </w:pPr>
            <w:r w:rsidRPr="007E7856">
              <w:rPr>
                <w:b/>
                <w:szCs w:val="20"/>
              </w:rPr>
              <w:t>Mcum/Mm</w:t>
            </w:r>
            <w:r w:rsidRPr="007E7856">
              <w:rPr>
                <w:b/>
                <w:szCs w:val="20"/>
                <w:vertAlign w:val="superscript"/>
              </w:rPr>
              <w:t>3</w:t>
            </w:r>
          </w:p>
        </w:tc>
        <w:tc>
          <w:tcPr>
            <w:tcW w:w="4170" w:type="pct"/>
            <w:shd w:val="clear" w:color="auto" w:fill="FFFFFF"/>
            <w:vAlign w:val="center"/>
          </w:tcPr>
          <w:p w14:paraId="419D145C" w14:textId="77777777" w:rsidR="006600AD" w:rsidRPr="007E7856" w:rsidRDefault="006600AD" w:rsidP="007E7856">
            <w:pPr>
              <w:spacing w:before="0" w:after="0" w:line="276" w:lineRule="auto"/>
              <w:ind w:right="182"/>
              <w:rPr>
                <w:szCs w:val="20"/>
              </w:rPr>
            </w:pPr>
            <w:r w:rsidRPr="007E7856">
              <w:rPr>
                <w:szCs w:val="20"/>
              </w:rPr>
              <w:t>Million cubic metre</w:t>
            </w:r>
          </w:p>
        </w:tc>
      </w:tr>
      <w:tr w:rsidR="0047096D" w:rsidRPr="00C46961" w14:paraId="21947750" w14:textId="77777777" w:rsidTr="002F7E18">
        <w:trPr>
          <w:cantSplit/>
          <w:trHeight w:val="288"/>
        </w:trPr>
        <w:tc>
          <w:tcPr>
            <w:tcW w:w="830" w:type="pct"/>
            <w:shd w:val="clear" w:color="auto" w:fill="FFFFFF"/>
            <w:vAlign w:val="center"/>
          </w:tcPr>
          <w:p w14:paraId="23FCB2BA" w14:textId="02BE261D" w:rsidR="0047096D" w:rsidRPr="007E7856" w:rsidRDefault="0047096D" w:rsidP="007E7856">
            <w:pPr>
              <w:spacing w:before="0" w:after="0" w:line="276" w:lineRule="auto"/>
              <w:ind w:right="182"/>
              <w:rPr>
                <w:b/>
                <w:szCs w:val="20"/>
              </w:rPr>
            </w:pPr>
            <w:r w:rsidRPr="007E7856">
              <w:rPr>
                <w:b/>
                <w:szCs w:val="20"/>
              </w:rPr>
              <w:t>MCR</w:t>
            </w:r>
          </w:p>
        </w:tc>
        <w:tc>
          <w:tcPr>
            <w:tcW w:w="4170" w:type="pct"/>
            <w:shd w:val="clear" w:color="auto" w:fill="FFFFFF"/>
            <w:vAlign w:val="center"/>
          </w:tcPr>
          <w:p w14:paraId="306158B2" w14:textId="7214315A" w:rsidR="0047096D" w:rsidRPr="007E7856" w:rsidRDefault="0047096D" w:rsidP="007E7856">
            <w:pPr>
              <w:spacing w:before="0" w:after="0" w:line="276" w:lineRule="auto"/>
              <w:ind w:right="182"/>
              <w:rPr>
                <w:szCs w:val="20"/>
              </w:rPr>
            </w:pPr>
            <w:r w:rsidRPr="007E7856">
              <w:rPr>
                <w:szCs w:val="20"/>
              </w:rPr>
              <w:t>Minerals (Other than Atomic and Hydro Carbons Energy Minerals) Concession Rules, 2016</w:t>
            </w:r>
          </w:p>
        </w:tc>
      </w:tr>
      <w:tr w:rsidR="006600AD" w:rsidRPr="00C46961" w14:paraId="5A111BE8" w14:textId="77777777" w:rsidTr="002F7E18">
        <w:trPr>
          <w:cantSplit/>
          <w:trHeight w:val="288"/>
        </w:trPr>
        <w:tc>
          <w:tcPr>
            <w:tcW w:w="830" w:type="pct"/>
            <w:shd w:val="clear" w:color="auto" w:fill="FFFFFF"/>
            <w:vAlign w:val="center"/>
          </w:tcPr>
          <w:p w14:paraId="4D9F0313" w14:textId="77777777" w:rsidR="006600AD" w:rsidRPr="007E7856" w:rsidRDefault="006600AD" w:rsidP="007E7856">
            <w:pPr>
              <w:spacing w:before="0" w:after="0" w:line="276" w:lineRule="auto"/>
              <w:ind w:right="182"/>
              <w:rPr>
                <w:b/>
                <w:szCs w:val="20"/>
              </w:rPr>
            </w:pPr>
            <w:r w:rsidRPr="007E7856">
              <w:rPr>
                <w:b/>
                <w:szCs w:val="20"/>
              </w:rPr>
              <w:t>MECL</w:t>
            </w:r>
          </w:p>
        </w:tc>
        <w:tc>
          <w:tcPr>
            <w:tcW w:w="4170" w:type="pct"/>
            <w:shd w:val="clear" w:color="auto" w:fill="FFFFFF"/>
            <w:vAlign w:val="center"/>
          </w:tcPr>
          <w:p w14:paraId="6845D534" w14:textId="77777777" w:rsidR="006600AD" w:rsidRPr="007E7856" w:rsidRDefault="006600AD" w:rsidP="007E7856">
            <w:pPr>
              <w:spacing w:before="0" w:after="0" w:line="276" w:lineRule="auto"/>
              <w:ind w:right="182"/>
              <w:rPr>
                <w:szCs w:val="20"/>
              </w:rPr>
            </w:pPr>
            <w:r w:rsidRPr="007E7856">
              <w:rPr>
                <w:szCs w:val="20"/>
              </w:rPr>
              <w:t>Mineral Exploration and Consultancy Limited</w:t>
            </w:r>
          </w:p>
        </w:tc>
      </w:tr>
      <w:tr w:rsidR="006600AD" w:rsidRPr="00C46961" w14:paraId="684295B4" w14:textId="77777777" w:rsidTr="002F7E18">
        <w:trPr>
          <w:cantSplit/>
          <w:trHeight w:val="288"/>
        </w:trPr>
        <w:tc>
          <w:tcPr>
            <w:tcW w:w="830" w:type="pct"/>
            <w:shd w:val="clear" w:color="auto" w:fill="FFFFFF"/>
            <w:vAlign w:val="center"/>
          </w:tcPr>
          <w:p w14:paraId="18BA4BFD" w14:textId="77777777" w:rsidR="006600AD" w:rsidRPr="007E7856" w:rsidRDefault="006600AD" w:rsidP="007E7856">
            <w:pPr>
              <w:spacing w:before="0" w:after="0" w:line="276" w:lineRule="auto"/>
              <w:ind w:right="182"/>
              <w:rPr>
                <w:b/>
                <w:szCs w:val="20"/>
              </w:rPr>
            </w:pPr>
            <w:r w:rsidRPr="007E7856">
              <w:rPr>
                <w:b/>
                <w:szCs w:val="20"/>
              </w:rPr>
              <w:t>MPPA</w:t>
            </w:r>
          </w:p>
        </w:tc>
        <w:tc>
          <w:tcPr>
            <w:tcW w:w="4170" w:type="pct"/>
            <w:shd w:val="clear" w:color="auto" w:fill="FFFFFF"/>
            <w:vAlign w:val="center"/>
          </w:tcPr>
          <w:p w14:paraId="3E01DB30" w14:textId="77777777" w:rsidR="006600AD" w:rsidRPr="007E7856" w:rsidRDefault="006600AD" w:rsidP="007E7856">
            <w:pPr>
              <w:spacing w:before="0" w:after="0" w:line="276" w:lineRule="auto"/>
              <w:ind w:right="182"/>
              <w:rPr>
                <w:szCs w:val="20"/>
              </w:rPr>
            </w:pPr>
            <w:r w:rsidRPr="007E7856">
              <w:rPr>
                <w:szCs w:val="20"/>
              </w:rPr>
              <w:t>Mining Plan Preparing Agency</w:t>
            </w:r>
          </w:p>
        </w:tc>
      </w:tr>
      <w:tr w:rsidR="006600AD" w:rsidRPr="00C46961" w14:paraId="1B579A9F" w14:textId="77777777" w:rsidTr="002F7E18">
        <w:trPr>
          <w:cantSplit/>
          <w:trHeight w:val="288"/>
        </w:trPr>
        <w:tc>
          <w:tcPr>
            <w:tcW w:w="830" w:type="pct"/>
            <w:shd w:val="clear" w:color="auto" w:fill="FFFFFF"/>
            <w:vAlign w:val="center"/>
          </w:tcPr>
          <w:p w14:paraId="5D760F5A" w14:textId="77777777" w:rsidR="006600AD" w:rsidRPr="007E7856" w:rsidRDefault="006600AD" w:rsidP="007E7856">
            <w:pPr>
              <w:spacing w:before="0" w:after="0" w:line="276" w:lineRule="auto"/>
              <w:ind w:right="182"/>
              <w:rPr>
                <w:b/>
                <w:szCs w:val="20"/>
              </w:rPr>
            </w:pPr>
            <w:r w:rsidRPr="007E7856">
              <w:rPr>
                <w:b/>
                <w:szCs w:val="20"/>
              </w:rPr>
              <w:t>MO/MDO</w:t>
            </w:r>
          </w:p>
        </w:tc>
        <w:tc>
          <w:tcPr>
            <w:tcW w:w="4170" w:type="pct"/>
            <w:shd w:val="clear" w:color="auto" w:fill="FFFFFF"/>
            <w:vAlign w:val="center"/>
          </w:tcPr>
          <w:p w14:paraId="1537DE4B" w14:textId="77777777" w:rsidR="006600AD" w:rsidRPr="007E7856" w:rsidRDefault="006600AD" w:rsidP="007E7856">
            <w:pPr>
              <w:spacing w:before="0" w:after="0" w:line="276" w:lineRule="auto"/>
              <w:ind w:right="182"/>
              <w:rPr>
                <w:szCs w:val="20"/>
              </w:rPr>
            </w:pPr>
            <w:r w:rsidRPr="007E7856">
              <w:rPr>
                <w:szCs w:val="20"/>
              </w:rPr>
              <w:t>Mine operator/mine developer-cum-operator</w:t>
            </w:r>
          </w:p>
        </w:tc>
      </w:tr>
      <w:tr w:rsidR="006600AD" w:rsidRPr="00C46961" w14:paraId="5E9EFFC1" w14:textId="77777777" w:rsidTr="002F7E18">
        <w:trPr>
          <w:cantSplit/>
          <w:trHeight w:val="288"/>
        </w:trPr>
        <w:tc>
          <w:tcPr>
            <w:tcW w:w="830" w:type="pct"/>
            <w:shd w:val="clear" w:color="auto" w:fill="FFFFFF"/>
            <w:vAlign w:val="center"/>
          </w:tcPr>
          <w:p w14:paraId="0AD38228" w14:textId="77777777" w:rsidR="006600AD" w:rsidRPr="007E7856" w:rsidRDefault="006600AD" w:rsidP="007E7856">
            <w:pPr>
              <w:spacing w:before="0" w:after="0" w:line="276" w:lineRule="auto"/>
              <w:ind w:right="182"/>
              <w:rPr>
                <w:b/>
                <w:szCs w:val="20"/>
              </w:rPr>
            </w:pPr>
            <w:r w:rsidRPr="007E7856">
              <w:rPr>
                <w:b/>
                <w:szCs w:val="20"/>
              </w:rPr>
              <w:t>MoC</w:t>
            </w:r>
          </w:p>
        </w:tc>
        <w:tc>
          <w:tcPr>
            <w:tcW w:w="4170" w:type="pct"/>
            <w:shd w:val="clear" w:color="auto" w:fill="FFFFFF"/>
            <w:vAlign w:val="center"/>
          </w:tcPr>
          <w:p w14:paraId="6F34FB71" w14:textId="77777777" w:rsidR="006600AD" w:rsidRPr="007E7856" w:rsidRDefault="006600AD" w:rsidP="007E7856">
            <w:pPr>
              <w:spacing w:before="0" w:after="0" w:line="276" w:lineRule="auto"/>
              <w:ind w:right="182"/>
              <w:rPr>
                <w:szCs w:val="20"/>
              </w:rPr>
            </w:pPr>
            <w:r w:rsidRPr="007E7856">
              <w:rPr>
                <w:szCs w:val="20"/>
              </w:rPr>
              <w:t>Ministry of Coal, Government of India</w:t>
            </w:r>
          </w:p>
        </w:tc>
      </w:tr>
      <w:tr w:rsidR="006600AD" w:rsidRPr="00C46961" w14:paraId="3C2B1858" w14:textId="77777777" w:rsidTr="002F7E18">
        <w:trPr>
          <w:cantSplit/>
          <w:trHeight w:val="288"/>
        </w:trPr>
        <w:tc>
          <w:tcPr>
            <w:tcW w:w="830" w:type="pct"/>
            <w:shd w:val="clear" w:color="auto" w:fill="FFFFFF"/>
            <w:vAlign w:val="center"/>
          </w:tcPr>
          <w:p w14:paraId="14C689EC" w14:textId="77777777" w:rsidR="006600AD" w:rsidRPr="007E7856" w:rsidRDefault="006600AD" w:rsidP="007E7856">
            <w:pPr>
              <w:spacing w:before="0" w:after="0" w:line="276" w:lineRule="auto"/>
              <w:ind w:right="182"/>
              <w:rPr>
                <w:b/>
                <w:szCs w:val="20"/>
              </w:rPr>
            </w:pPr>
            <w:r w:rsidRPr="007E7856">
              <w:rPr>
                <w:b/>
                <w:szCs w:val="20"/>
              </w:rPr>
              <w:t>MoEFCC</w:t>
            </w:r>
          </w:p>
        </w:tc>
        <w:tc>
          <w:tcPr>
            <w:tcW w:w="4170" w:type="pct"/>
            <w:shd w:val="clear" w:color="auto" w:fill="FFFFFF"/>
            <w:vAlign w:val="center"/>
          </w:tcPr>
          <w:p w14:paraId="1FA5F169" w14:textId="77777777" w:rsidR="006600AD" w:rsidRPr="007E7856" w:rsidRDefault="006600AD" w:rsidP="007E7856">
            <w:pPr>
              <w:spacing w:before="0" w:after="0" w:line="276" w:lineRule="auto"/>
              <w:ind w:right="182"/>
              <w:rPr>
                <w:szCs w:val="20"/>
              </w:rPr>
            </w:pPr>
            <w:r w:rsidRPr="007E7856">
              <w:rPr>
                <w:szCs w:val="20"/>
              </w:rPr>
              <w:t>Ministry of Environment, Forest and Climate Change, Government of India</w:t>
            </w:r>
          </w:p>
        </w:tc>
      </w:tr>
      <w:tr w:rsidR="006600AD" w:rsidRPr="00C46961" w14:paraId="07B94DBC" w14:textId="77777777" w:rsidTr="002F7E18">
        <w:trPr>
          <w:cantSplit/>
          <w:trHeight w:val="288"/>
        </w:trPr>
        <w:tc>
          <w:tcPr>
            <w:tcW w:w="830" w:type="pct"/>
            <w:shd w:val="clear" w:color="auto" w:fill="FFFFFF"/>
            <w:vAlign w:val="center"/>
          </w:tcPr>
          <w:p w14:paraId="5C51C195" w14:textId="77777777" w:rsidR="006600AD" w:rsidRPr="007E7856" w:rsidRDefault="006600AD" w:rsidP="007E7856">
            <w:pPr>
              <w:spacing w:before="0" w:after="0" w:line="276" w:lineRule="auto"/>
              <w:ind w:right="182"/>
              <w:rPr>
                <w:b/>
                <w:szCs w:val="20"/>
              </w:rPr>
            </w:pPr>
            <w:r w:rsidRPr="007E7856">
              <w:rPr>
                <w:b/>
                <w:szCs w:val="20"/>
              </w:rPr>
              <w:t>MoM</w:t>
            </w:r>
          </w:p>
        </w:tc>
        <w:tc>
          <w:tcPr>
            <w:tcW w:w="4170" w:type="pct"/>
            <w:shd w:val="clear" w:color="auto" w:fill="FFFFFF"/>
            <w:vAlign w:val="center"/>
          </w:tcPr>
          <w:p w14:paraId="477C5442" w14:textId="77777777" w:rsidR="006600AD" w:rsidRPr="007E7856" w:rsidRDefault="006600AD" w:rsidP="007E7856">
            <w:pPr>
              <w:spacing w:before="0" w:after="0" w:line="276" w:lineRule="auto"/>
              <w:ind w:right="182"/>
              <w:rPr>
                <w:szCs w:val="20"/>
              </w:rPr>
            </w:pPr>
            <w:r w:rsidRPr="007E7856">
              <w:rPr>
                <w:szCs w:val="20"/>
              </w:rPr>
              <w:t>Ministry of Mines, Government of India</w:t>
            </w:r>
          </w:p>
        </w:tc>
      </w:tr>
      <w:tr w:rsidR="006600AD" w:rsidRPr="00C46961" w14:paraId="4FDF9CEC" w14:textId="77777777" w:rsidTr="002F7E18">
        <w:trPr>
          <w:cantSplit/>
          <w:trHeight w:val="288"/>
        </w:trPr>
        <w:tc>
          <w:tcPr>
            <w:tcW w:w="830" w:type="pct"/>
            <w:shd w:val="clear" w:color="auto" w:fill="FFFFFF"/>
            <w:vAlign w:val="center"/>
          </w:tcPr>
          <w:p w14:paraId="6AE7CC08" w14:textId="77777777" w:rsidR="006600AD" w:rsidRPr="007E7856" w:rsidRDefault="006600AD" w:rsidP="007E7856">
            <w:pPr>
              <w:spacing w:before="0" w:after="0" w:line="276" w:lineRule="auto"/>
              <w:ind w:right="182"/>
              <w:rPr>
                <w:b/>
                <w:szCs w:val="20"/>
              </w:rPr>
            </w:pPr>
            <w:r w:rsidRPr="007E7856">
              <w:rPr>
                <w:b/>
                <w:szCs w:val="20"/>
              </w:rPr>
              <w:t>MoU</w:t>
            </w:r>
          </w:p>
        </w:tc>
        <w:tc>
          <w:tcPr>
            <w:tcW w:w="4170" w:type="pct"/>
            <w:shd w:val="clear" w:color="auto" w:fill="FFFFFF"/>
            <w:vAlign w:val="center"/>
          </w:tcPr>
          <w:p w14:paraId="598B4B96" w14:textId="77777777" w:rsidR="006600AD" w:rsidRPr="007E7856" w:rsidRDefault="006600AD" w:rsidP="007E7856">
            <w:pPr>
              <w:spacing w:before="0" w:after="0" w:line="276" w:lineRule="auto"/>
              <w:ind w:right="182"/>
              <w:rPr>
                <w:szCs w:val="20"/>
              </w:rPr>
            </w:pPr>
            <w:r w:rsidRPr="007E7856">
              <w:rPr>
                <w:szCs w:val="20"/>
              </w:rPr>
              <w:t>Memorandum of Understanding</w:t>
            </w:r>
          </w:p>
        </w:tc>
      </w:tr>
      <w:tr w:rsidR="006600AD" w:rsidRPr="00C46961" w14:paraId="21DC9E37" w14:textId="77777777" w:rsidTr="002F7E18">
        <w:trPr>
          <w:cantSplit/>
          <w:trHeight w:val="288"/>
        </w:trPr>
        <w:tc>
          <w:tcPr>
            <w:tcW w:w="830" w:type="pct"/>
            <w:shd w:val="clear" w:color="auto" w:fill="FFFFFF"/>
            <w:vAlign w:val="center"/>
          </w:tcPr>
          <w:p w14:paraId="5093E4FF" w14:textId="77777777" w:rsidR="006600AD" w:rsidRPr="007E7856" w:rsidRDefault="006600AD" w:rsidP="007E7856">
            <w:pPr>
              <w:spacing w:before="0" w:after="0" w:line="276" w:lineRule="auto"/>
              <w:ind w:right="182"/>
              <w:rPr>
                <w:b/>
                <w:szCs w:val="20"/>
              </w:rPr>
            </w:pPr>
            <w:r w:rsidRPr="007E7856">
              <w:rPr>
                <w:b/>
                <w:szCs w:val="20"/>
              </w:rPr>
              <w:t>MMDR Act</w:t>
            </w:r>
          </w:p>
        </w:tc>
        <w:tc>
          <w:tcPr>
            <w:tcW w:w="4170" w:type="pct"/>
            <w:shd w:val="clear" w:color="auto" w:fill="FFFFFF"/>
            <w:vAlign w:val="center"/>
          </w:tcPr>
          <w:p w14:paraId="54C4ED9E" w14:textId="77777777" w:rsidR="006600AD" w:rsidRPr="007E7856" w:rsidRDefault="006600AD" w:rsidP="007E7856">
            <w:pPr>
              <w:spacing w:before="0" w:after="0" w:line="276" w:lineRule="auto"/>
              <w:ind w:right="182"/>
              <w:rPr>
                <w:szCs w:val="20"/>
              </w:rPr>
            </w:pPr>
            <w:r w:rsidRPr="007E7856">
              <w:rPr>
                <w:szCs w:val="20"/>
              </w:rPr>
              <w:t>Mines and Minerals (Development &amp; Regulation) Act, 1957, and its amendments</w:t>
            </w:r>
          </w:p>
        </w:tc>
      </w:tr>
      <w:tr w:rsidR="006600AD" w:rsidRPr="00C46961" w14:paraId="71E68F50" w14:textId="77777777" w:rsidTr="002F7E18">
        <w:trPr>
          <w:cantSplit/>
          <w:trHeight w:val="288"/>
        </w:trPr>
        <w:tc>
          <w:tcPr>
            <w:tcW w:w="830" w:type="pct"/>
            <w:shd w:val="clear" w:color="auto" w:fill="FFFFFF"/>
            <w:vAlign w:val="center"/>
          </w:tcPr>
          <w:p w14:paraId="27AE7953" w14:textId="77777777" w:rsidR="006600AD" w:rsidRPr="007E7856" w:rsidRDefault="006600AD" w:rsidP="007E7856">
            <w:pPr>
              <w:spacing w:before="0" w:after="0" w:line="276" w:lineRule="auto"/>
              <w:ind w:right="182"/>
              <w:rPr>
                <w:b/>
                <w:szCs w:val="20"/>
              </w:rPr>
            </w:pPr>
            <w:r w:rsidRPr="007E7856">
              <w:rPr>
                <w:b/>
                <w:szCs w:val="20"/>
              </w:rPr>
              <w:t>MT/ MMT</w:t>
            </w:r>
          </w:p>
        </w:tc>
        <w:tc>
          <w:tcPr>
            <w:tcW w:w="4170" w:type="pct"/>
            <w:shd w:val="clear" w:color="auto" w:fill="FFFFFF"/>
            <w:vAlign w:val="center"/>
          </w:tcPr>
          <w:p w14:paraId="6B713AB8" w14:textId="77777777" w:rsidR="006600AD" w:rsidRPr="007E7856" w:rsidRDefault="006600AD" w:rsidP="007E7856">
            <w:pPr>
              <w:spacing w:before="0" w:after="0" w:line="276" w:lineRule="auto"/>
              <w:ind w:right="182"/>
              <w:rPr>
                <w:szCs w:val="20"/>
              </w:rPr>
            </w:pPr>
            <w:r w:rsidRPr="007E7856">
              <w:rPr>
                <w:szCs w:val="20"/>
              </w:rPr>
              <w:t>Million metric tonne</w:t>
            </w:r>
          </w:p>
        </w:tc>
      </w:tr>
      <w:tr w:rsidR="006600AD" w:rsidRPr="00577264" w14:paraId="0B5A43CC" w14:textId="77777777" w:rsidTr="002F7E18">
        <w:trPr>
          <w:cantSplit/>
          <w:trHeight w:val="288"/>
        </w:trPr>
        <w:tc>
          <w:tcPr>
            <w:tcW w:w="830" w:type="pct"/>
            <w:shd w:val="clear" w:color="auto" w:fill="FFFFFF"/>
            <w:vAlign w:val="center"/>
          </w:tcPr>
          <w:p w14:paraId="3514F49D" w14:textId="77777777" w:rsidR="006600AD" w:rsidRPr="007E7856" w:rsidRDefault="006600AD" w:rsidP="007E7856">
            <w:pPr>
              <w:spacing w:before="0" w:after="0" w:line="276" w:lineRule="auto"/>
              <w:ind w:right="182"/>
              <w:rPr>
                <w:b/>
                <w:szCs w:val="20"/>
              </w:rPr>
            </w:pPr>
            <w:r w:rsidRPr="007E7856">
              <w:rPr>
                <w:b/>
                <w:szCs w:val="20"/>
              </w:rPr>
              <w:t>MMTPA</w:t>
            </w:r>
          </w:p>
        </w:tc>
        <w:tc>
          <w:tcPr>
            <w:tcW w:w="4170" w:type="pct"/>
            <w:shd w:val="clear" w:color="auto" w:fill="FFFFFF"/>
            <w:vAlign w:val="center"/>
          </w:tcPr>
          <w:p w14:paraId="7FF8EAF2" w14:textId="77777777" w:rsidR="006600AD" w:rsidRPr="007E7856" w:rsidRDefault="006600AD" w:rsidP="007E7856">
            <w:pPr>
              <w:spacing w:before="0" w:after="0" w:line="276" w:lineRule="auto"/>
              <w:ind w:right="182"/>
              <w:rPr>
                <w:szCs w:val="20"/>
                <w:lang w:val="it-IT"/>
              </w:rPr>
            </w:pPr>
            <w:r w:rsidRPr="007E7856">
              <w:rPr>
                <w:szCs w:val="20"/>
                <w:lang w:val="it-IT"/>
              </w:rPr>
              <w:t>Million metric tonne per annum</w:t>
            </w:r>
          </w:p>
        </w:tc>
      </w:tr>
      <w:tr w:rsidR="00444FBB" w:rsidRPr="00444FBB" w14:paraId="086D2DAD" w14:textId="77777777" w:rsidTr="002F7E18">
        <w:trPr>
          <w:cantSplit/>
          <w:trHeight w:val="288"/>
        </w:trPr>
        <w:tc>
          <w:tcPr>
            <w:tcW w:w="830" w:type="pct"/>
            <w:shd w:val="clear" w:color="auto" w:fill="FFFFFF"/>
            <w:vAlign w:val="center"/>
          </w:tcPr>
          <w:p w14:paraId="5E746015" w14:textId="571D4C90" w:rsidR="00444FBB" w:rsidRPr="007E7856" w:rsidRDefault="00444FBB" w:rsidP="007E7856">
            <w:pPr>
              <w:spacing w:before="0" w:after="0" w:line="276" w:lineRule="auto"/>
              <w:ind w:right="182"/>
              <w:rPr>
                <w:b/>
                <w:szCs w:val="20"/>
              </w:rPr>
            </w:pPr>
            <w:r w:rsidRPr="007E7856">
              <w:rPr>
                <w:b/>
                <w:szCs w:val="20"/>
              </w:rPr>
              <w:t>MSTC</w:t>
            </w:r>
          </w:p>
        </w:tc>
        <w:tc>
          <w:tcPr>
            <w:tcW w:w="4170" w:type="pct"/>
            <w:shd w:val="clear" w:color="auto" w:fill="FFFFFF"/>
            <w:vAlign w:val="center"/>
          </w:tcPr>
          <w:p w14:paraId="3196FCCE" w14:textId="73DDB00F" w:rsidR="00444FBB" w:rsidRPr="007E7856" w:rsidRDefault="00444FBB" w:rsidP="007E7856">
            <w:pPr>
              <w:spacing w:before="0" w:after="0" w:line="276" w:lineRule="auto"/>
              <w:ind w:right="182"/>
              <w:rPr>
                <w:szCs w:val="20"/>
              </w:rPr>
            </w:pPr>
            <w:r w:rsidRPr="007E7856">
              <w:rPr>
                <w:szCs w:val="20"/>
              </w:rPr>
              <w:t>Metal Scrap Trade Corporation Limited</w:t>
            </w:r>
          </w:p>
        </w:tc>
      </w:tr>
      <w:tr w:rsidR="006600AD" w:rsidRPr="00C46961" w14:paraId="623453E6" w14:textId="77777777" w:rsidTr="002F7E18">
        <w:trPr>
          <w:cantSplit/>
          <w:trHeight w:val="288"/>
        </w:trPr>
        <w:tc>
          <w:tcPr>
            <w:tcW w:w="830" w:type="pct"/>
            <w:shd w:val="clear" w:color="auto" w:fill="FFFFFF"/>
            <w:vAlign w:val="center"/>
          </w:tcPr>
          <w:p w14:paraId="20E7A295" w14:textId="77777777" w:rsidR="006600AD" w:rsidRPr="007E7856" w:rsidRDefault="006600AD" w:rsidP="007E7856">
            <w:pPr>
              <w:spacing w:before="0" w:after="0" w:line="276" w:lineRule="auto"/>
              <w:ind w:right="182"/>
              <w:rPr>
                <w:b/>
                <w:szCs w:val="20"/>
              </w:rPr>
            </w:pPr>
            <w:r w:rsidRPr="007E7856">
              <w:rPr>
                <w:b/>
                <w:szCs w:val="20"/>
              </w:rPr>
              <w:t>MU</w:t>
            </w:r>
          </w:p>
        </w:tc>
        <w:tc>
          <w:tcPr>
            <w:tcW w:w="4170" w:type="pct"/>
            <w:shd w:val="clear" w:color="auto" w:fill="FFFFFF"/>
            <w:vAlign w:val="center"/>
          </w:tcPr>
          <w:p w14:paraId="7154EDD1" w14:textId="77777777" w:rsidR="006600AD" w:rsidRPr="007E7856" w:rsidRDefault="006600AD" w:rsidP="007E7856">
            <w:pPr>
              <w:spacing w:before="0" w:after="0" w:line="276" w:lineRule="auto"/>
              <w:ind w:right="182"/>
              <w:rPr>
                <w:szCs w:val="20"/>
              </w:rPr>
            </w:pPr>
            <w:r w:rsidRPr="007E7856">
              <w:rPr>
                <w:szCs w:val="20"/>
              </w:rPr>
              <w:t>Million units</w:t>
            </w:r>
          </w:p>
        </w:tc>
      </w:tr>
      <w:tr w:rsidR="006600AD" w:rsidRPr="00C46961" w14:paraId="7CF56646" w14:textId="77777777" w:rsidTr="002F7E18">
        <w:trPr>
          <w:cantSplit/>
          <w:trHeight w:val="288"/>
        </w:trPr>
        <w:tc>
          <w:tcPr>
            <w:tcW w:w="830" w:type="pct"/>
            <w:shd w:val="clear" w:color="auto" w:fill="FFFFFF"/>
            <w:vAlign w:val="center"/>
          </w:tcPr>
          <w:p w14:paraId="0C838AD4" w14:textId="77777777" w:rsidR="006600AD" w:rsidRPr="007E7856" w:rsidRDefault="006600AD" w:rsidP="007E7856">
            <w:pPr>
              <w:spacing w:before="0" w:after="0" w:line="276" w:lineRule="auto"/>
              <w:ind w:right="182"/>
              <w:rPr>
                <w:b/>
                <w:szCs w:val="20"/>
              </w:rPr>
            </w:pPr>
            <w:r w:rsidRPr="007E7856">
              <w:rPr>
                <w:b/>
                <w:szCs w:val="20"/>
              </w:rPr>
              <w:t>MW</w:t>
            </w:r>
          </w:p>
        </w:tc>
        <w:tc>
          <w:tcPr>
            <w:tcW w:w="4170" w:type="pct"/>
            <w:shd w:val="clear" w:color="auto" w:fill="FFFFFF"/>
            <w:vAlign w:val="center"/>
          </w:tcPr>
          <w:p w14:paraId="2D71AC8D" w14:textId="77777777" w:rsidR="006600AD" w:rsidRPr="007E7856" w:rsidRDefault="006600AD" w:rsidP="007E7856">
            <w:pPr>
              <w:spacing w:before="0" w:after="0" w:line="276" w:lineRule="auto"/>
              <w:ind w:right="182"/>
              <w:rPr>
                <w:szCs w:val="20"/>
              </w:rPr>
            </w:pPr>
            <w:r w:rsidRPr="007E7856">
              <w:rPr>
                <w:szCs w:val="20"/>
              </w:rPr>
              <w:t>Megawatt</w:t>
            </w:r>
          </w:p>
        </w:tc>
      </w:tr>
      <w:tr w:rsidR="006600AD" w:rsidRPr="00C46961" w14:paraId="0B6CA150" w14:textId="77777777" w:rsidTr="002F7E18">
        <w:trPr>
          <w:cantSplit/>
          <w:trHeight w:val="288"/>
        </w:trPr>
        <w:tc>
          <w:tcPr>
            <w:tcW w:w="830" w:type="pct"/>
            <w:shd w:val="clear" w:color="auto" w:fill="FFFFFF"/>
            <w:vAlign w:val="center"/>
          </w:tcPr>
          <w:p w14:paraId="6D618F73" w14:textId="77777777" w:rsidR="006600AD" w:rsidRPr="007E7856" w:rsidRDefault="006600AD" w:rsidP="007E7856">
            <w:pPr>
              <w:spacing w:before="0" w:after="0" w:line="276" w:lineRule="auto"/>
              <w:ind w:right="182"/>
              <w:rPr>
                <w:b/>
                <w:szCs w:val="20"/>
              </w:rPr>
            </w:pPr>
            <w:r w:rsidRPr="007E7856">
              <w:rPr>
                <w:b/>
                <w:szCs w:val="20"/>
              </w:rPr>
              <w:t>NABET</w:t>
            </w:r>
          </w:p>
        </w:tc>
        <w:tc>
          <w:tcPr>
            <w:tcW w:w="4170" w:type="pct"/>
            <w:shd w:val="clear" w:color="auto" w:fill="FFFFFF"/>
            <w:vAlign w:val="center"/>
          </w:tcPr>
          <w:p w14:paraId="52C93114" w14:textId="77777777" w:rsidR="006600AD" w:rsidRPr="007E7856" w:rsidRDefault="006600AD" w:rsidP="007E7856">
            <w:pPr>
              <w:spacing w:before="0" w:after="0" w:line="276" w:lineRule="auto"/>
              <w:ind w:right="182"/>
              <w:rPr>
                <w:szCs w:val="20"/>
              </w:rPr>
            </w:pPr>
            <w:r w:rsidRPr="007E7856">
              <w:rPr>
                <w:szCs w:val="20"/>
              </w:rPr>
              <w:t xml:space="preserve">National Accreditation Board for Education and Training </w:t>
            </w:r>
          </w:p>
        </w:tc>
      </w:tr>
      <w:tr w:rsidR="00535139" w:rsidRPr="00C46961" w14:paraId="20EDFF57" w14:textId="77777777" w:rsidTr="002F7E18">
        <w:trPr>
          <w:cantSplit/>
          <w:trHeight w:val="288"/>
        </w:trPr>
        <w:tc>
          <w:tcPr>
            <w:tcW w:w="830" w:type="pct"/>
            <w:shd w:val="clear" w:color="auto" w:fill="FFFFFF"/>
            <w:vAlign w:val="center"/>
          </w:tcPr>
          <w:p w14:paraId="6C953B51" w14:textId="1FB4353B" w:rsidR="00535139" w:rsidRPr="007E7856" w:rsidRDefault="00535139" w:rsidP="007E7856">
            <w:pPr>
              <w:spacing w:before="0" w:after="0" w:line="276" w:lineRule="auto"/>
              <w:ind w:right="182"/>
              <w:rPr>
                <w:b/>
                <w:szCs w:val="20"/>
              </w:rPr>
            </w:pPr>
            <w:r w:rsidRPr="007E7856">
              <w:rPr>
                <w:b/>
                <w:szCs w:val="20"/>
              </w:rPr>
              <w:t>NABL</w:t>
            </w:r>
          </w:p>
        </w:tc>
        <w:tc>
          <w:tcPr>
            <w:tcW w:w="4170" w:type="pct"/>
            <w:shd w:val="clear" w:color="auto" w:fill="FFFFFF"/>
            <w:vAlign w:val="center"/>
          </w:tcPr>
          <w:p w14:paraId="341190D5" w14:textId="471F80E2" w:rsidR="00535139" w:rsidRPr="007E7856" w:rsidRDefault="00535139" w:rsidP="007E7856">
            <w:pPr>
              <w:spacing w:before="0" w:after="0" w:line="276" w:lineRule="auto"/>
              <w:ind w:right="182"/>
              <w:rPr>
                <w:szCs w:val="20"/>
              </w:rPr>
            </w:pPr>
            <w:r w:rsidRPr="007E7856">
              <w:rPr>
                <w:szCs w:val="20"/>
              </w:rPr>
              <w:t>National Accreditation Board for Testing and Calibration Laboratories</w:t>
            </w:r>
          </w:p>
        </w:tc>
      </w:tr>
      <w:tr w:rsidR="006600AD" w:rsidRPr="00C46961" w14:paraId="1B3C2700" w14:textId="77777777" w:rsidTr="002F7E18">
        <w:trPr>
          <w:cantSplit/>
          <w:trHeight w:val="288"/>
        </w:trPr>
        <w:tc>
          <w:tcPr>
            <w:tcW w:w="830" w:type="pct"/>
            <w:shd w:val="clear" w:color="auto" w:fill="FFFFFF"/>
            <w:vAlign w:val="center"/>
          </w:tcPr>
          <w:p w14:paraId="5B86F020" w14:textId="77777777" w:rsidR="006600AD" w:rsidRPr="007E7856" w:rsidRDefault="006600AD" w:rsidP="007E7856">
            <w:pPr>
              <w:spacing w:before="0" w:after="0" w:line="276" w:lineRule="auto"/>
              <w:ind w:right="182"/>
              <w:rPr>
                <w:b/>
                <w:szCs w:val="20"/>
              </w:rPr>
            </w:pPr>
            <w:r w:rsidRPr="007E7856">
              <w:rPr>
                <w:b/>
                <w:szCs w:val="20"/>
              </w:rPr>
              <w:t>NBCC</w:t>
            </w:r>
          </w:p>
        </w:tc>
        <w:tc>
          <w:tcPr>
            <w:tcW w:w="4170" w:type="pct"/>
            <w:shd w:val="clear" w:color="auto" w:fill="FFFFFF"/>
            <w:vAlign w:val="center"/>
          </w:tcPr>
          <w:p w14:paraId="62B6D5FD" w14:textId="77777777" w:rsidR="006600AD" w:rsidRPr="007E7856" w:rsidRDefault="006600AD" w:rsidP="007E7856">
            <w:pPr>
              <w:spacing w:before="0" w:after="0" w:line="276" w:lineRule="auto"/>
              <w:ind w:right="182"/>
              <w:rPr>
                <w:szCs w:val="20"/>
              </w:rPr>
            </w:pPr>
            <w:r w:rsidRPr="007E7856">
              <w:rPr>
                <w:szCs w:val="20"/>
              </w:rPr>
              <w:t>National Buildings Construction Corporation</w:t>
            </w:r>
          </w:p>
        </w:tc>
      </w:tr>
      <w:tr w:rsidR="006600AD" w:rsidRPr="00C46961" w14:paraId="3A0973D5" w14:textId="77777777" w:rsidTr="002F7E18">
        <w:trPr>
          <w:cantSplit/>
          <w:trHeight w:val="288"/>
        </w:trPr>
        <w:tc>
          <w:tcPr>
            <w:tcW w:w="830" w:type="pct"/>
            <w:shd w:val="clear" w:color="auto" w:fill="FFFFFF"/>
            <w:vAlign w:val="center"/>
          </w:tcPr>
          <w:p w14:paraId="4E13AC63" w14:textId="77777777" w:rsidR="006600AD" w:rsidRPr="007E7856" w:rsidRDefault="006600AD" w:rsidP="007E7856">
            <w:pPr>
              <w:spacing w:before="0" w:after="0" w:line="276" w:lineRule="auto"/>
              <w:ind w:right="182"/>
              <w:rPr>
                <w:b/>
                <w:szCs w:val="20"/>
              </w:rPr>
            </w:pPr>
            <w:r w:rsidRPr="007E7856">
              <w:rPr>
                <w:b/>
                <w:szCs w:val="20"/>
              </w:rPr>
              <w:t>NCDC</w:t>
            </w:r>
          </w:p>
        </w:tc>
        <w:tc>
          <w:tcPr>
            <w:tcW w:w="4170" w:type="pct"/>
            <w:shd w:val="clear" w:color="auto" w:fill="FFFFFF"/>
            <w:vAlign w:val="center"/>
          </w:tcPr>
          <w:p w14:paraId="63C93BD6" w14:textId="77777777" w:rsidR="006600AD" w:rsidRPr="007E7856" w:rsidRDefault="006600AD" w:rsidP="007E7856">
            <w:pPr>
              <w:spacing w:before="0" w:after="0" w:line="276" w:lineRule="auto"/>
              <w:ind w:right="182"/>
              <w:rPr>
                <w:szCs w:val="20"/>
              </w:rPr>
            </w:pPr>
            <w:r w:rsidRPr="007E7856">
              <w:rPr>
                <w:szCs w:val="20"/>
              </w:rPr>
              <w:t>National Coal Development Corporation</w:t>
            </w:r>
          </w:p>
        </w:tc>
      </w:tr>
      <w:tr w:rsidR="006600AD" w:rsidRPr="00C46961" w14:paraId="4364FCD8" w14:textId="77777777" w:rsidTr="002F7E18">
        <w:trPr>
          <w:cantSplit/>
          <w:trHeight w:val="288"/>
        </w:trPr>
        <w:tc>
          <w:tcPr>
            <w:tcW w:w="830" w:type="pct"/>
            <w:shd w:val="clear" w:color="auto" w:fill="FFFFFF"/>
            <w:vAlign w:val="center"/>
          </w:tcPr>
          <w:p w14:paraId="17AD8C39" w14:textId="77777777" w:rsidR="006600AD" w:rsidRPr="007E7856" w:rsidRDefault="006600AD" w:rsidP="007E7856">
            <w:pPr>
              <w:spacing w:before="0" w:after="0" w:line="276" w:lineRule="auto"/>
              <w:ind w:right="182"/>
              <w:rPr>
                <w:b/>
                <w:szCs w:val="20"/>
              </w:rPr>
            </w:pPr>
            <w:r w:rsidRPr="007E7856">
              <w:rPr>
                <w:b/>
                <w:szCs w:val="20"/>
              </w:rPr>
              <w:t>NCDP</w:t>
            </w:r>
          </w:p>
        </w:tc>
        <w:tc>
          <w:tcPr>
            <w:tcW w:w="4170" w:type="pct"/>
            <w:shd w:val="clear" w:color="auto" w:fill="FFFFFF"/>
            <w:vAlign w:val="center"/>
          </w:tcPr>
          <w:p w14:paraId="77E91203" w14:textId="77777777" w:rsidR="006600AD" w:rsidRPr="007E7856" w:rsidRDefault="006600AD" w:rsidP="007E7856">
            <w:pPr>
              <w:spacing w:before="0" w:after="0" w:line="276" w:lineRule="auto"/>
              <w:ind w:right="182"/>
              <w:rPr>
                <w:szCs w:val="20"/>
              </w:rPr>
            </w:pPr>
            <w:r w:rsidRPr="007E7856">
              <w:rPr>
                <w:szCs w:val="20"/>
              </w:rPr>
              <w:t>New Coal Distribution Policy</w:t>
            </w:r>
          </w:p>
        </w:tc>
      </w:tr>
      <w:tr w:rsidR="006600AD" w:rsidRPr="00C46961" w14:paraId="4D145F56" w14:textId="77777777" w:rsidTr="002F7E18">
        <w:trPr>
          <w:cantSplit/>
          <w:trHeight w:val="288"/>
        </w:trPr>
        <w:tc>
          <w:tcPr>
            <w:tcW w:w="830" w:type="pct"/>
            <w:shd w:val="clear" w:color="auto" w:fill="FFFFFF"/>
            <w:vAlign w:val="center"/>
          </w:tcPr>
          <w:p w14:paraId="6C9CAC1E" w14:textId="77777777" w:rsidR="006600AD" w:rsidRPr="007E7856" w:rsidRDefault="006600AD" w:rsidP="007E7856">
            <w:pPr>
              <w:spacing w:before="0" w:after="0" w:line="276" w:lineRule="auto"/>
              <w:ind w:right="182"/>
              <w:rPr>
                <w:b/>
                <w:szCs w:val="20"/>
              </w:rPr>
            </w:pPr>
            <w:r w:rsidRPr="007E7856">
              <w:rPr>
                <w:b/>
                <w:szCs w:val="20"/>
              </w:rPr>
              <w:t>NMET</w:t>
            </w:r>
          </w:p>
        </w:tc>
        <w:tc>
          <w:tcPr>
            <w:tcW w:w="4170" w:type="pct"/>
            <w:shd w:val="clear" w:color="auto" w:fill="FFFFFF"/>
            <w:vAlign w:val="center"/>
          </w:tcPr>
          <w:p w14:paraId="5183EC7D" w14:textId="77777777" w:rsidR="006600AD" w:rsidRPr="007E7856" w:rsidRDefault="006600AD" w:rsidP="007E7856">
            <w:pPr>
              <w:spacing w:before="0" w:after="0" w:line="276" w:lineRule="auto"/>
              <w:ind w:right="182"/>
              <w:rPr>
                <w:szCs w:val="20"/>
              </w:rPr>
            </w:pPr>
            <w:r w:rsidRPr="007E7856">
              <w:rPr>
                <w:szCs w:val="20"/>
              </w:rPr>
              <w:t>National Mineral Exploration Trust</w:t>
            </w:r>
          </w:p>
        </w:tc>
      </w:tr>
      <w:tr w:rsidR="006600AD" w:rsidRPr="00C46961" w14:paraId="6DD566D1" w14:textId="77777777" w:rsidTr="002F7E18">
        <w:trPr>
          <w:cantSplit/>
          <w:trHeight w:val="288"/>
        </w:trPr>
        <w:tc>
          <w:tcPr>
            <w:tcW w:w="830" w:type="pct"/>
            <w:shd w:val="clear" w:color="auto" w:fill="FFFFFF"/>
            <w:vAlign w:val="center"/>
          </w:tcPr>
          <w:p w14:paraId="59AE039A" w14:textId="0B2F34DF" w:rsidR="006600AD" w:rsidRPr="007E7856" w:rsidRDefault="006600AD" w:rsidP="007E7856">
            <w:pPr>
              <w:spacing w:before="0" w:after="0" w:line="276" w:lineRule="auto"/>
              <w:ind w:right="182"/>
              <w:rPr>
                <w:b/>
                <w:szCs w:val="20"/>
              </w:rPr>
            </w:pPr>
            <w:r w:rsidRPr="007E7856">
              <w:rPr>
                <w:b/>
                <w:szCs w:val="20"/>
              </w:rPr>
              <w:t>OCBIS</w:t>
            </w:r>
          </w:p>
        </w:tc>
        <w:tc>
          <w:tcPr>
            <w:tcW w:w="4170" w:type="pct"/>
            <w:shd w:val="clear" w:color="auto" w:fill="FFFFFF"/>
            <w:vAlign w:val="center"/>
          </w:tcPr>
          <w:p w14:paraId="03CD1619" w14:textId="6D3CB8FD" w:rsidR="006600AD" w:rsidRPr="007E7856" w:rsidRDefault="006600AD" w:rsidP="007E7856">
            <w:pPr>
              <w:spacing w:before="0" w:after="0" w:line="276" w:lineRule="auto"/>
              <w:ind w:right="182"/>
              <w:rPr>
                <w:szCs w:val="20"/>
              </w:rPr>
            </w:pPr>
            <w:r w:rsidRPr="007E7856">
              <w:rPr>
                <w:szCs w:val="20"/>
              </w:rPr>
              <w:t>Online Coal  Block Information System</w:t>
            </w:r>
          </w:p>
        </w:tc>
      </w:tr>
      <w:tr w:rsidR="006600AD" w:rsidRPr="00C46961" w14:paraId="7AE362C2" w14:textId="77777777" w:rsidTr="002F7E18">
        <w:trPr>
          <w:cantSplit/>
          <w:trHeight w:val="288"/>
        </w:trPr>
        <w:tc>
          <w:tcPr>
            <w:tcW w:w="830" w:type="pct"/>
            <w:shd w:val="clear" w:color="auto" w:fill="FFFFFF"/>
            <w:vAlign w:val="center"/>
          </w:tcPr>
          <w:p w14:paraId="595ABA4D" w14:textId="77777777" w:rsidR="006600AD" w:rsidRPr="007E7856" w:rsidRDefault="006600AD" w:rsidP="007E7856">
            <w:pPr>
              <w:spacing w:before="0" w:after="0" w:line="276" w:lineRule="auto"/>
              <w:ind w:right="182"/>
              <w:rPr>
                <w:b/>
                <w:szCs w:val="20"/>
              </w:rPr>
            </w:pPr>
            <w:r w:rsidRPr="007E7856">
              <w:rPr>
                <w:b/>
                <w:szCs w:val="20"/>
              </w:rPr>
              <w:t>Opex</w:t>
            </w:r>
          </w:p>
        </w:tc>
        <w:tc>
          <w:tcPr>
            <w:tcW w:w="4170" w:type="pct"/>
            <w:shd w:val="clear" w:color="auto" w:fill="FFFFFF"/>
            <w:vAlign w:val="center"/>
          </w:tcPr>
          <w:p w14:paraId="08A9F331" w14:textId="77777777" w:rsidR="006600AD" w:rsidRPr="007E7856" w:rsidRDefault="006600AD" w:rsidP="007E7856">
            <w:pPr>
              <w:spacing w:before="0" w:after="0" w:line="276" w:lineRule="auto"/>
              <w:ind w:right="182"/>
              <w:rPr>
                <w:szCs w:val="20"/>
              </w:rPr>
            </w:pPr>
            <w:r w:rsidRPr="007E7856">
              <w:rPr>
                <w:szCs w:val="20"/>
              </w:rPr>
              <w:t>Operational expenditure</w:t>
            </w:r>
          </w:p>
        </w:tc>
      </w:tr>
      <w:tr w:rsidR="006600AD" w:rsidRPr="00C46961" w14:paraId="39A8FCE8" w14:textId="77777777" w:rsidTr="002F7E18">
        <w:trPr>
          <w:cantSplit/>
          <w:trHeight w:val="288"/>
        </w:trPr>
        <w:tc>
          <w:tcPr>
            <w:tcW w:w="830" w:type="pct"/>
            <w:shd w:val="clear" w:color="auto" w:fill="FFFFFF"/>
            <w:vAlign w:val="center"/>
          </w:tcPr>
          <w:p w14:paraId="0D2B0303" w14:textId="77777777" w:rsidR="006600AD" w:rsidRPr="007E7856" w:rsidRDefault="006600AD" w:rsidP="007E7856">
            <w:pPr>
              <w:spacing w:before="0" w:after="0" w:line="276" w:lineRule="auto"/>
              <w:ind w:right="182"/>
              <w:rPr>
                <w:b/>
                <w:szCs w:val="20"/>
              </w:rPr>
            </w:pPr>
            <w:r w:rsidRPr="007E7856">
              <w:rPr>
                <w:b/>
                <w:szCs w:val="20"/>
              </w:rPr>
              <w:t>PAT</w:t>
            </w:r>
          </w:p>
        </w:tc>
        <w:tc>
          <w:tcPr>
            <w:tcW w:w="4170" w:type="pct"/>
            <w:shd w:val="clear" w:color="auto" w:fill="FFFFFF"/>
            <w:vAlign w:val="center"/>
          </w:tcPr>
          <w:p w14:paraId="461F4BBA" w14:textId="77777777" w:rsidR="006600AD" w:rsidRPr="007E7856" w:rsidRDefault="006600AD" w:rsidP="007E7856">
            <w:pPr>
              <w:spacing w:before="0" w:after="0" w:line="276" w:lineRule="auto"/>
              <w:ind w:right="182"/>
              <w:rPr>
                <w:szCs w:val="20"/>
              </w:rPr>
            </w:pPr>
            <w:r w:rsidRPr="007E7856">
              <w:rPr>
                <w:szCs w:val="20"/>
              </w:rPr>
              <w:t>Profit after tax</w:t>
            </w:r>
          </w:p>
        </w:tc>
      </w:tr>
      <w:tr w:rsidR="006600AD" w:rsidRPr="00C46961" w14:paraId="236F775B" w14:textId="77777777" w:rsidTr="002F7E18">
        <w:trPr>
          <w:cantSplit/>
          <w:trHeight w:val="288"/>
        </w:trPr>
        <w:tc>
          <w:tcPr>
            <w:tcW w:w="830" w:type="pct"/>
            <w:shd w:val="clear" w:color="auto" w:fill="FFFFFF"/>
            <w:vAlign w:val="center"/>
          </w:tcPr>
          <w:p w14:paraId="08FD2CB3" w14:textId="77777777" w:rsidR="006600AD" w:rsidRPr="007E7856" w:rsidRDefault="006600AD" w:rsidP="007E7856">
            <w:pPr>
              <w:spacing w:before="0" w:after="0" w:line="276" w:lineRule="auto"/>
              <w:ind w:right="182"/>
              <w:rPr>
                <w:b/>
                <w:szCs w:val="20"/>
              </w:rPr>
            </w:pPr>
            <w:r w:rsidRPr="007E7856">
              <w:rPr>
                <w:b/>
                <w:szCs w:val="20"/>
              </w:rPr>
              <w:t>PRC</w:t>
            </w:r>
          </w:p>
        </w:tc>
        <w:tc>
          <w:tcPr>
            <w:tcW w:w="4170" w:type="pct"/>
            <w:shd w:val="clear" w:color="auto" w:fill="FFFFFF"/>
            <w:vAlign w:val="center"/>
          </w:tcPr>
          <w:p w14:paraId="73A887D2" w14:textId="77777777" w:rsidR="006600AD" w:rsidRPr="007E7856" w:rsidRDefault="006600AD" w:rsidP="007E7856">
            <w:pPr>
              <w:spacing w:before="0" w:after="0" w:line="276" w:lineRule="auto"/>
              <w:ind w:right="182"/>
              <w:rPr>
                <w:szCs w:val="20"/>
              </w:rPr>
            </w:pPr>
            <w:r w:rsidRPr="007E7856">
              <w:rPr>
                <w:szCs w:val="20"/>
              </w:rPr>
              <w:t>Peak rated capacity</w:t>
            </w:r>
          </w:p>
        </w:tc>
      </w:tr>
      <w:tr w:rsidR="006600AD" w:rsidRPr="00C46961" w14:paraId="46EAE61A" w14:textId="77777777" w:rsidTr="002F7E18">
        <w:trPr>
          <w:cantSplit/>
          <w:trHeight w:val="288"/>
        </w:trPr>
        <w:tc>
          <w:tcPr>
            <w:tcW w:w="830" w:type="pct"/>
            <w:shd w:val="clear" w:color="auto" w:fill="FFFFFF"/>
            <w:vAlign w:val="center"/>
          </w:tcPr>
          <w:p w14:paraId="06429F7A" w14:textId="77777777" w:rsidR="006600AD" w:rsidRPr="007E7856" w:rsidRDefault="006600AD" w:rsidP="007E7856">
            <w:pPr>
              <w:spacing w:before="0" w:after="0" w:line="276" w:lineRule="auto"/>
              <w:ind w:right="182"/>
              <w:rPr>
                <w:b/>
                <w:szCs w:val="20"/>
              </w:rPr>
            </w:pPr>
            <w:r w:rsidRPr="007E7856">
              <w:rPr>
                <w:b/>
                <w:szCs w:val="20"/>
              </w:rPr>
              <w:t>PSU</w:t>
            </w:r>
          </w:p>
        </w:tc>
        <w:tc>
          <w:tcPr>
            <w:tcW w:w="4170" w:type="pct"/>
            <w:shd w:val="clear" w:color="auto" w:fill="FFFFFF"/>
            <w:vAlign w:val="center"/>
          </w:tcPr>
          <w:p w14:paraId="44ECAE63" w14:textId="77777777" w:rsidR="006600AD" w:rsidRPr="007E7856" w:rsidRDefault="006600AD" w:rsidP="007E7856">
            <w:pPr>
              <w:spacing w:before="0" w:after="0" w:line="276" w:lineRule="auto"/>
              <w:ind w:right="182"/>
              <w:rPr>
                <w:szCs w:val="20"/>
              </w:rPr>
            </w:pPr>
            <w:r w:rsidRPr="007E7856">
              <w:rPr>
                <w:szCs w:val="20"/>
              </w:rPr>
              <w:t>Public sector unit</w:t>
            </w:r>
          </w:p>
        </w:tc>
      </w:tr>
      <w:tr w:rsidR="006600AD" w:rsidRPr="00C46961" w14:paraId="5A47E96F" w14:textId="77777777" w:rsidTr="002F7E18">
        <w:trPr>
          <w:cantSplit/>
          <w:trHeight w:val="288"/>
        </w:trPr>
        <w:tc>
          <w:tcPr>
            <w:tcW w:w="830" w:type="pct"/>
            <w:shd w:val="clear" w:color="auto" w:fill="FFFFFF"/>
            <w:vAlign w:val="center"/>
          </w:tcPr>
          <w:p w14:paraId="3C8A60FE" w14:textId="77777777" w:rsidR="006600AD" w:rsidRPr="007E7856" w:rsidRDefault="006600AD" w:rsidP="007E7856">
            <w:pPr>
              <w:spacing w:before="0" w:after="0" w:line="276" w:lineRule="auto"/>
              <w:ind w:right="182"/>
              <w:rPr>
                <w:b/>
                <w:szCs w:val="20"/>
              </w:rPr>
            </w:pPr>
            <w:r w:rsidRPr="007E7856">
              <w:rPr>
                <w:b/>
                <w:szCs w:val="20"/>
              </w:rPr>
              <w:t>PWD</w:t>
            </w:r>
          </w:p>
        </w:tc>
        <w:tc>
          <w:tcPr>
            <w:tcW w:w="4170" w:type="pct"/>
            <w:shd w:val="clear" w:color="auto" w:fill="FFFFFF"/>
            <w:vAlign w:val="center"/>
          </w:tcPr>
          <w:p w14:paraId="23B7B92E" w14:textId="77777777" w:rsidR="006600AD" w:rsidRPr="007E7856" w:rsidRDefault="006600AD" w:rsidP="007E7856">
            <w:pPr>
              <w:spacing w:before="0" w:after="0" w:line="276" w:lineRule="auto"/>
              <w:ind w:right="182"/>
              <w:rPr>
                <w:szCs w:val="20"/>
              </w:rPr>
            </w:pPr>
            <w:r w:rsidRPr="007E7856">
              <w:rPr>
                <w:szCs w:val="20"/>
              </w:rPr>
              <w:t>Public Works Department</w:t>
            </w:r>
          </w:p>
        </w:tc>
      </w:tr>
      <w:tr w:rsidR="00E17F1F" w:rsidRPr="00C46961" w14:paraId="196C621F" w14:textId="77777777" w:rsidTr="002F7E18">
        <w:trPr>
          <w:cantSplit/>
          <w:trHeight w:val="288"/>
        </w:trPr>
        <w:tc>
          <w:tcPr>
            <w:tcW w:w="830" w:type="pct"/>
            <w:shd w:val="clear" w:color="auto" w:fill="FFFFFF"/>
            <w:vAlign w:val="center"/>
          </w:tcPr>
          <w:p w14:paraId="67EAA288" w14:textId="4DC5B0FE" w:rsidR="00E17F1F" w:rsidRPr="007E7856" w:rsidRDefault="00E17F1F" w:rsidP="007E7856">
            <w:pPr>
              <w:spacing w:before="0" w:after="0" w:line="276" w:lineRule="auto"/>
              <w:ind w:right="182"/>
              <w:rPr>
                <w:b/>
                <w:szCs w:val="20"/>
              </w:rPr>
            </w:pPr>
            <w:r w:rsidRPr="007E7856">
              <w:rPr>
                <w:b/>
                <w:szCs w:val="20"/>
              </w:rPr>
              <w:t>R&amp;D</w:t>
            </w:r>
          </w:p>
        </w:tc>
        <w:tc>
          <w:tcPr>
            <w:tcW w:w="4170" w:type="pct"/>
            <w:shd w:val="clear" w:color="auto" w:fill="FFFFFF"/>
            <w:vAlign w:val="center"/>
          </w:tcPr>
          <w:p w14:paraId="2F6A3B29" w14:textId="3A177A57" w:rsidR="00E17F1F" w:rsidRPr="007E7856" w:rsidRDefault="00E17F1F" w:rsidP="007E7856">
            <w:pPr>
              <w:spacing w:before="0" w:after="0" w:line="276" w:lineRule="auto"/>
              <w:ind w:right="182"/>
              <w:rPr>
                <w:szCs w:val="20"/>
              </w:rPr>
            </w:pPr>
            <w:r w:rsidRPr="007E7856">
              <w:rPr>
                <w:szCs w:val="20"/>
              </w:rPr>
              <w:t>Research and Development</w:t>
            </w:r>
          </w:p>
        </w:tc>
      </w:tr>
      <w:tr w:rsidR="006600AD" w:rsidRPr="00C46961" w14:paraId="6BD3D9FA" w14:textId="77777777" w:rsidTr="002F7E18">
        <w:trPr>
          <w:cantSplit/>
          <w:trHeight w:val="288"/>
        </w:trPr>
        <w:tc>
          <w:tcPr>
            <w:tcW w:w="830" w:type="pct"/>
            <w:shd w:val="clear" w:color="auto" w:fill="FFFFFF"/>
            <w:vAlign w:val="center"/>
          </w:tcPr>
          <w:p w14:paraId="13D32B5B" w14:textId="77777777" w:rsidR="006600AD" w:rsidRPr="007E7856" w:rsidRDefault="006600AD" w:rsidP="007E7856">
            <w:pPr>
              <w:spacing w:before="0" w:after="0" w:line="276" w:lineRule="auto"/>
              <w:ind w:right="182"/>
              <w:rPr>
                <w:b/>
                <w:szCs w:val="20"/>
              </w:rPr>
            </w:pPr>
            <w:r w:rsidRPr="007E7856">
              <w:rPr>
                <w:b/>
                <w:szCs w:val="20"/>
              </w:rPr>
              <w:t>R&amp;R</w:t>
            </w:r>
          </w:p>
        </w:tc>
        <w:tc>
          <w:tcPr>
            <w:tcW w:w="4170" w:type="pct"/>
            <w:shd w:val="clear" w:color="auto" w:fill="FFFFFF"/>
            <w:vAlign w:val="center"/>
          </w:tcPr>
          <w:p w14:paraId="27330858" w14:textId="77777777" w:rsidR="006600AD" w:rsidRPr="007E7856" w:rsidRDefault="006600AD" w:rsidP="007E7856">
            <w:pPr>
              <w:spacing w:before="0" w:after="0" w:line="276" w:lineRule="auto"/>
              <w:ind w:right="182"/>
              <w:rPr>
                <w:szCs w:val="20"/>
              </w:rPr>
            </w:pPr>
            <w:r w:rsidRPr="007E7856">
              <w:rPr>
                <w:szCs w:val="20"/>
              </w:rPr>
              <w:t>Rehabilitation and resettlement</w:t>
            </w:r>
          </w:p>
        </w:tc>
      </w:tr>
      <w:tr w:rsidR="00CA626C" w:rsidRPr="00C46961" w14:paraId="3B84D484" w14:textId="77777777" w:rsidTr="002F7E18">
        <w:trPr>
          <w:cantSplit/>
          <w:trHeight w:val="288"/>
        </w:trPr>
        <w:tc>
          <w:tcPr>
            <w:tcW w:w="830" w:type="pct"/>
            <w:shd w:val="clear" w:color="auto" w:fill="FFFFFF"/>
            <w:vAlign w:val="center"/>
          </w:tcPr>
          <w:p w14:paraId="7C5BD9E0" w14:textId="384AFFF1" w:rsidR="00CA626C" w:rsidRPr="007E7856" w:rsidRDefault="00CA626C" w:rsidP="007E7856">
            <w:pPr>
              <w:spacing w:before="0" w:after="0" w:line="276" w:lineRule="auto"/>
              <w:ind w:right="182"/>
              <w:rPr>
                <w:b/>
                <w:szCs w:val="20"/>
              </w:rPr>
            </w:pPr>
            <w:r w:rsidRPr="007E7856">
              <w:rPr>
                <w:b/>
                <w:szCs w:val="20"/>
              </w:rPr>
              <w:t>REE</w:t>
            </w:r>
          </w:p>
        </w:tc>
        <w:tc>
          <w:tcPr>
            <w:tcW w:w="4170" w:type="pct"/>
            <w:shd w:val="clear" w:color="auto" w:fill="FFFFFF"/>
            <w:vAlign w:val="center"/>
          </w:tcPr>
          <w:p w14:paraId="6AC25006" w14:textId="72D28D49" w:rsidR="00CA626C" w:rsidRPr="007E7856" w:rsidRDefault="00CA626C" w:rsidP="007E7856">
            <w:pPr>
              <w:spacing w:before="0" w:after="0" w:line="276" w:lineRule="auto"/>
              <w:ind w:right="182"/>
              <w:rPr>
                <w:szCs w:val="20"/>
              </w:rPr>
            </w:pPr>
            <w:r w:rsidRPr="007E7856">
              <w:rPr>
                <w:szCs w:val="20"/>
              </w:rPr>
              <w:t>Rare Earth Elements</w:t>
            </w:r>
          </w:p>
        </w:tc>
      </w:tr>
      <w:tr w:rsidR="00772711" w:rsidRPr="00C46961" w14:paraId="66BB90BB" w14:textId="77777777" w:rsidTr="002F7E18">
        <w:trPr>
          <w:cantSplit/>
          <w:trHeight w:val="288"/>
        </w:trPr>
        <w:tc>
          <w:tcPr>
            <w:tcW w:w="830" w:type="pct"/>
            <w:shd w:val="clear" w:color="auto" w:fill="FFFFFF"/>
            <w:vAlign w:val="center"/>
          </w:tcPr>
          <w:p w14:paraId="6FC4A9C9" w14:textId="70F0CAAF" w:rsidR="00772711" w:rsidRPr="007E7856" w:rsidRDefault="00575B69" w:rsidP="007E7856">
            <w:pPr>
              <w:spacing w:before="0" w:after="0" w:line="276" w:lineRule="auto"/>
              <w:ind w:right="182"/>
              <w:rPr>
                <w:b/>
                <w:szCs w:val="20"/>
              </w:rPr>
            </w:pPr>
            <w:r w:rsidRPr="007E7856">
              <w:rPr>
                <w:b/>
                <w:szCs w:val="20"/>
              </w:rPr>
              <w:t>RERA</w:t>
            </w:r>
          </w:p>
        </w:tc>
        <w:tc>
          <w:tcPr>
            <w:tcW w:w="4170" w:type="pct"/>
            <w:shd w:val="clear" w:color="auto" w:fill="FFFFFF"/>
            <w:vAlign w:val="center"/>
          </w:tcPr>
          <w:p w14:paraId="66B27190" w14:textId="03DF22DB" w:rsidR="00772711" w:rsidRPr="007E7856" w:rsidRDefault="00772711" w:rsidP="007E7856">
            <w:pPr>
              <w:spacing w:before="0" w:after="0" w:line="276" w:lineRule="auto"/>
              <w:ind w:right="182"/>
              <w:rPr>
                <w:szCs w:val="20"/>
              </w:rPr>
            </w:pPr>
            <w:r w:rsidRPr="007E7856">
              <w:rPr>
                <w:szCs w:val="20"/>
              </w:rPr>
              <w:t>The Real Estate (Regulation and Development) Act</w:t>
            </w:r>
          </w:p>
        </w:tc>
      </w:tr>
      <w:tr w:rsidR="006600AD" w:rsidRPr="00C46961" w14:paraId="0EBB8CA0" w14:textId="77777777" w:rsidTr="002F7E18">
        <w:trPr>
          <w:cantSplit/>
          <w:trHeight w:val="288"/>
        </w:trPr>
        <w:tc>
          <w:tcPr>
            <w:tcW w:w="830" w:type="pct"/>
            <w:shd w:val="clear" w:color="auto" w:fill="FFFFFF"/>
            <w:vAlign w:val="center"/>
          </w:tcPr>
          <w:p w14:paraId="5FD82122" w14:textId="77777777" w:rsidR="006600AD" w:rsidRPr="007E7856" w:rsidRDefault="006600AD" w:rsidP="007E7856">
            <w:pPr>
              <w:spacing w:before="0" w:after="0" w:line="276" w:lineRule="auto"/>
              <w:ind w:right="182"/>
              <w:rPr>
                <w:b/>
                <w:szCs w:val="20"/>
              </w:rPr>
            </w:pPr>
            <w:r w:rsidRPr="007E7856">
              <w:rPr>
                <w:b/>
                <w:szCs w:val="20"/>
              </w:rPr>
              <w:t>ROM</w:t>
            </w:r>
          </w:p>
        </w:tc>
        <w:tc>
          <w:tcPr>
            <w:tcW w:w="4170" w:type="pct"/>
            <w:shd w:val="clear" w:color="auto" w:fill="FFFFFF"/>
            <w:vAlign w:val="center"/>
          </w:tcPr>
          <w:p w14:paraId="017C0AEB" w14:textId="77777777" w:rsidR="006600AD" w:rsidRPr="007E7856" w:rsidRDefault="006600AD" w:rsidP="007E7856">
            <w:pPr>
              <w:spacing w:before="0" w:after="0" w:line="276" w:lineRule="auto"/>
              <w:ind w:right="182"/>
              <w:rPr>
                <w:szCs w:val="20"/>
              </w:rPr>
            </w:pPr>
            <w:r w:rsidRPr="007E7856">
              <w:rPr>
                <w:szCs w:val="20"/>
              </w:rPr>
              <w:t>Run-of-mine</w:t>
            </w:r>
          </w:p>
        </w:tc>
      </w:tr>
      <w:tr w:rsidR="006600AD" w:rsidRPr="00C46961" w14:paraId="608FCF57" w14:textId="77777777" w:rsidTr="002F7E18">
        <w:trPr>
          <w:cantSplit/>
          <w:trHeight w:val="288"/>
        </w:trPr>
        <w:tc>
          <w:tcPr>
            <w:tcW w:w="830" w:type="pct"/>
            <w:shd w:val="clear" w:color="auto" w:fill="FFFFFF"/>
            <w:vAlign w:val="center"/>
          </w:tcPr>
          <w:p w14:paraId="4C0E92E5" w14:textId="77777777" w:rsidR="006600AD" w:rsidRPr="007E7856" w:rsidRDefault="006600AD" w:rsidP="007E7856">
            <w:pPr>
              <w:spacing w:before="0" w:after="0" w:line="276" w:lineRule="auto"/>
              <w:ind w:right="182"/>
              <w:rPr>
                <w:b/>
                <w:szCs w:val="20"/>
              </w:rPr>
            </w:pPr>
            <w:r w:rsidRPr="007E7856">
              <w:rPr>
                <w:b/>
                <w:szCs w:val="20"/>
              </w:rPr>
              <w:t>SCCL</w:t>
            </w:r>
          </w:p>
        </w:tc>
        <w:tc>
          <w:tcPr>
            <w:tcW w:w="4170" w:type="pct"/>
            <w:shd w:val="clear" w:color="auto" w:fill="FFFFFF"/>
            <w:vAlign w:val="center"/>
          </w:tcPr>
          <w:p w14:paraId="66262615" w14:textId="77777777" w:rsidR="006600AD" w:rsidRPr="007E7856" w:rsidRDefault="006600AD" w:rsidP="007E7856">
            <w:pPr>
              <w:spacing w:before="0" w:after="0" w:line="276" w:lineRule="auto"/>
              <w:ind w:right="182"/>
              <w:rPr>
                <w:szCs w:val="20"/>
              </w:rPr>
            </w:pPr>
            <w:r w:rsidRPr="007E7856">
              <w:rPr>
                <w:szCs w:val="20"/>
              </w:rPr>
              <w:t>Singareni Collieries Company Limited</w:t>
            </w:r>
          </w:p>
        </w:tc>
      </w:tr>
      <w:tr w:rsidR="00F11D6E" w:rsidRPr="00C46961" w14:paraId="5DAB4700" w14:textId="77777777" w:rsidTr="002F7E18">
        <w:trPr>
          <w:cantSplit/>
          <w:trHeight w:val="288"/>
        </w:trPr>
        <w:tc>
          <w:tcPr>
            <w:tcW w:w="830" w:type="pct"/>
            <w:shd w:val="clear" w:color="auto" w:fill="FFFFFF"/>
            <w:vAlign w:val="center"/>
          </w:tcPr>
          <w:p w14:paraId="09E0E1AD" w14:textId="06508024" w:rsidR="00F11D6E" w:rsidRPr="007E7856" w:rsidRDefault="00F11D6E" w:rsidP="007E7856">
            <w:pPr>
              <w:spacing w:before="0" w:after="0" w:line="276" w:lineRule="auto"/>
              <w:ind w:right="182"/>
              <w:rPr>
                <w:b/>
                <w:szCs w:val="20"/>
              </w:rPr>
            </w:pPr>
            <w:r w:rsidRPr="007E7856">
              <w:rPr>
                <w:b/>
                <w:szCs w:val="20"/>
              </w:rPr>
              <w:t>SEZ</w:t>
            </w:r>
          </w:p>
        </w:tc>
        <w:tc>
          <w:tcPr>
            <w:tcW w:w="4170" w:type="pct"/>
            <w:shd w:val="clear" w:color="auto" w:fill="FFFFFF"/>
            <w:vAlign w:val="center"/>
          </w:tcPr>
          <w:p w14:paraId="133E7215" w14:textId="04353639" w:rsidR="00F11D6E" w:rsidRPr="007E7856" w:rsidRDefault="00F11D6E" w:rsidP="007E7856">
            <w:pPr>
              <w:spacing w:before="0" w:after="0" w:line="276" w:lineRule="auto"/>
              <w:ind w:right="182"/>
              <w:rPr>
                <w:szCs w:val="20"/>
              </w:rPr>
            </w:pPr>
            <w:r w:rsidRPr="007E7856">
              <w:rPr>
                <w:szCs w:val="20"/>
              </w:rPr>
              <w:t>Special Economic Zone</w:t>
            </w:r>
          </w:p>
        </w:tc>
      </w:tr>
      <w:tr w:rsidR="006600AD" w:rsidRPr="00C46961" w14:paraId="552E5CD3" w14:textId="77777777" w:rsidTr="002F7E18">
        <w:trPr>
          <w:cantSplit/>
          <w:trHeight w:val="288"/>
        </w:trPr>
        <w:tc>
          <w:tcPr>
            <w:tcW w:w="830" w:type="pct"/>
            <w:shd w:val="clear" w:color="auto" w:fill="FFFFFF"/>
            <w:vAlign w:val="center"/>
          </w:tcPr>
          <w:p w14:paraId="221B5DE5" w14:textId="77777777" w:rsidR="006600AD" w:rsidRPr="007E7856" w:rsidRDefault="006600AD" w:rsidP="007E7856">
            <w:pPr>
              <w:spacing w:before="0" w:after="0" w:line="276" w:lineRule="auto"/>
              <w:ind w:right="182"/>
              <w:rPr>
                <w:b/>
                <w:szCs w:val="20"/>
              </w:rPr>
            </w:pPr>
            <w:r w:rsidRPr="007E7856">
              <w:rPr>
                <w:b/>
                <w:szCs w:val="20"/>
              </w:rPr>
              <w:t>SPV</w:t>
            </w:r>
          </w:p>
        </w:tc>
        <w:tc>
          <w:tcPr>
            <w:tcW w:w="4170" w:type="pct"/>
            <w:shd w:val="clear" w:color="auto" w:fill="FFFFFF"/>
            <w:vAlign w:val="center"/>
          </w:tcPr>
          <w:p w14:paraId="0EEDD5C3" w14:textId="77777777" w:rsidR="006600AD" w:rsidRPr="007E7856" w:rsidRDefault="006600AD" w:rsidP="007E7856">
            <w:pPr>
              <w:spacing w:before="0" w:after="0" w:line="276" w:lineRule="auto"/>
              <w:ind w:right="182"/>
              <w:rPr>
                <w:szCs w:val="20"/>
              </w:rPr>
            </w:pPr>
            <w:r w:rsidRPr="007E7856">
              <w:rPr>
                <w:szCs w:val="20"/>
              </w:rPr>
              <w:t>Special purpose vehicle</w:t>
            </w:r>
          </w:p>
        </w:tc>
      </w:tr>
      <w:tr w:rsidR="006600AD" w:rsidRPr="00C46961" w14:paraId="5CF3E027" w14:textId="77777777" w:rsidTr="002F7E18">
        <w:trPr>
          <w:cantSplit/>
          <w:trHeight w:val="288"/>
        </w:trPr>
        <w:tc>
          <w:tcPr>
            <w:tcW w:w="830" w:type="pct"/>
            <w:shd w:val="clear" w:color="auto" w:fill="FFFFFF"/>
            <w:vAlign w:val="center"/>
          </w:tcPr>
          <w:p w14:paraId="6EABF353" w14:textId="77777777" w:rsidR="006600AD" w:rsidRPr="007E7856" w:rsidRDefault="006600AD" w:rsidP="007E7856">
            <w:pPr>
              <w:spacing w:before="0" w:after="0" w:line="276" w:lineRule="auto"/>
              <w:ind w:right="182"/>
              <w:rPr>
                <w:b/>
                <w:szCs w:val="20"/>
              </w:rPr>
            </w:pPr>
            <w:r w:rsidRPr="007E7856">
              <w:rPr>
                <w:b/>
                <w:szCs w:val="20"/>
              </w:rPr>
              <w:t>STPP</w:t>
            </w:r>
          </w:p>
        </w:tc>
        <w:tc>
          <w:tcPr>
            <w:tcW w:w="4170" w:type="pct"/>
            <w:shd w:val="clear" w:color="auto" w:fill="FFFFFF"/>
            <w:vAlign w:val="center"/>
          </w:tcPr>
          <w:p w14:paraId="55A2ADD6" w14:textId="77777777" w:rsidR="006600AD" w:rsidRPr="007E7856" w:rsidRDefault="006600AD" w:rsidP="007E7856">
            <w:pPr>
              <w:spacing w:before="0" w:after="0" w:line="276" w:lineRule="auto"/>
              <w:ind w:right="182"/>
              <w:rPr>
                <w:szCs w:val="20"/>
              </w:rPr>
            </w:pPr>
            <w:r w:rsidRPr="007E7856">
              <w:rPr>
                <w:szCs w:val="20"/>
              </w:rPr>
              <w:t>Super thermal power plant</w:t>
            </w:r>
          </w:p>
        </w:tc>
      </w:tr>
      <w:tr w:rsidR="006600AD" w:rsidRPr="00C46961" w14:paraId="5DD9C2AD" w14:textId="77777777" w:rsidTr="002F7E18">
        <w:trPr>
          <w:cantSplit/>
          <w:trHeight w:val="288"/>
        </w:trPr>
        <w:tc>
          <w:tcPr>
            <w:tcW w:w="830" w:type="pct"/>
            <w:shd w:val="clear" w:color="auto" w:fill="FFFFFF"/>
            <w:vAlign w:val="center"/>
          </w:tcPr>
          <w:p w14:paraId="41A79C26" w14:textId="77777777" w:rsidR="006600AD" w:rsidRPr="007E7856" w:rsidRDefault="006600AD" w:rsidP="007E7856">
            <w:pPr>
              <w:spacing w:before="0" w:after="0" w:line="276" w:lineRule="auto"/>
              <w:ind w:right="182"/>
              <w:rPr>
                <w:b/>
                <w:szCs w:val="20"/>
              </w:rPr>
            </w:pPr>
            <w:r w:rsidRPr="007E7856">
              <w:rPr>
                <w:b/>
                <w:szCs w:val="20"/>
              </w:rPr>
              <w:t>UCG</w:t>
            </w:r>
          </w:p>
        </w:tc>
        <w:tc>
          <w:tcPr>
            <w:tcW w:w="4170" w:type="pct"/>
            <w:shd w:val="clear" w:color="auto" w:fill="FFFFFF"/>
            <w:vAlign w:val="center"/>
          </w:tcPr>
          <w:p w14:paraId="561E2762" w14:textId="77777777" w:rsidR="006600AD" w:rsidRPr="007E7856" w:rsidRDefault="006600AD" w:rsidP="007E7856">
            <w:pPr>
              <w:spacing w:before="0" w:after="0" w:line="276" w:lineRule="auto"/>
              <w:ind w:right="182"/>
              <w:rPr>
                <w:szCs w:val="20"/>
              </w:rPr>
            </w:pPr>
            <w:r w:rsidRPr="007E7856">
              <w:rPr>
                <w:szCs w:val="20"/>
              </w:rPr>
              <w:t>Underground coal gasification</w:t>
            </w:r>
          </w:p>
        </w:tc>
      </w:tr>
      <w:tr w:rsidR="006600AD" w:rsidRPr="00C46961" w14:paraId="382C9055" w14:textId="77777777" w:rsidTr="002F7E18">
        <w:trPr>
          <w:cantSplit/>
          <w:trHeight w:val="288"/>
        </w:trPr>
        <w:tc>
          <w:tcPr>
            <w:tcW w:w="830" w:type="pct"/>
            <w:shd w:val="clear" w:color="auto" w:fill="FFFFFF"/>
            <w:vAlign w:val="center"/>
          </w:tcPr>
          <w:p w14:paraId="060E4C28" w14:textId="77777777" w:rsidR="006600AD" w:rsidRPr="007E7856" w:rsidRDefault="006600AD" w:rsidP="007E7856">
            <w:pPr>
              <w:spacing w:before="0" w:after="0" w:line="276" w:lineRule="auto"/>
              <w:ind w:right="182"/>
              <w:rPr>
                <w:b/>
                <w:szCs w:val="20"/>
              </w:rPr>
            </w:pPr>
            <w:r w:rsidRPr="007E7856">
              <w:rPr>
                <w:b/>
                <w:szCs w:val="20"/>
              </w:rPr>
              <w:t>UG</w:t>
            </w:r>
          </w:p>
        </w:tc>
        <w:tc>
          <w:tcPr>
            <w:tcW w:w="4170" w:type="pct"/>
            <w:shd w:val="clear" w:color="auto" w:fill="FFFFFF"/>
            <w:vAlign w:val="center"/>
          </w:tcPr>
          <w:p w14:paraId="6D8C3DD2" w14:textId="77777777" w:rsidR="006600AD" w:rsidRPr="007E7856" w:rsidRDefault="006600AD" w:rsidP="007E7856">
            <w:pPr>
              <w:spacing w:before="0" w:after="0" w:line="276" w:lineRule="auto"/>
              <w:ind w:right="182"/>
              <w:rPr>
                <w:szCs w:val="20"/>
              </w:rPr>
            </w:pPr>
            <w:r w:rsidRPr="007E7856">
              <w:rPr>
                <w:szCs w:val="20"/>
              </w:rPr>
              <w:t>Underground mine</w:t>
            </w:r>
          </w:p>
        </w:tc>
      </w:tr>
    </w:tbl>
    <w:p w14:paraId="27ADD534" w14:textId="77777777" w:rsidR="00C7511A" w:rsidRDefault="00C7511A" w:rsidP="001E486C">
      <w:pPr>
        <w:pStyle w:val="Heading10"/>
        <w:numPr>
          <w:ilvl w:val="0"/>
          <w:numId w:val="0"/>
        </w:numPr>
        <w:ind w:left="432" w:right="182" w:hanging="432"/>
      </w:pPr>
    </w:p>
    <w:p w14:paraId="65D860FD" w14:textId="5EF5A7CA" w:rsidR="00C7511A" w:rsidRPr="0014031C" w:rsidRDefault="00C7511A" w:rsidP="00D53E0A">
      <w:pPr>
        <w:pStyle w:val="Heading10"/>
      </w:pPr>
      <w:bookmarkStart w:id="3" w:name="_Toc192254550"/>
      <w:bookmarkStart w:id="4" w:name="_Toc198730334"/>
      <w:bookmarkEnd w:id="3"/>
      <w:r w:rsidRPr="000D5D81">
        <w:t>India</w:t>
      </w:r>
      <w:r>
        <w:t>n</w:t>
      </w:r>
      <w:r w:rsidRPr="000D5D81">
        <w:t xml:space="preserve"> Macro-economic Overview</w:t>
      </w:r>
      <w:bookmarkEnd w:id="4"/>
    </w:p>
    <w:p w14:paraId="390DC35F" w14:textId="77777777" w:rsidR="00C7511A" w:rsidRDefault="00C7511A" w:rsidP="00C7511A">
      <w:pPr>
        <w:pStyle w:val="Heading2"/>
      </w:pPr>
      <w:bookmarkStart w:id="5" w:name="_Toc192195224"/>
      <w:bookmarkStart w:id="6" w:name="_Toc198730335"/>
      <w:r w:rsidRPr="000D5D81">
        <w:t>World economy and Indian economy snapshot</w:t>
      </w:r>
      <w:bookmarkEnd w:id="5"/>
      <w:bookmarkEnd w:id="6"/>
    </w:p>
    <w:p w14:paraId="5562F52E" w14:textId="6D26D020" w:rsidR="00C7511A" w:rsidRPr="00DD5C74" w:rsidRDefault="00C7511A" w:rsidP="00C04AEC">
      <w:pPr>
        <w:spacing w:before="160" w:after="120"/>
        <w:ind w:right="115"/>
        <w:rPr>
          <w:szCs w:val="20"/>
        </w:rPr>
      </w:pPr>
      <w:r w:rsidRPr="00552A9B">
        <w:t xml:space="preserve">India is the world’s fifth-largest economy, behind United States (US), China, Germany and Japan, and the fastest-growing major economy. Its growth </w:t>
      </w:r>
      <w:r w:rsidRPr="00D16D07">
        <w:t>rate (</w:t>
      </w:r>
      <w:r w:rsidR="00E459B9" w:rsidRPr="00D16D07">
        <w:t>7.4</w:t>
      </w:r>
      <w:r w:rsidRPr="00D16D07">
        <w:t>% in 2024) is</w:t>
      </w:r>
      <w:r w:rsidRPr="00552A9B">
        <w:t xml:space="preserve"> </w:t>
      </w:r>
      <w:r w:rsidR="00BD3EF2">
        <w:t>about</w:t>
      </w:r>
      <w:r w:rsidRPr="00552A9B">
        <w:t xml:space="preserve"> double that of the global economy (</w:t>
      </w:r>
      <w:r w:rsidR="00997B26">
        <w:t>3.</w:t>
      </w:r>
      <w:r w:rsidR="00BD3EF2">
        <w:t>9</w:t>
      </w:r>
      <w:r w:rsidRPr="00552A9B">
        <w:t>% in 2024)</w:t>
      </w:r>
      <w:r w:rsidRPr="00552A9B">
        <w:rPr>
          <w:vertAlign w:val="superscript"/>
        </w:rPr>
        <w:footnoteReference w:id="2"/>
      </w:r>
      <w:r w:rsidRPr="00552A9B">
        <w:t xml:space="preserve">. </w:t>
      </w:r>
      <w:r w:rsidRPr="00DD5C74">
        <w:rPr>
          <w:szCs w:val="20"/>
        </w:rPr>
        <w:t>The global economy</w:t>
      </w:r>
      <w:r>
        <w:rPr>
          <w:szCs w:val="20"/>
        </w:rPr>
        <w:t xml:space="preserve"> is</w:t>
      </w:r>
      <w:r w:rsidRPr="00DD5C74">
        <w:rPr>
          <w:szCs w:val="20"/>
        </w:rPr>
        <w:t xml:space="preserve"> driven by production and consumption of goods and services</w:t>
      </w:r>
      <w:r>
        <w:rPr>
          <w:szCs w:val="20"/>
        </w:rPr>
        <w:t xml:space="preserve"> which are</w:t>
      </w:r>
      <w:r w:rsidRPr="00DD5C74">
        <w:rPr>
          <w:szCs w:val="20"/>
        </w:rPr>
        <w:t xml:space="preserve"> heavily reliant on the extraction and processing of natural resources. The mining industry</w:t>
      </w:r>
      <w:r>
        <w:rPr>
          <w:szCs w:val="20"/>
        </w:rPr>
        <w:t xml:space="preserve"> </w:t>
      </w:r>
      <w:r w:rsidRPr="00DD5C74">
        <w:rPr>
          <w:szCs w:val="20"/>
        </w:rPr>
        <w:t xml:space="preserve">provides the </w:t>
      </w:r>
      <w:r>
        <w:rPr>
          <w:szCs w:val="20"/>
        </w:rPr>
        <w:t xml:space="preserve">basic </w:t>
      </w:r>
      <w:r w:rsidRPr="00DD5C74">
        <w:rPr>
          <w:szCs w:val="20"/>
        </w:rPr>
        <w:t xml:space="preserve">raw materials necessary for energy generation, </w:t>
      </w:r>
      <w:r>
        <w:rPr>
          <w:szCs w:val="20"/>
        </w:rPr>
        <w:t xml:space="preserve">manufacturing of </w:t>
      </w:r>
      <w:r w:rsidRPr="00DD5C74">
        <w:rPr>
          <w:szCs w:val="20"/>
        </w:rPr>
        <w:t xml:space="preserve">steel, </w:t>
      </w:r>
      <w:r w:rsidR="00F831B1">
        <w:rPr>
          <w:szCs w:val="20"/>
        </w:rPr>
        <w:t>aluminum</w:t>
      </w:r>
      <w:r>
        <w:rPr>
          <w:szCs w:val="20"/>
        </w:rPr>
        <w:t xml:space="preserve">, </w:t>
      </w:r>
      <w:r w:rsidRPr="00DD5C74">
        <w:rPr>
          <w:szCs w:val="20"/>
        </w:rPr>
        <w:t>cement and other essential product</w:t>
      </w:r>
      <w:r w:rsidR="00BB78B5">
        <w:rPr>
          <w:szCs w:val="20"/>
        </w:rPr>
        <w:t>s</w:t>
      </w:r>
      <w:r>
        <w:rPr>
          <w:szCs w:val="20"/>
        </w:rPr>
        <w:t xml:space="preserve"> thereby</w:t>
      </w:r>
      <w:r w:rsidRPr="00DD5C74">
        <w:rPr>
          <w:szCs w:val="20"/>
        </w:rPr>
        <w:t xml:space="preserve"> play</w:t>
      </w:r>
      <w:r>
        <w:rPr>
          <w:szCs w:val="20"/>
        </w:rPr>
        <w:t>ing</w:t>
      </w:r>
      <w:r w:rsidRPr="00DD5C74">
        <w:rPr>
          <w:szCs w:val="20"/>
        </w:rPr>
        <w:t xml:space="preserve"> a critical role in supporting </w:t>
      </w:r>
      <w:r>
        <w:rPr>
          <w:szCs w:val="20"/>
        </w:rPr>
        <w:t xml:space="preserve">the </w:t>
      </w:r>
      <w:r w:rsidRPr="00DD5C74">
        <w:rPr>
          <w:szCs w:val="20"/>
        </w:rPr>
        <w:t xml:space="preserve">economic growth and development of </w:t>
      </w:r>
      <w:r>
        <w:rPr>
          <w:szCs w:val="20"/>
        </w:rPr>
        <w:t xml:space="preserve">the </w:t>
      </w:r>
      <w:r w:rsidRPr="00DD5C74">
        <w:rPr>
          <w:szCs w:val="20"/>
        </w:rPr>
        <w:t>world</w:t>
      </w:r>
      <w:r>
        <w:rPr>
          <w:szCs w:val="20"/>
        </w:rPr>
        <w:t xml:space="preserve"> as well as India</w:t>
      </w:r>
      <w:r w:rsidRPr="00DD5C74">
        <w:rPr>
          <w:szCs w:val="20"/>
        </w:rPr>
        <w:t>.</w:t>
      </w:r>
      <w:r w:rsidR="00C04AEC">
        <w:rPr>
          <w:szCs w:val="20"/>
        </w:rPr>
        <w:t xml:space="preserve"> </w:t>
      </w:r>
      <w:r w:rsidRPr="00DD5C74">
        <w:rPr>
          <w:szCs w:val="20"/>
        </w:rPr>
        <w:t xml:space="preserve">The global economy, as measured by the </w:t>
      </w:r>
      <w:r w:rsidRPr="00DD5C74">
        <w:rPr>
          <w:i/>
          <w:iCs/>
          <w:szCs w:val="20"/>
        </w:rPr>
        <w:t>International Monetary Fund (IMF),</w:t>
      </w:r>
      <w:r w:rsidRPr="00DD5C74">
        <w:rPr>
          <w:szCs w:val="20"/>
        </w:rPr>
        <w:t xml:space="preserve"> has reached a significant milestone, crossing the $100 trillion mark </w:t>
      </w:r>
      <w:r>
        <w:rPr>
          <w:szCs w:val="20"/>
        </w:rPr>
        <w:t>(</w:t>
      </w:r>
      <w:r w:rsidRPr="00DD5C74">
        <w:rPr>
          <w:szCs w:val="20"/>
        </w:rPr>
        <w:t>nominal</w:t>
      </w:r>
      <w:r>
        <w:rPr>
          <w:szCs w:val="20"/>
        </w:rPr>
        <w:t>)</w:t>
      </w:r>
      <w:r w:rsidRPr="00DD5C74">
        <w:rPr>
          <w:szCs w:val="20"/>
        </w:rPr>
        <w:t xml:space="preserve"> in 2022</w:t>
      </w:r>
      <w:r w:rsidR="0041461F">
        <w:rPr>
          <w:szCs w:val="20"/>
        </w:rPr>
        <w:t xml:space="preserve">, </w:t>
      </w:r>
      <w:r w:rsidRPr="00DD5C74">
        <w:rPr>
          <w:szCs w:val="20"/>
        </w:rPr>
        <w:t>represent</w:t>
      </w:r>
      <w:r w:rsidR="0041461F">
        <w:rPr>
          <w:szCs w:val="20"/>
        </w:rPr>
        <w:t>ing</w:t>
      </w:r>
      <w:r w:rsidRPr="00DD5C74">
        <w:rPr>
          <w:szCs w:val="20"/>
        </w:rPr>
        <w:t xml:space="preserve"> a significant increase from $25 trillion mark in 1992</w:t>
      </w:r>
      <w:r>
        <w:rPr>
          <w:szCs w:val="20"/>
        </w:rPr>
        <w:t xml:space="preserve"> and </w:t>
      </w:r>
      <w:r w:rsidRPr="00DD5C74">
        <w:rPr>
          <w:szCs w:val="20"/>
        </w:rPr>
        <w:t xml:space="preserve">$50 trillion mark in 2006 </w:t>
      </w:r>
      <w:r>
        <w:rPr>
          <w:szCs w:val="20"/>
        </w:rPr>
        <w:t xml:space="preserve">which is approximately doubling in every 15 years. </w:t>
      </w:r>
      <w:r w:rsidRPr="00DD5C74">
        <w:rPr>
          <w:szCs w:val="20"/>
        </w:rPr>
        <w:t xml:space="preserve"> As per the IMF's </w:t>
      </w:r>
      <w:r w:rsidRPr="00DD5C74">
        <w:rPr>
          <w:i/>
          <w:iCs/>
          <w:szCs w:val="20"/>
        </w:rPr>
        <w:t>World Economic Outlook (</w:t>
      </w:r>
      <w:r w:rsidR="007D5D7B">
        <w:rPr>
          <w:i/>
          <w:iCs/>
          <w:szCs w:val="20"/>
        </w:rPr>
        <w:t>April</w:t>
      </w:r>
      <w:r w:rsidRPr="00DD5C74">
        <w:rPr>
          <w:i/>
          <w:iCs/>
          <w:szCs w:val="20"/>
        </w:rPr>
        <w:t xml:space="preserve"> 202</w:t>
      </w:r>
      <w:r w:rsidR="007D5D7B">
        <w:rPr>
          <w:i/>
          <w:iCs/>
          <w:szCs w:val="20"/>
        </w:rPr>
        <w:t>5</w:t>
      </w:r>
      <w:r w:rsidRPr="00DD5C74">
        <w:rPr>
          <w:i/>
          <w:iCs/>
          <w:szCs w:val="20"/>
        </w:rPr>
        <w:t>),</w:t>
      </w:r>
      <w:r w:rsidRPr="00DD5C74">
        <w:rPr>
          <w:szCs w:val="20"/>
        </w:rPr>
        <w:t xml:space="preserve"> the global GDP is forecasted to grow from $11</w:t>
      </w:r>
      <w:r w:rsidR="007D5D7B">
        <w:rPr>
          <w:szCs w:val="20"/>
        </w:rPr>
        <w:t>1</w:t>
      </w:r>
      <w:r w:rsidRPr="00DD5C74">
        <w:rPr>
          <w:szCs w:val="20"/>
        </w:rPr>
        <w:t xml:space="preserve"> trillion in 2024 to $14</w:t>
      </w:r>
      <w:r w:rsidR="007D5D7B">
        <w:rPr>
          <w:szCs w:val="20"/>
        </w:rPr>
        <w:t>5</w:t>
      </w:r>
      <w:r w:rsidRPr="00DD5C74">
        <w:rPr>
          <w:szCs w:val="20"/>
        </w:rPr>
        <w:t xml:space="preserve"> trillion by 20</w:t>
      </w:r>
      <w:r w:rsidR="007D5D7B">
        <w:rPr>
          <w:szCs w:val="20"/>
        </w:rPr>
        <w:t>30</w:t>
      </w:r>
      <w:r w:rsidRPr="00DD5C74">
        <w:rPr>
          <w:szCs w:val="20"/>
        </w:rPr>
        <w:t>, at a CAGR of 4.</w:t>
      </w:r>
      <w:r w:rsidR="00663365">
        <w:rPr>
          <w:szCs w:val="20"/>
        </w:rPr>
        <w:t>57</w:t>
      </w:r>
      <w:r w:rsidRPr="00DD5C74">
        <w:rPr>
          <w:szCs w:val="20"/>
        </w:rPr>
        <w:t xml:space="preserve">% underscoring </w:t>
      </w:r>
      <w:r>
        <w:rPr>
          <w:szCs w:val="20"/>
        </w:rPr>
        <w:t xml:space="preserve">the </w:t>
      </w:r>
      <w:r w:rsidRPr="00DD5C74">
        <w:rPr>
          <w:szCs w:val="20"/>
        </w:rPr>
        <w:t>optimistic outlook for the world economy over the medium term.</w:t>
      </w:r>
      <w:r w:rsidRPr="00DD5C74">
        <w:rPr>
          <w:color w:val="auto"/>
          <w:szCs w:val="20"/>
        </w:rPr>
        <w:t xml:space="preserve"> </w:t>
      </w:r>
    </w:p>
    <w:p w14:paraId="5064D880" w14:textId="57D53748" w:rsidR="00C7511A" w:rsidRDefault="004D0E51" w:rsidP="00C7511A">
      <w:pPr>
        <w:pStyle w:val="Caption1"/>
        <w:ind w:right="112"/>
        <w:rPr>
          <w:color w:val="auto"/>
        </w:rPr>
      </w:pPr>
      <w:bookmarkStart w:id="7" w:name="_Toc189499627"/>
      <w:bookmarkStart w:id="8" w:name="_Toc192073641"/>
      <w:bookmarkStart w:id="9" w:name="_Toc192153666"/>
      <w:bookmarkStart w:id="10" w:name="_Toc192195332"/>
      <w:bookmarkStart w:id="11" w:name="_Toc198731484"/>
      <w:r w:rsidRPr="004D0E51">
        <w:rPr>
          <w:color w:val="auto"/>
          <w:lang w:val="en-US"/>
        </w:rPr>
        <w:drawing>
          <wp:anchor distT="0" distB="0" distL="114300" distR="114300" simplePos="0" relativeHeight="251658251" behindDoc="0" locked="0" layoutInCell="1" allowOverlap="1" wp14:anchorId="79B9E73F" wp14:editId="3F7150E6">
            <wp:simplePos x="0" y="0"/>
            <wp:positionH relativeFrom="margin">
              <wp:align>left</wp:align>
            </wp:positionH>
            <wp:positionV relativeFrom="paragraph">
              <wp:posOffset>235585</wp:posOffset>
            </wp:positionV>
            <wp:extent cx="6569075" cy="2025650"/>
            <wp:effectExtent l="0" t="0" r="3175" b="0"/>
            <wp:wrapTopAndBottom/>
            <wp:docPr id="453715574" name="Chart 1">
              <a:extLst xmlns:a="http://schemas.openxmlformats.org/drawingml/2006/main">
                <a:ext uri="{FF2B5EF4-FFF2-40B4-BE49-F238E27FC236}">
                  <a16:creationId xmlns:a16="http://schemas.microsoft.com/office/drawing/2014/main" id="{D8914192-1841-0AF2-7D47-A3FFEE00E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C7511A">
        <w:t xml:space="preserve">Figure </w:t>
      </w:r>
      <w:r w:rsidR="00C7511A">
        <w:fldChar w:fldCharType="begin"/>
      </w:r>
      <w:r w:rsidR="00C7511A">
        <w:instrText xml:space="preserve"> STYLEREF 1 \s </w:instrText>
      </w:r>
      <w:r w:rsidR="00C7511A">
        <w:fldChar w:fldCharType="separate"/>
      </w:r>
      <w:r w:rsidR="002142B9">
        <w:t>1</w:t>
      </w:r>
      <w:r w:rsidR="00C7511A">
        <w:fldChar w:fldCharType="end"/>
      </w:r>
      <w:r w:rsidR="00C7511A">
        <w:t>.</w:t>
      </w:r>
      <w:r w:rsidR="00C7511A">
        <w:fldChar w:fldCharType="begin"/>
      </w:r>
      <w:r w:rsidR="00C7511A">
        <w:instrText xml:space="preserve"> SEQ Figure \* ARABIC \s 1 </w:instrText>
      </w:r>
      <w:r w:rsidR="00C7511A">
        <w:fldChar w:fldCharType="separate"/>
      </w:r>
      <w:r w:rsidR="002142B9">
        <w:t>1</w:t>
      </w:r>
      <w:r w:rsidR="00C7511A">
        <w:fldChar w:fldCharType="end"/>
      </w:r>
      <w:r w:rsidR="00C7511A">
        <w:rPr>
          <w:color w:val="auto"/>
        </w:rPr>
        <w:t xml:space="preserve"> </w:t>
      </w:r>
      <w:r w:rsidR="00C7511A">
        <w:t xml:space="preserve"> </w:t>
      </w:r>
      <w:r w:rsidR="00C7511A" w:rsidRPr="004D0E51">
        <w:rPr>
          <w:color w:val="auto"/>
        </w:rPr>
        <w:t>World Nominal GDP from 1980 to 2024 and forecast from 2025 to 20</w:t>
      </w:r>
      <w:r>
        <w:rPr>
          <w:color w:val="auto"/>
        </w:rPr>
        <w:t>30</w:t>
      </w:r>
      <w:r w:rsidR="00C7511A" w:rsidRPr="004D0E51">
        <w:rPr>
          <w:color w:val="auto"/>
        </w:rPr>
        <w:t xml:space="preserve"> in trillion US dollars</w:t>
      </w:r>
      <w:bookmarkEnd w:id="7"/>
      <w:bookmarkEnd w:id="8"/>
      <w:bookmarkEnd w:id="9"/>
      <w:bookmarkEnd w:id="10"/>
      <w:bookmarkEnd w:id="11"/>
    </w:p>
    <w:p w14:paraId="47D28AD4" w14:textId="15707B9E" w:rsidR="00C7511A" w:rsidRPr="001A0167" w:rsidRDefault="00C7511A" w:rsidP="00201B98">
      <w:pPr>
        <w:pStyle w:val="Source"/>
        <w:rPr>
          <w:szCs w:val="20"/>
        </w:rPr>
      </w:pPr>
      <w:r w:rsidRPr="00452CA3">
        <w:t>Source: International Monetary Fund (IMF) – World Economic Outlook (</w:t>
      </w:r>
      <w:r w:rsidR="006209AB">
        <w:t>April</w:t>
      </w:r>
      <w:r w:rsidRPr="00452CA3">
        <w:t xml:space="preserve"> 202</w:t>
      </w:r>
      <w:r w:rsidR="006209AB">
        <w:t>5</w:t>
      </w:r>
      <w:r w:rsidRPr="00452CA3">
        <w:t>)</w:t>
      </w:r>
      <w:r>
        <w:t xml:space="preserve">, IMF has forecasted till </w:t>
      </w:r>
      <w:r w:rsidR="00EC3066">
        <w:t xml:space="preserve">calendar year </w:t>
      </w:r>
      <w:r>
        <w:t>20</w:t>
      </w:r>
      <w:r w:rsidR="004D0E51">
        <w:t>30</w:t>
      </w:r>
    </w:p>
    <w:p w14:paraId="0CDD9263" w14:textId="16669FE6" w:rsidR="00A958FC" w:rsidRPr="00A958FC" w:rsidRDefault="00C7511A" w:rsidP="00A958FC">
      <w:pPr>
        <w:ind w:right="115"/>
        <w:rPr>
          <w:szCs w:val="20"/>
        </w:rPr>
      </w:pPr>
      <w:r w:rsidRPr="00550EF5">
        <w:rPr>
          <w:szCs w:val="20"/>
        </w:rPr>
        <w:t>India's economy has undergone a transformative journey since the liberalization reforms of 1991, which have unleashed a period of rapid growth. Given the historical growth trajectory of India's economy, which has seen a significant expansion from about</w:t>
      </w:r>
      <w:r>
        <w:rPr>
          <w:szCs w:val="20"/>
        </w:rPr>
        <w:t xml:space="preserve"> </w:t>
      </w:r>
      <w:r w:rsidRPr="00550EF5">
        <w:rPr>
          <w:szCs w:val="20"/>
        </w:rPr>
        <w:t>$</w:t>
      </w:r>
      <w:r>
        <w:rPr>
          <w:szCs w:val="20"/>
        </w:rPr>
        <w:t xml:space="preserve">0.2 trillion in 1980, $0.3 trillion in 1990, $0.5 trillion in 2000, </w:t>
      </w:r>
      <w:r w:rsidRPr="00550EF5">
        <w:rPr>
          <w:szCs w:val="20"/>
        </w:rPr>
        <w:t>$1 trillion in 2006</w:t>
      </w:r>
      <w:r>
        <w:rPr>
          <w:szCs w:val="20"/>
        </w:rPr>
        <w:t xml:space="preserve">, </w:t>
      </w:r>
      <w:r w:rsidRPr="00550EF5">
        <w:rPr>
          <w:szCs w:val="20"/>
        </w:rPr>
        <w:t xml:space="preserve">$2 trillion in 2014 and </w:t>
      </w:r>
      <w:r>
        <w:rPr>
          <w:szCs w:val="20"/>
        </w:rPr>
        <w:t xml:space="preserve">thereafter </w:t>
      </w:r>
      <w:r w:rsidRPr="00550EF5">
        <w:rPr>
          <w:szCs w:val="20"/>
        </w:rPr>
        <w:t xml:space="preserve">to $3.9 trillion in 2024 </w:t>
      </w:r>
      <w:r>
        <w:rPr>
          <w:szCs w:val="20"/>
        </w:rPr>
        <w:t>(</w:t>
      </w:r>
      <w:r w:rsidRPr="00550EF5">
        <w:rPr>
          <w:szCs w:val="20"/>
        </w:rPr>
        <w:t>nominal</w:t>
      </w:r>
      <w:r>
        <w:rPr>
          <w:szCs w:val="20"/>
        </w:rPr>
        <w:t>)</w:t>
      </w:r>
      <w:r w:rsidRPr="00550EF5">
        <w:rPr>
          <w:szCs w:val="20"/>
        </w:rPr>
        <w:t>, driven by the country's rapid liberalization and integration into the global economy</w:t>
      </w:r>
      <w:r>
        <w:rPr>
          <w:szCs w:val="20"/>
        </w:rPr>
        <w:t>.</w:t>
      </w:r>
      <w:r w:rsidRPr="00550EF5">
        <w:rPr>
          <w:szCs w:val="20"/>
        </w:rPr>
        <w:t xml:space="preserve"> India's GDP </w:t>
      </w:r>
      <w:r>
        <w:rPr>
          <w:szCs w:val="20"/>
        </w:rPr>
        <w:t xml:space="preserve">has </w:t>
      </w:r>
      <w:r w:rsidRPr="00550EF5">
        <w:rPr>
          <w:szCs w:val="20"/>
        </w:rPr>
        <w:t>double</w:t>
      </w:r>
      <w:r>
        <w:rPr>
          <w:szCs w:val="20"/>
        </w:rPr>
        <w:t xml:space="preserve">d (approximately) in the last </w:t>
      </w:r>
      <w:r w:rsidRPr="00550EF5">
        <w:rPr>
          <w:szCs w:val="20"/>
        </w:rPr>
        <w:t>9-10 years. The International Monetary Fund's (IMF) latest World Economic Outlook (</w:t>
      </w:r>
      <w:r w:rsidR="00EC3066">
        <w:rPr>
          <w:szCs w:val="20"/>
        </w:rPr>
        <w:t xml:space="preserve">April </w:t>
      </w:r>
      <w:r w:rsidRPr="00550EF5">
        <w:rPr>
          <w:szCs w:val="20"/>
        </w:rPr>
        <w:t>202</w:t>
      </w:r>
      <w:r w:rsidR="00EC3066">
        <w:rPr>
          <w:szCs w:val="20"/>
        </w:rPr>
        <w:t>5</w:t>
      </w:r>
      <w:r w:rsidRPr="00550EF5">
        <w:rPr>
          <w:szCs w:val="20"/>
        </w:rPr>
        <w:t>) projects a steady expansion of the Indian economy, with the country's GDP anticipated to rise from $3.9 trillion in 2024 to $6.</w:t>
      </w:r>
      <w:r w:rsidR="009D2A51">
        <w:rPr>
          <w:szCs w:val="20"/>
        </w:rPr>
        <w:t>8</w:t>
      </w:r>
      <w:r w:rsidRPr="00550EF5">
        <w:rPr>
          <w:szCs w:val="20"/>
        </w:rPr>
        <w:t xml:space="preserve"> trillion by 20</w:t>
      </w:r>
      <w:r w:rsidR="009D2A51">
        <w:rPr>
          <w:szCs w:val="20"/>
        </w:rPr>
        <w:t>30</w:t>
      </w:r>
      <w:r w:rsidRPr="00550EF5">
        <w:rPr>
          <w:szCs w:val="20"/>
        </w:rPr>
        <w:t xml:space="preserve">, </w:t>
      </w:r>
      <w:r w:rsidR="006A6735">
        <w:rPr>
          <w:szCs w:val="20"/>
        </w:rPr>
        <w:t>at</w:t>
      </w:r>
      <w:r>
        <w:rPr>
          <w:szCs w:val="20"/>
        </w:rPr>
        <w:t xml:space="preserve"> </w:t>
      </w:r>
      <w:r w:rsidR="00CA6911">
        <w:rPr>
          <w:szCs w:val="20"/>
        </w:rPr>
        <w:t>9.58</w:t>
      </w:r>
      <w:r w:rsidRPr="00550EF5">
        <w:rPr>
          <w:szCs w:val="20"/>
        </w:rPr>
        <w:t xml:space="preserve">% CAGR over the </w:t>
      </w:r>
      <w:r w:rsidR="00F66AD9">
        <w:rPr>
          <w:szCs w:val="20"/>
        </w:rPr>
        <w:t>six</w:t>
      </w:r>
      <w:r w:rsidRPr="00550EF5">
        <w:rPr>
          <w:szCs w:val="20"/>
        </w:rPr>
        <w:t>-year period</w:t>
      </w:r>
      <w:r>
        <w:rPr>
          <w:szCs w:val="20"/>
        </w:rPr>
        <w:t>.</w:t>
      </w:r>
      <w:bookmarkStart w:id="12" w:name="_Toc189499628"/>
      <w:bookmarkStart w:id="13" w:name="_Toc192073642"/>
      <w:bookmarkStart w:id="14" w:name="_Toc192153667"/>
      <w:bookmarkStart w:id="15" w:name="_Toc192195333"/>
    </w:p>
    <w:p w14:paraId="4E876EF3" w14:textId="331C55BE" w:rsidR="00C7511A" w:rsidRPr="00A61E0B" w:rsidRDefault="00A958FC" w:rsidP="00C7511A">
      <w:pPr>
        <w:pStyle w:val="Caption1"/>
        <w:rPr>
          <w:lang w:val="en-US"/>
        </w:rPr>
      </w:pPr>
      <w:bookmarkStart w:id="16" w:name="_Toc198731485"/>
      <w:r w:rsidRPr="00A958FC">
        <w:rPr>
          <w:lang w:val="en-US"/>
        </w:rPr>
        <w:drawing>
          <wp:anchor distT="0" distB="0" distL="114300" distR="114300" simplePos="0" relativeHeight="251658252" behindDoc="0" locked="0" layoutInCell="1" allowOverlap="1" wp14:anchorId="79C662F0" wp14:editId="11926B1E">
            <wp:simplePos x="0" y="0"/>
            <wp:positionH relativeFrom="margin">
              <wp:posOffset>11430</wp:posOffset>
            </wp:positionH>
            <wp:positionV relativeFrom="paragraph">
              <wp:posOffset>216535</wp:posOffset>
            </wp:positionV>
            <wp:extent cx="6562090" cy="1477010"/>
            <wp:effectExtent l="0" t="0" r="0" b="8890"/>
            <wp:wrapTopAndBottom/>
            <wp:docPr id="491875125" name="Chart 1">
              <a:extLst xmlns:a="http://schemas.openxmlformats.org/drawingml/2006/main">
                <a:ext uri="{FF2B5EF4-FFF2-40B4-BE49-F238E27FC236}">
                  <a16:creationId xmlns:a16="http://schemas.microsoft.com/office/drawing/2014/main" id="{15B2CA68-2C5A-B2E3-C45B-261C7E762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7511A">
        <w:t xml:space="preserve">Figure </w:t>
      </w:r>
      <w:r w:rsidR="00C7511A">
        <w:fldChar w:fldCharType="begin"/>
      </w:r>
      <w:r w:rsidR="00C7511A">
        <w:instrText xml:space="preserve"> STYLEREF 1 \s </w:instrText>
      </w:r>
      <w:r w:rsidR="00C7511A">
        <w:fldChar w:fldCharType="separate"/>
      </w:r>
      <w:r w:rsidR="002142B9">
        <w:t>1</w:t>
      </w:r>
      <w:r w:rsidR="00C7511A">
        <w:fldChar w:fldCharType="end"/>
      </w:r>
      <w:r w:rsidR="00C7511A">
        <w:t>.</w:t>
      </w:r>
      <w:r w:rsidR="00C7511A">
        <w:fldChar w:fldCharType="begin"/>
      </w:r>
      <w:r w:rsidR="00C7511A">
        <w:instrText xml:space="preserve"> SEQ Figure \* ARABIC \s 1 </w:instrText>
      </w:r>
      <w:r w:rsidR="00C7511A">
        <w:fldChar w:fldCharType="separate"/>
      </w:r>
      <w:r w:rsidR="002142B9">
        <w:t>2</w:t>
      </w:r>
      <w:r w:rsidR="00C7511A">
        <w:fldChar w:fldCharType="end"/>
      </w:r>
      <w:r w:rsidR="00C7511A">
        <w:rPr>
          <w:color w:val="auto"/>
        </w:rPr>
        <w:t xml:space="preserve"> Indian Nominal GDP (Current Prices) from 1980 to 20</w:t>
      </w:r>
      <w:r w:rsidR="00EC3066">
        <w:rPr>
          <w:color w:val="auto"/>
        </w:rPr>
        <w:t>30</w:t>
      </w:r>
      <w:r w:rsidR="00C7511A">
        <w:rPr>
          <w:color w:val="auto"/>
        </w:rPr>
        <w:t xml:space="preserve"> in trillion US dollars</w:t>
      </w:r>
      <w:bookmarkEnd w:id="12"/>
      <w:bookmarkEnd w:id="13"/>
      <w:bookmarkEnd w:id="14"/>
      <w:bookmarkEnd w:id="15"/>
      <w:bookmarkEnd w:id="16"/>
    </w:p>
    <w:p w14:paraId="3CB83120" w14:textId="5A0F63AE" w:rsidR="00C7511A" w:rsidRPr="009C629E" w:rsidRDefault="00C7511A" w:rsidP="00BB7C02">
      <w:pPr>
        <w:pStyle w:val="Source"/>
        <w:rPr>
          <w:lang w:val="en-GB" w:eastAsia="en-IN"/>
        </w:rPr>
      </w:pPr>
      <w:r w:rsidRPr="009C629E">
        <w:t>Source: International Monetary Fund (IMF) – World Economic Outlook (</w:t>
      </w:r>
      <w:r w:rsidR="006209AB">
        <w:t xml:space="preserve">April </w:t>
      </w:r>
      <w:r w:rsidRPr="009C629E">
        <w:t>202</w:t>
      </w:r>
      <w:r w:rsidR="006209AB">
        <w:t>5</w:t>
      </w:r>
      <w:r w:rsidRPr="009C629E">
        <w:t>)</w:t>
      </w:r>
      <w:r>
        <w:t xml:space="preserve">, IMF has forecasted till </w:t>
      </w:r>
      <w:r w:rsidR="00EC3066">
        <w:t xml:space="preserve">calendar </w:t>
      </w:r>
      <w:r w:rsidR="00BB7C02">
        <w:t>year</w:t>
      </w:r>
      <w:r>
        <w:t xml:space="preserve"> 20</w:t>
      </w:r>
      <w:r w:rsidR="00EC3066">
        <w:t>30</w:t>
      </w:r>
      <w:r>
        <w:t xml:space="preserve"> only</w:t>
      </w:r>
    </w:p>
    <w:p w14:paraId="5C11EA4D" w14:textId="4C3C8B4D" w:rsidR="00C7511A" w:rsidRDefault="00C7511A" w:rsidP="00C7511A">
      <w:pPr>
        <w:pStyle w:val="Heading2"/>
        <w:ind w:right="112"/>
      </w:pPr>
      <w:bookmarkStart w:id="17" w:name="_Toc192153623"/>
      <w:bookmarkStart w:id="18" w:name="_Toc192195225"/>
      <w:bookmarkStart w:id="19" w:name="_Toc198730336"/>
      <w:r w:rsidRPr="00A21D54">
        <w:t xml:space="preserve">Real </w:t>
      </w:r>
      <w:r>
        <w:t xml:space="preserve">&amp; Nominal </w:t>
      </w:r>
      <w:r w:rsidRPr="00A21D54">
        <w:t xml:space="preserve">GDP growth in India </w:t>
      </w:r>
      <w:r w:rsidR="001A3602">
        <w:t>vs</w:t>
      </w:r>
      <w:r w:rsidRPr="00A21D54">
        <w:t xml:space="preserve"> the world’s major economies</w:t>
      </w:r>
      <w:bookmarkEnd w:id="17"/>
      <w:bookmarkEnd w:id="18"/>
      <w:bookmarkEnd w:id="19"/>
      <w:r w:rsidRPr="00A21D54">
        <w:t xml:space="preserve"> </w:t>
      </w:r>
    </w:p>
    <w:p w14:paraId="2DD24A91" w14:textId="6B411079" w:rsidR="00C17B94" w:rsidRPr="00C17B94" w:rsidRDefault="00C17B94" w:rsidP="00C17B94">
      <w:pPr>
        <w:pStyle w:val="Heading30"/>
      </w:pPr>
      <w:r>
        <w:t>Nominal GDP</w:t>
      </w:r>
    </w:p>
    <w:p w14:paraId="36566942" w14:textId="55EB75E7" w:rsidR="00C7511A" w:rsidRPr="00241AE9" w:rsidRDefault="00C7511A" w:rsidP="00C7511A">
      <w:pPr>
        <w:ind w:right="115"/>
        <w:rPr>
          <w:szCs w:val="20"/>
        </w:rPr>
      </w:pPr>
      <w:r w:rsidRPr="00241AE9">
        <w:rPr>
          <w:szCs w:val="20"/>
        </w:rPr>
        <w:t>Nominal GDP measures the total economic output of a country at current market prices, reflecting the value of goods and services produced within a given period without adjusting for inflation. In contrast, Real GDP adjusts Nominal GDP for changes in price levels, providing a more accurate depiction of an economy's growth by accounting for inflation or deflation.</w:t>
      </w:r>
    </w:p>
    <w:p w14:paraId="2C10E849" w14:textId="3C14618D" w:rsidR="00C7511A" w:rsidRPr="0079276D" w:rsidRDefault="00C7511A" w:rsidP="00C7511A">
      <w:pPr>
        <w:keepNext/>
        <w:keepLines/>
        <w:spacing w:line="276" w:lineRule="auto"/>
        <w:rPr>
          <w:rFonts w:eastAsia="Times New Roman" w:cs="Book Antiqua"/>
          <w:b/>
          <w:bCs/>
          <w:kern w:val="0"/>
          <w:szCs w:val="18"/>
          <w:lang w:val="en-GB" w:eastAsia="en-IN"/>
          <w14:ligatures w14:val="none"/>
        </w:rPr>
      </w:pPr>
      <w:bookmarkStart w:id="20" w:name="_Toc192073624"/>
      <w:bookmarkStart w:id="21" w:name="_Toc192153648"/>
      <w:bookmarkStart w:id="22" w:name="_Toc192195275"/>
      <w:bookmarkStart w:id="23" w:name="_Toc198731449"/>
      <w:r w:rsidRPr="0079276D">
        <w:rPr>
          <w:rFonts w:eastAsia="Times New Roman" w:cs="Book Antiqua"/>
          <w:b/>
          <w:bCs/>
          <w:kern w:val="0"/>
          <w:szCs w:val="18"/>
          <w:lang w:val="en-GB" w:eastAsia="en-IN"/>
          <w14:ligatures w14:val="none"/>
        </w:rPr>
        <w:t xml:space="preserve">Table </w:t>
      </w:r>
      <w:r w:rsidRPr="0079276D">
        <w:rPr>
          <w:rFonts w:eastAsia="Times New Roman" w:cs="Book Antiqua"/>
          <w:b/>
          <w:bCs/>
          <w:kern w:val="0"/>
          <w:szCs w:val="18"/>
          <w:lang w:val="en-GB" w:eastAsia="en-IN"/>
          <w14:ligatures w14:val="none"/>
        </w:rPr>
        <w:fldChar w:fldCharType="begin"/>
      </w:r>
      <w:r w:rsidRPr="0079276D">
        <w:rPr>
          <w:rFonts w:eastAsia="Times New Roman" w:cs="Book Antiqua"/>
          <w:b/>
          <w:bCs/>
          <w:kern w:val="0"/>
          <w:szCs w:val="18"/>
          <w:lang w:val="en-GB" w:eastAsia="en-IN"/>
          <w14:ligatures w14:val="none"/>
        </w:rPr>
        <w:instrText xml:space="preserve"> STYLEREF 1 \s </w:instrText>
      </w:r>
      <w:r w:rsidRPr="0079276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w:t>
      </w:r>
      <w:r w:rsidRPr="0079276D">
        <w:rPr>
          <w:rFonts w:eastAsia="Times New Roman" w:cs="Book Antiqua"/>
          <w:b/>
          <w:bCs/>
          <w:kern w:val="0"/>
          <w:szCs w:val="18"/>
          <w:lang w:val="en-GB" w:eastAsia="en-IN"/>
          <w14:ligatures w14:val="none"/>
        </w:rPr>
        <w:fldChar w:fldCharType="end"/>
      </w:r>
      <w:r w:rsidRPr="0079276D">
        <w:rPr>
          <w:rFonts w:eastAsia="Times New Roman" w:cs="Book Antiqua"/>
          <w:b/>
          <w:bCs/>
          <w:kern w:val="0"/>
          <w:szCs w:val="18"/>
          <w:lang w:val="en-GB" w:eastAsia="en-IN"/>
          <w14:ligatures w14:val="none"/>
        </w:rPr>
        <w:t>.</w:t>
      </w:r>
      <w:r w:rsidRPr="0079276D">
        <w:rPr>
          <w:rFonts w:eastAsia="Times New Roman" w:cs="Book Antiqua"/>
          <w:b/>
          <w:bCs/>
          <w:kern w:val="0"/>
          <w:szCs w:val="18"/>
          <w:lang w:val="en-GB" w:eastAsia="en-IN"/>
          <w14:ligatures w14:val="none"/>
        </w:rPr>
        <w:fldChar w:fldCharType="begin"/>
      </w:r>
      <w:r w:rsidRPr="0079276D">
        <w:rPr>
          <w:rFonts w:eastAsia="Times New Roman" w:cs="Book Antiqua"/>
          <w:b/>
          <w:bCs/>
          <w:kern w:val="0"/>
          <w:szCs w:val="18"/>
          <w:lang w:val="en-GB" w:eastAsia="en-IN"/>
          <w14:ligatures w14:val="none"/>
        </w:rPr>
        <w:instrText xml:space="preserve"> SEQ Table \* ARABIC \s 1 </w:instrText>
      </w:r>
      <w:r w:rsidRPr="0079276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w:t>
      </w:r>
      <w:r w:rsidRPr="0079276D">
        <w:rPr>
          <w:rFonts w:eastAsia="Times New Roman" w:cs="Book Antiqua"/>
          <w:b/>
          <w:bCs/>
          <w:kern w:val="0"/>
          <w:szCs w:val="18"/>
          <w:lang w:val="en-GB" w:eastAsia="en-IN"/>
          <w14:ligatures w14:val="none"/>
        </w:rPr>
        <w:fldChar w:fldCharType="end"/>
      </w:r>
      <w:r w:rsidRPr="0079276D">
        <w:rPr>
          <w:rFonts w:eastAsia="Times New Roman" w:cs="Book Antiqua"/>
          <w:b/>
          <w:bCs/>
          <w:kern w:val="0"/>
          <w:szCs w:val="18"/>
          <w:lang w:val="en-GB" w:eastAsia="en-IN"/>
          <w14:ligatures w14:val="none"/>
        </w:rPr>
        <w:t xml:space="preserve"> Country-wise </w:t>
      </w:r>
      <w:r>
        <w:rPr>
          <w:rFonts w:eastAsia="Times New Roman" w:cs="Book Antiqua"/>
          <w:b/>
          <w:bCs/>
          <w:kern w:val="0"/>
          <w:szCs w:val="18"/>
          <w:lang w:val="en-GB" w:eastAsia="en-IN"/>
          <w14:ligatures w14:val="none"/>
        </w:rPr>
        <w:t>nominal</w:t>
      </w:r>
      <w:r w:rsidRPr="0079276D">
        <w:rPr>
          <w:rFonts w:eastAsia="Times New Roman" w:cs="Book Antiqua"/>
          <w:b/>
          <w:bCs/>
          <w:kern w:val="0"/>
          <w:szCs w:val="18"/>
          <w:lang w:val="en-GB" w:eastAsia="en-IN"/>
          <w14:ligatures w14:val="none"/>
        </w:rPr>
        <w:t xml:space="preserve"> GDP data (annual percent change)</w:t>
      </w:r>
      <w:bookmarkEnd w:id="20"/>
      <w:bookmarkEnd w:id="21"/>
      <w:bookmarkEnd w:id="22"/>
      <w:bookmarkEnd w:id="23"/>
    </w:p>
    <w:tbl>
      <w:tblPr>
        <w:tblStyle w:val="TableGrid"/>
        <w:tblW w:w="4947" w:type="pct"/>
        <w:tblLook w:val="04A0" w:firstRow="1" w:lastRow="0" w:firstColumn="1" w:lastColumn="0" w:noHBand="0" w:noVBand="1"/>
      </w:tblPr>
      <w:tblGrid>
        <w:gridCol w:w="2143"/>
        <w:gridCol w:w="1181"/>
        <w:gridCol w:w="1181"/>
        <w:gridCol w:w="1181"/>
        <w:gridCol w:w="1181"/>
        <w:gridCol w:w="1181"/>
        <w:gridCol w:w="1180"/>
        <w:gridCol w:w="1180"/>
      </w:tblGrid>
      <w:tr w:rsidR="00C7511A" w:rsidRPr="00ED34E3" w14:paraId="33FE4F5D" w14:textId="77777777" w:rsidTr="00662938">
        <w:trPr>
          <w:trHeight w:val="432"/>
          <w:tblHeader/>
        </w:trPr>
        <w:tc>
          <w:tcPr>
            <w:tcW w:w="1029" w:type="pct"/>
            <w:shd w:val="clear" w:color="auto" w:fill="005B72"/>
            <w:vAlign w:val="center"/>
          </w:tcPr>
          <w:p w14:paraId="1FAC1429" w14:textId="0F7E5CB2" w:rsidR="00C7511A" w:rsidRPr="00ED34E3" w:rsidRDefault="006758A6" w:rsidP="00662938">
            <w:pPr>
              <w:spacing w:line="240" w:lineRule="auto"/>
              <w:jc w:val="left"/>
              <w:rPr>
                <w:b/>
                <w:bCs/>
                <w:color w:val="FFFFFF" w:themeColor="background1"/>
              </w:rPr>
            </w:pPr>
            <w:r>
              <w:rPr>
                <w:b/>
                <w:bCs/>
                <w:color w:val="F8F8F8"/>
                <w:sz w:val="18"/>
                <w:szCs w:val="18"/>
              </w:rPr>
              <w:t>Nominal</w:t>
            </w:r>
            <w:r w:rsidR="00C7511A" w:rsidRPr="00ED34E3">
              <w:rPr>
                <w:b/>
                <w:bCs/>
                <w:color w:val="F8F8F8"/>
                <w:sz w:val="18"/>
                <w:szCs w:val="18"/>
              </w:rPr>
              <w:t xml:space="preserve"> GDP</w:t>
            </w:r>
          </w:p>
        </w:tc>
        <w:tc>
          <w:tcPr>
            <w:tcW w:w="567" w:type="pct"/>
            <w:shd w:val="clear" w:color="auto" w:fill="005B72"/>
            <w:vAlign w:val="center"/>
          </w:tcPr>
          <w:p w14:paraId="278E21FE" w14:textId="77777777" w:rsidR="00C7511A" w:rsidRPr="00ED34E3" w:rsidRDefault="00C7511A" w:rsidP="00662938">
            <w:pPr>
              <w:spacing w:line="240" w:lineRule="auto"/>
              <w:jc w:val="center"/>
              <w:rPr>
                <w:rFonts w:eastAsia="Arial"/>
                <w:b/>
                <w:bCs/>
                <w:color w:val="F8F8F8"/>
                <w:sz w:val="18"/>
                <w:szCs w:val="18"/>
              </w:rPr>
            </w:pPr>
            <w:r w:rsidRPr="00ED34E3">
              <w:rPr>
                <w:rFonts w:eastAsia="Arial"/>
                <w:b/>
                <w:bCs/>
                <w:color w:val="F8F8F8"/>
                <w:sz w:val="18"/>
                <w:szCs w:val="18"/>
              </w:rPr>
              <w:t>CY 19</w:t>
            </w:r>
          </w:p>
        </w:tc>
        <w:tc>
          <w:tcPr>
            <w:tcW w:w="567" w:type="pct"/>
            <w:shd w:val="clear" w:color="auto" w:fill="005B72"/>
            <w:vAlign w:val="center"/>
          </w:tcPr>
          <w:p w14:paraId="12BAD07D" w14:textId="77777777" w:rsidR="00C7511A" w:rsidRPr="00ED34E3" w:rsidRDefault="00C7511A" w:rsidP="00662938">
            <w:pPr>
              <w:spacing w:line="240" w:lineRule="auto"/>
              <w:jc w:val="center"/>
              <w:rPr>
                <w:b/>
                <w:bCs/>
                <w:color w:val="FFFFFF" w:themeColor="background1"/>
              </w:rPr>
            </w:pPr>
            <w:r w:rsidRPr="00ED34E3">
              <w:rPr>
                <w:rFonts w:eastAsia="Arial"/>
                <w:b/>
                <w:bCs/>
                <w:color w:val="F8F8F8"/>
                <w:sz w:val="18"/>
                <w:szCs w:val="18"/>
              </w:rPr>
              <w:t>CY20</w:t>
            </w:r>
          </w:p>
        </w:tc>
        <w:tc>
          <w:tcPr>
            <w:tcW w:w="567" w:type="pct"/>
            <w:shd w:val="clear" w:color="auto" w:fill="005B72"/>
            <w:vAlign w:val="center"/>
          </w:tcPr>
          <w:p w14:paraId="23DCFC44" w14:textId="77777777" w:rsidR="00C7511A" w:rsidRPr="00ED34E3" w:rsidRDefault="00C7511A" w:rsidP="00662938">
            <w:pPr>
              <w:spacing w:line="240" w:lineRule="auto"/>
              <w:jc w:val="center"/>
              <w:rPr>
                <w:b/>
                <w:bCs/>
                <w:color w:val="FFFFFF" w:themeColor="background1"/>
              </w:rPr>
            </w:pPr>
            <w:r w:rsidRPr="00ED34E3">
              <w:rPr>
                <w:rFonts w:eastAsia="Arial"/>
                <w:b/>
                <w:bCs/>
                <w:color w:val="F8F8F8"/>
                <w:sz w:val="18"/>
                <w:szCs w:val="18"/>
              </w:rPr>
              <w:t>CY21</w:t>
            </w:r>
          </w:p>
        </w:tc>
        <w:tc>
          <w:tcPr>
            <w:tcW w:w="567" w:type="pct"/>
            <w:shd w:val="clear" w:color="auto" w:fill="005B72"/>
            <w:vAlign w:val="center"/>
          </w:tcPr>
          <w:p w14:paraId="6FC680A9" w14:textId="77777777" w:rsidR="00C7511A" w:rsidRPr="00ED34E3" w:rsidRDefault="00C7511A" w:rsidP="00662938">
            <w:pPr>
              <w:spacing w:line="240" w:lineRule="auto"/>
              <w:jc w:val="center"/>
              <w:rPr>
                <w:b/>
                <w:bCs/>
                <w:color w:val="FFFFFF" w:themeColor="background1"/>
              </w:rPr>
            </w:pPr>
            <w:r w:rsidRPr="00ED34E3">
              <w:rPr>
                <w:rFonts w:eastAsia="Arial"/>
                <w:b/>
                <w:bCs/>
                <w:color w:val="F8F8F8"/>
                <w:sz w:val="18"/>
                <w:szCs w:val="18"/>
              </w:rPr>
              <w:t>CY22</w:t>
            </w:r>
          </w:p>
        </w:tc>
        <w:tc>
          <w:tcPr>
            <w:tcW w:w="567" w:type="pct"/>
            <w:shd w:val="clear" w:color="auto" w:fill="005B72"/>
            <w:vAlign w:val="center"/>
          </w:tcPr>
          <w:p w14:paraId="2D42C9EF" w14:textId="77777777" w:rsidR="00C7511A" w:rsidRPr="00ED34E3" w:rsidRDefault="00C7511A" w:rsidP="00662938">
            <w:pPr>
              <w:spacing w:line="240" w:lineRule="auto"/>
              <w:jc w:val="center"/>
              <w:rPr>
                <w:b/>
                <w:bCs/>
                <w:color w:val="FFFFFF" w:themeColor="background1"/>
              </w:rPr>
            </w:pPr>
            <w:r w:rsidRPr="00ED34E3">
              <w:rPr>
                <w:rFonts w:eastAsia="Arial"/>
                <w:b/>
                <w:bCs/>
                <w:color w:val="F8F8F8"/>
                <w:sz w:val="18"/>
                <w:szCs w:val="18"/>
              </w:rPr>
              <w:t>CY23</w:t>
            </w:r>
          </w:p>
        </w:tc>
        <w:tc>
          <w:tcPr>
            <w:tcW w:w="567" w:type="pct"/>
            <w:shd w:val="clear" w:color="auto" w:fill="005B72"/>
            <w:vAlign w:val="center"/>
          </w:tcPr>
          <w:p w14:paraId="76499715" w14:textId="77777777" w:rsidR="00C7511A" w:rsidRPr="00ED34E3" w:rsidRDefault="00C7511A" w:rsidP="00662938">
            <w:pPr>
              <w:spacing w:line="240" w:lineRule="auto"/>
              <w:jc w:val="center"/>
              <w:rPr>
                <w:b/>
                <w:bCs/>
                <w:color w:val="FFFFFF" w:themeColor="background1"/>
              </w:rPr>
            </w:pPr>
            <w:r w:rsidRPr="00ED34E3">
              <w:rPr>
                <w:rFonts w:eastAsia="Arial"/>
                <w:b/>
                <w:bCs/>
                <w:color w:val="F8F8F8"/>
                <w:sz w:val="18"/>
                <w:szCs w:val="18"/>
              </w:rPr>
              <w:t>CY24</w:t>
            </w:r>
          </w:p>
        </w:tc>
        <w:tc>
          <w:tcPr>
            <w:tcW w:w="567" w:type="pct"/>
            <w:shd w:val="clear" w:color="auto" w:fill="005B72"/>
            <w:vAlign w:val="center"/>
          </w:tcPr>
          <w:p w14:paraId="003608DA" w14:textId="05D147DA" w:rsidR="00C7511A" w:rsidRPr="00ED34E3" w:rsidRDefault="00C7511A" w:rsidP="00662938">
            <w:pPr>
              <w:spacing w:line="240" w:lineRule="auto"/>
              <w:jc w:val="center"/>
              <w:rPr>
                <w:b/>
                <w:bCs/>
                <w:color w:val="FFFFFF" w:themeColor="background1"/>
              </w:rPr>
            </w:pPr>
            <w:r w:rsidRPr="00ED34E3">
              <w:rPr>
                <w:rFonts w:eastAsia="Arial"/>
                <w:b/>
                <w:bCs/>
                <w:color w:val="F8F8F8"/>
                <w:sz w:val="18"/>
                <w:szCs w:val="18"/>
              </w:rPr>
              <w:t>5Y-CAGR</w:t>
            </w:r>
          </w:p>
        </w:tc>
      </w:tr>
      <w:tr w:rsidR="00616C4F" w:rsidRPr="00ED34E3" w14:paraId="6CFB4F0B" w14:textId="77777777" w:rsidTr="00662938">
        <w:trPr>
          <w:trHeight w:val="432"/>
        </w:trPr>
        <w:tc>
          <w:tcPr>
            <w:tcW w:w="1029" w:type="pct"/>
            <w:vAlign w:val="center"/>
          </w:tcPr>
          <w:p w14:paraId="3E377728" w14:textId="77777777" w:rsidR="00616C4F" w:rsidRPr="00D3306B" w:rsidRDefault="00616C4F" w:rsidP="00662938">
            <w:pPr>
              <w:spacing w:line="240" w:lineRule="auto"/>
              <w:contextualSpacing/>
              <w:jc w:val="left"/>
              <w:rPr>
                <w:sz w:val="18"/>
                <w:szCs w:val="18"/>
              </w:rPr>
            </w:pPr>
            <w:r w:rsidRPr="00D3306B">
              <w:rPr>
                <w:sz w:val="18"/>
                <w:szCs w:val="18"/>
              </w:rPr>
              <w:t>World</w:t>
            </w:r>
          </w:p>
        </w:tc>
        <w:tc>
          <w:tcPr>
            <w:tcW w:w="567" w:type="pct"/>
            <w:vAlign w:val="center"/>
          </w:tcPr>
          <w:p w14:paraId="70E30F9F" w14:textId="65ABB251"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1.4%</w:t>
            </w:r>
          </w:p>
        </w:tc>
        <w:tc>
          <w:tcPr>
            <w:tcW w:w="567" w:type="pct"/>
            <w:vAlign w:val="center"/>
          </w:tcPr>
          <w:p w14:paraId="51DB3BA6" w14:textId="0F5E9FD5"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-2.6%</w:t>
            </w:r>
          </w:p>
        </w:tc>
        <w:tc>
          <w:tcPr>
            <w:tcW w:w="567" w:type="pct"/>
            <w:vAlign w:val="center"/>
          </w:tcPr>
          <w:p w14:paraId="628C36EE" w14:textId="2590B6BC"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14.1%</w:t>
            </w:r>
          </w:p>
        </w:tc>
        <w:tc>
          <w:tcPr>
            <w:tcW w:w="567" w:type="pct"/>
            <w:vAlign w:val="center"/>
          </w:tcPr>
          <w:p w14:paraId="38242A51" w14:textId="2D02B999"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4.2%</w:t>
            </w:r>
          </w:p>
        </w:tc>
        <w:tc>
          <w:tcPr>
            <w:tcW w:w="567" w:type="pct"/>
            <w:vAlign w:val="center"/>
          </w:tcPr>
          <w:p w14:paraId="5E7847CE" w14:textId="2519E708"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4.4%</w:t>
            </w:r>
          </w:p>
        </w:tc>
        <w:tc>
          <w:tcPr>
            <w:tcW w:w="567" w:type="pct"/>
            <w:vAlign w:val="center"/>
          </w:tcPr>
          <w:p w14:paraId="476796A2" w14:textId="1D2140C1"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3.9%</w:t>
            </w:r>
          </w:p>
        </w:tc>
        <w:tc>
          <w:tcPr>
            <w:tcW w:w="567" w:type="pct"/>
            <w:vAlign w:val="center"/>
          </w:tcPr>
          <w:p w14:paraId="6C0A94CC" w14:textId="706390FB" w:rsidR="00616C4F" w:rsidRPr="00D3306B" w:rsidRDefault="00616C4F" w:rsidP="00662938">
            <w:pPr>
              <w:spacing w:line="240" w:lineRule="auto"/>
              <w:contextualSpacing/>
              <w:jc w:val="center"/>
              <w:rPr>
                <w:rFonts w:eastAsia="Arial"/>
                <w:sz w:val="18"/>
                <w:szCs w:val="18"/>
              </w:rPr>
            </w:pPr>
            <w:r w:rsidRPr="00D3306B">
              <w:rPr>
                <w:rFonts w:eastAsia="Arial"/>
                <w:sz w:val="18"/>
                <w:szCs w:val="18"/>
              </w:rPr>
              <w:t>4.</w:t>
            </w:r>
            <w:r w:rsidR="00923F72" w:rsidRPr="00D3306B">
              <w:rPr>
                <w:rFonts w:eastAsia="Arial"/>
                <w:sz w:val="18"/>
                <w:szCs w:val="18"/>
              </w:rPr>
              <w:t>7</w:t>
            </w:r>
            <w:r w:rsidRPr="00D3306B">
              <w:rPr>
                <w:rFonts w:eastAsia="Arial"/>
                <w:sz w:val="18"/>
                <w:szCs w:val="18"/>
              </w:rPr>
              <w:t>%</w:t>
            </w:r>
          </w:p>
        </w:tc>
      </w:tr>
      <w:tr w:rsidR="003B2780" w:rsidRPr="00ED34E3" w14:paraId="2E04D2F4" w14:textId="77777777" w:rsidTr="00662938">
        <w:trPr>
          <w:trHeight w:val="432"/>
        </w:trPr>
        <w:tc>
          <w:tcPr>
            <w:tcW w:w="1029" w:type="pct"/>
            <w:vAlign w:val="center"/>
          </w:tcPr>
          <w:p w14:paraId="0014396F" w14:textId="77777777" w:rsidR="003B2780" w:rsidRPr="00D3306B" w:rsidRDefault="003B2780" w:rsidP="00662938">
            <w:pPr>
              <w:spacing w:line="240" w:lineRule="auto"/>
              <w:contextualSpacing/>
              <w:jc w:val="left"/>
              <w:rPr>
                <w:sz w:val="18"/>
                <w:szCs w:val="18"/>
              </w:rPr>
            </w:pPr>
            <w:r w:rsidRPr="00D3306B">
              <w:rPr>
                <w:sz w:val="18"/>
                <w:szCs w:val="18"/>
              </w:rPr>
              <w:t>US</w:t>
            </w:r>
          </w:p>
        </w:tc>
        <w:tc>
          <w:tcPr>
            <w:tcW w:w="567" w:type="pct"/>
            <w:vAlign w:val="center"/>
          </w:tcPr>
          <w:p w14:paraId="22EC021C" w14:textId="1901E41C"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4.3%</w:t>
            </w:r>
          </w:p>
        </w:tc>
        <w:tc>
          <w:tcPr>
            <w:tcW w:w="567" w:type="pct"/>
            <w:vAlign w:val="center"/>
          </w:tcPr>
          <w:p w14:paraId="5319BB26" w14:textId="1AB731B2"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-0.9%</w:t>
            </w:r>
          </w:p>
        </w:tc>
        <w:tc>
          <w:tcPr>
            <w:tcW w:w="567" w:type="pct"/>
            <w:vAlign w:val="center"/>
          </w:tcPr>
          <w:p w14:paraId="1D2D7327" w14:textId="1CDB5F20"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10.9%</w:t>
            </w:r>
          </w:p>
        </w:tc>
        <w:tc>
          <w:tcPr>
            <w:tcW w:w="567" w:type="pct"/>
            <w:vAlign w:val="center"/>
          </w:tcPr>
          <w:p w14:paraId="73A76A8B" w14:textId="0B16150C"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9.8%</w:t>
            </w:r>
          </w:p>
        </w:tc>
        <w:tc>
          <w:tcPr>
            <w:tcW w:w="567" w:type="pct"/>
            <w:vAlign w:val="center"/>
          </w:tcPr>
          <w:p w14:paraId="78AF4C5B" w14:textId="4600F25F"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6.6%</w:t>
            </w:r>
          </w:p>
        </w:tc>
        <w:tc>
          <w:tcPr>
            <w:tcW w:w="567" w:type="pct"/>
            <w:vAlign w:val="center"/>
          </w:tcPr>
          <w:p w14:paraId="7811349E" w14:textId="30D9ABA7"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5.3%</w:t>
            </w:r>
          </w:p>
        </w:tc>
        <w:tc>
          <w:tcPr>
            <w:tcW w:w="567" w:type="pct"/>
            <w:vAlign w:val="center"/>
          </w:tcPr>
          <w:p w14:paraId="471C9173" w14:textId="77777777" w:rsidR="003B2780" w:rsidRPr="00D3306B" w:rsidRDefault="003B2780" w:rsidP="00662938">
            <w:pPr>
              <w:spacing w:line="240" w:lineRule="auto"/>
              <w:contextualSpacing/>
              <w:jc w:val="center"/>
              <w:rPr>
                <w:rFonts w:eastAsia="Arial"/>
                <w:sz w:val="18"/>
                <w:szCs w:val="18"/>
              </w:rPr>
            </w:pPr>
            <w:r w:rsidRPr="00D3306B">
              <w:rPr>
                <w:rFonts w:eastAsia="Arial"/>
                <w:sz w:val="18"/>
                <w:szCs w:val="18"/>
              </w:rPr>
              <w:t>6.3%</w:t>
            </w:r>
          </w:p>
        </w:tc>
      </w:tr>
      <w:tr w:rsidR="002C0E95" w:rsidRPr="00ED34E3" w14:paraId="07E7C3C4" w14:textId="77777777" w:rsidTr="00662938">
        <w:trPr>
          <w:trHeight w:val="432"/>
        </w:trPr>
        <w:tc>
          <w:tcPr>
            <w:tcW w:w="1029" w:type="pct"/>
            <w:vAlign w:val="center"/>
          </w:tcPr>
          <w:p w14:paraId="0A1D9CE1" w14:textId="77777777" w:rsidR="002C0E95" w:rsidRPr="00D3306B" w:rsidRDefault="002C0E95" w:rsidP="00662938">
            <w:pPr>
              <w:spacing w:line="240" w:lineRule="auto"/>
              <w:contextualSpacing/>
              <w:jc w:val="left"/>
              <w:rPr>
                <w:sz w:val="18"/>
                <w:szCs w:val="18"/>
              </w:rPr>
            </w:pPr>
            <w:r w:rsidRPr="00D3306B">
              <w:rPr>
                <w:sz w:val="18"/>
                <w:szCs w:val="18"/>
              </w:rPr>
              <w:t>China*</w:t>
            </w:r>
          </w:p>
        </w:tc>
        <w:tc>
          <w:tcPr>
            <w:tcW w:w="567" w:type="pct"/>
            <w:vAlign w:val="center"/>
          </w:tcPr>
          <w:p w14:paraId="2D182D18" w14:textId="404C1DDA"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3.3%</w:t>
            </w:r>
          </w:p>
        </w:tc>
        <w:tc>
          <w:tcPr>
            <w:tcW w:w="567" w:type="pct"/>
            <w:vAlign w:val="center"/>
          </w:tcPr>
          <w:p w14:paraId="1386C4E4" w14:textId="0B2B3056"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3.6%</w:t>
            </w:r>
          </w:p>
        </w:tc>
        <w:tc>
          <w:tcPr>
            <w:tcW w:w="567" w:type="pct"/>
            <w:vAlign w:val="center"/>
          </w:tcPr>
          <w:p w14:paraId="343C2A22" w14:textId="35C041A6"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20.4%</w:t>
            </w:r>
          </w:p>
        </w:tc>
        <w:tc>
          <w:tcPr>
            <w:tcW w:w="567" w:type="pct"/>
            <w:vAlign w:val="center"/>
          </w:tcPr>
          <w:p w14:paraId="032922E3" w14:textId="31C67579"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0.6%</w:t>
            </w:r>
          </w:p>
        </w:tc>
        <w:tc>
          <w:tcPr>
            <w:tcW w:w="567" w:type="pct"/>
            <w:vAlign w:val="center"/>
          </w:tcPr>
          <w:p w14:paraId="5C2C0B58" w14:textId="6F46B94B"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-0.2%</w:t>
            </w:r>
          </w:p>
        </w:tc>
        <w:tc>
          <w:tcPr>
            <w:tcW w:w="567" w:type="pct"/>
            <w:vAlign w:val="center"/>
          </w:tcPr>
          <w:p w14:paraId="20BC279C" w14:textId="250B7A80"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2.6%</w:t>
            </w:r>
          </w:p>
        </w:tc>
        <w:tc>
          <w:tcPr>
            <w:tcW w:w="567" w:type="pct"/>
            <w:vAlign w:val="center"/>
          </w:tcPr>
          <w:p w14:paraId="6D4840B8" w14:textId="48256AB6" w:rsidR="002C0E95" w:rsidRPr="00D3306B" w:rsidRDefault="002C0E95" w:rsidP="00662938">
            <w:pPr>
              <w:spacing w:line="240" w:lineRule="auto"/>
              <w:contextualSpacing/>
              <w:jc w:val="center"/>
              <w:rPr>
                <w:rFonts w:eastAsia="Arial"/>
                <w:sz w:val="18"/>
                <w:szCs w:val="18"/>
              </w:rPr>
            </w:pPr>
            <w:r w:rsidRPr="00D3306B">
              <w:rPr>
                <w:rFonts w:eastAsia="Arial"/>
                <w:sz w:val="18"/>
                <w:szCs w:val="18"/>
              </w:rPr>
              <w:t>5.</w:t>
            </w:r>
            <w:r w:rsidR="004F1399" w:rsidRPr="00D3306B">
              <w:rPr>
                <w:rFonts w:eastAsia="Arial"/>
                <w:sz w:val="18"/>
                <w:szCs w:val="18"/>
              </w:rPr>
              <w:t>2</w:t>
            </w:r>
            <w:r w:rsidRPr="00D3306B">
              <w:rPr>
                <w:rFonts w:eastAsia="Arial"/>
                <w:sz w:val="18"/>
                <w:szCs w:val="18"/>
              </w:rPr>
              <w:t>%</w:t>
            </w:r>
          </w:p>
        </w:tc>
      </w:tr>
      <w:tr w:rsidR="00E05F86" w:rsidRPr="00ED34E3" w14:paraId="3B59765A" w14:textId="77777777" w:rsidTr="00662938">
        <w:trPr>
          <w:trHeight w:val="432"/>
        </w:trPr>
        <w:tc>
          <w:tcPr>
            <w:tcW w:w="1029" w:type="pct"/>
            <w:vAlign w:val="center"/>
          </w:tcPr>
          <w:p w14:paraId="614DDF7D" w14:textId="77777777" w:rsidR="00E05F86" w:rsidRPr="00D3306B" w:rsidRDefault="00E05F86" w:rsidP="00662938">
            <w:pPr>
              <w:spacing w:line="240" w:lineRule="auto"/>
              <w:contextualSpacing/>
              <w:jc w:val="left"/>
              <w:rPr>
                <w:sz w:val="18"/>
                <w:szCs w:val="18"/>
              </w:rPr>
            </w:pPr>
            <w:r w:rsidRPr="00D3306B">
              <w:rPr>
                <w:sz w:val="18"/>
                <w:szCs w:val="18"/>
              </w:rPr>
              <w:t>Euro area</w:t>
            </w:r>
          </w:p>
        </w:tc>
        <w:tc>
          <w:tcPr>
            <w:tcW w:w="567" w:type="pct"/>
            <w:vAlign w:val="center"/>
          </w:tcPr>
          <w:p w14:paraId="03839B7A" w14:textId="0B182DC7"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-2.1%</w:t>
            </w:r>
          </w:p>
        </w:tc>
        <w:tc>
          <w:tcPr>
            <w:tcW w:w="567" w:type="pct"/>
            <w:vAlign w:val="center"/>
          </w:tcPr>
          <w:p w14:paraId="6AF03B5C" w14:textId="6DF9016E"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-2.5%</w:t>
            </w:r>
          </w:p>
        </w:tc>
        <w:tc>
          <w:tcPr>
            <w:tcW w:w="567" w:type="pct"/>
            <w:vAlign w:val="center"/>
          </w:tcPr>
          <w:p w14:paraId="1D22206D" w14:textId="41D1D90B"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12.6%</w:t>
            </w:r>
          </w:p>
        </w:tc>
        <w:tc>
          <w:tcPr>
            <w:tcW w:w="567" w:type="pct"/>
            <w:vAlign w:val="center"/>
          </w:tcPr>
          <w:p w14:paraId="4142AD92" w14:textId="17AB0E45"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-3.1%</w:t>
            </w:r>
          </w:p>
        </w:tc>
        <w:tc>
          <w:tcPr>
            <w:tcW w:w="567" w:type="pct"/>
            <w:vAlign w:val="center"/>
          </w:tcPr>
          <w:p w14:paraId="360987D1" w14:textId="328B7909"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9.2%</w:t>
            </w:r>
          </w:p>
        </w:tc>
        <w:tc>
          <w:tcPr>
            <w:tcW w:w="567" w:type="pct"/>
            <w:vAlign w:val="center"/>
          </w:tcPr>
          <w:p w14:paraId="26AC253C" w14:textId="76BFCD14"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3.8%</w:t>
            </w:r>
          </w:p>
        </w:tc>
        <w:tc>
          <w:tcPr>
            <w:tcW w:w="567" w:type="pct"/>
            <w:vAlign w:val="center"/>
          </w:tcPr>
          <w:p w14:paraId="351D2D23" w14:textId="77777777" w:rsidR="00E05F86" w:rsidRPr="00D3306B" w:rsidRDefault="00E05F86" w:rsidP="00662938">
            <w:pPr>
              <w:spacing w:line="240" w:lineRule="auto"/>
              <w:contextualSpacing/>
              <w:jc w:val="center"/>
              <w:rPr>
                <w:rFonts w:eastAsia="Arial"/>
                <w:sz w:val="18"/>
                <w:szCs w:val="18"/>
              </w:rPr>
            </w:pPr>
            <w:r w:rsidRPr="00D3306B">
              <w:rPr>
                <w:rFonts w:eastAsia="Arial"/>
                <w:sz w:val="18"/>
                <w:szCs w:val="18"/>
              </w:rPr>
              <w:t>3.8%</w:t>
            </w:r>
          </w:p>
        </w:tc>
      </w:tr>
      <w:tr w:rsidR="00874001" w:rsidRPr="00ED34E3" w14:paraId="1E49F207" w14:textId="77777777" w:rsidTr="00662938">
        <w:trPr>
          <w:trHeight w:val="432"/>
        </w:trPr>
        <w:tc>
          <w:tcPr>
            <w:tcW w:w="1029" w:type="pct"/>
            <w:vAlign w:val="center"/>
          </w:tcPr>
          <w:p w14:paraId="721E1DFA" w14:textId="77777777" w:rsidR="00874001" w:rsidRPr="00D3306B" w:rsidRDefault="00874001" w:rsidP="00662938">
            <w:pPr>
              <w:spacing w:line="240" w:lineRule="auto"/>
              <w:contextualSpacing/>
              <w:jc w:val="left"/>
              <w:rPr>
                <w:sz w:val="18"/>
                <w:szCs w:val="18"/>
              </w:rPr>
            </w:pPr>
            <w:r w:rsidRPr="00D3306B">
              <w:rPr>
                <w:sz w:val="18"/>
                <w:szCs w:val="18"/>
              </w:rPr>
              <w:t>Japan</w:t>
            </w:r>
          </w:p>
        </w:tc>
        <w:tc>
          <w:tcPr>
            <w:tcW w:w="567" w:type="pct"/>
            <w:vAlign w:val="center"/>
          </w:tcPr>
          <w:p w14:paraId="0871045F" w14:textId="43CFEB2E"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1.5%</w:t>
            </w:r>
          </w:p>
        </w:tc>
        <w:tc>
          <w:tcPr>
            <w:tcW w:w="567" w:type="pct"/>
            <w:vAlign w:val="center"/>
          </w:tcPr>
          <w:p w14:paraId="72C1706C" w14:textId="739997E2"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-1.2%</w:t>
            </w:r>
          </w:p>
        </w:tc>
        <w:tc>
          <w:tcPr>
            <w:tcW w:w="567" w:type="pct"/>
            <w:vAlign w:val="center"/>
          </w:tcPr>
          <w:p w14:paraId="0202DD1E" w14:textId="3F2EADA4"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-0.3%</w:t>
            </w:r>
          </w:p>
        </w:tc>
        <w:tc>
          <w:tcPr>
            <w:tcW w:w="567" w:type="pct"/>
            <w:vAlign w:val="center"/>
          </w:tcPr>
          <w:p w14:paraId="42E9815E" w14:textId="2908F6A4"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-15.4%</w:t>
            </w:r>
          </w:p>
        </w:tc>
        <w:tc>
          <w:tcPr>
            <w:tcW w:w="567" w:type="pct"/>
            <w:vAlign w:val="center"/>
          </w:tcPr>
          <w:p w14:paraId="1314D935" w14:textId="63CFED75"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-1.1%</w:t>
            </w:r>
          </w:p>
        </w:tc>
        <w:tc>
          <w:tcPr>
            <w:tcW w:w="567" w:type="pct"/>
            <w:vAlign w:val="center"/>
          </w:tcPr>
          <w:p w14:paraId="21DD7982" w14:textId="2DF78D77"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-4.4%</w:t>
            </w:r>
          </w:p>
        </w:tc>
        <w:tc>
          <w:tcPr>
            <w:tcW w:w="567" w:type="pct"/>
            <w:vAlign w:val="center"/>
          </w:tcPr>
          <w:p w14:paraId="488B2CFE" w14:textId="732D09A7"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-4.</w:t>
            </w:r>
            <w:r w:rsidR="003B2780" w:rsidRPr="00D3306B">
              <w:rPr>
                <w:rFonts w:eastAsia="Arial"/>
                <w:sz w:val="18"/>
                <w:szCs w:val="18"/>
              </w:rPr>
              <w:t>7</w:t>
            </w:r>
            <w:r w:rsidRPr="00D3306B">
              <w:rPr>
                <w:rFonts w:eastAsia="Arial"/>
                <w:sz w:val="18"/>
                <w:szCs w:val="18"/>
              </w:rPr>
              <w:t>%</w:t>
            </w:r>
          </w:p>
        </w:tc>
      </w:tr>
      <w:tr w:rsidR="00874001" w:rsidRPr="00ED34E3" w14:paraId="54BE2B68" w14:textId="77777777" w:rsidTr="00662938">
        <w:trPr>
          <w:trHeight w:val="432"/>
        </w:trPr>
        <w:tc>
          <w:tcPr>
            <w:tcW w:w="1029" w:type="pct"/>
            <w:vAlign w:val="center"/>
          </w:tcPr>
          <w:p w14:paraId="15D6C3A6" w14:textId="77777777" w:rsidR="00874001" w:rsidRPr="00D3306B" w:rsidRDefault="00874001" w:rsidP="00662938">
            <w:pPr>
              <w:spacing w:line="240" w:lineRule="auto"/>
              <w:contextualSpacing/>
              <w:jc w:val="left"/>
              <w:rPr>
                <w:sz w:val="18"/>
                <w:szCs w:val="18"/>
              </w:rPr>
            </w:pPr>
            <w:r w:rsidRPr="00D3306B">
              <w:rPr>
                <w:sz w:val="18"/>
                <w:szCs w:val="18"/>
              </w:rPr>
              <w:t>United Kingdom (UK)</w:t>
            </w:r>
          </w:p>
        </w:tc>
        <w:tc>
          <w:tcPr>
            <w:tcW w:w="567" w:type="pct"/>
            <w:vAlign w:val="center"/>
          </w:tcPr>
          <w:p w14:paraId="6B1C6742" w14:textId="0F529B7A"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-0.8%</w:t>
            </w:r>
          </w:p>
        </w:tc>
        <w:tc>
          <w:tcPr>
            <w:tcW w:w="567" w:type="pct"/>
            <w:vAlign w:val="center"/>
          </w:tcPr>
          <w:p w14:paraId="3BB23268" w14:textId="360ADC07"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-5.4%</w:t>
            </w:r>
          </w:p>
        </w:tc>
        <w:tc>
          <w:tcPr>
            <w:tcW w:w="567" w:type="pct"/>
            <w:vAlign w:val="center"/>
          </w:tcPr>
          <w:p w14:paraId="3E449B1F" w14:textId="1330EE74"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16.5%</w:t>
            </w:r>
          </w:p>
        </w:tc>
        <w:tc>
          <w:tcPr>
            <w:tcW w:w="567" w:type="pct"/>
            <w:vAlign w:val="center"/>
          </w:tcPr>
          <w:p w14:paraId="68FFB7D8" w14:textId="3081B05D"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-0.6%</w:t>
            </w:r>
          </w:p>
        </w:tc>
        <w:tc>
          <w:tcPr>
            <w:tcW w:w="567" w:type="pct"/>
            <w:vAlign w:val="center"/>
          </w:tcPr>
          <w:p w14:paraId="353CD387" w14:textId="102E9B2F"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7.9%</w:t>
            </w:r>
          </w:p>
        </w:tc>
        <w:tc>
          <w:tcPr>
            <w:tcW w:w="567" w:type="pct"/>
            <w:vAlign w:val="center"/>
          </w:tcPr>
          <w:p w14:paraId="798BB7C2" w14:textId="20FEB21B" w:rsidR="00874001" w:rsidRPr="00D3306B" w:rsidRDefault="00874001" w:rsidP="00662938">
            <w:pPr>
              <w:spacing w:line="240" w:lineRule="auto"/>
              <w:contextualSpacing/>
              <w:jc w:val="center"/>
              <w:rPr>
                <w:rFonts w:eastAsia="Arial"/>
                <w:sz w:val="18"/>
                <w:szCs w:val="18"/>
              </w:rPr>
            </w:pPr>
            <w:r w:rsidRPr="00D3306B">
              <w:rPr>
                <w:rFonts w:eastAsia="Arial"/>
                <w:sz w:val="18"/>
                <w:szCs w:val="18"/>
              </w:rPr>
              <w:t>8.1%</w:t>
            </w:r>
          </w:p>
        </w:tc>
        <w:tc>
          <w:tcPr>
            <w:tcW w:w="567" w:type="pct"/>
            <w:vAlign w:val="center"/>
          </w:tcPr>
          <w:p w14:paraId="001585E4" w14:textId="5196EB1D" w:rsidR="00874001" w:rsidRPr="00D3306B" w:rsidRDefault="003B2780" w:rsidP="00662938">
            <w:pPr>
              <w:spacing w:line="240" w:lineRule="auto"/>
              <w:contextualSpacing/>
              <w:jc w:val="center"/>
              <w:rPr>
                <w:rFonts w:eastAsia="Arial"/>
                <w:sz w:val="18"/>
                <w:szCs w:val="18"/>
              </w:rPr>
            </w:pPr>
            <w:r w:rsidRPr="00D3306B">
              <w:rPr>
                <w:rFonts w:eastAsia="Arial"/>
                <w:sz w:val="18"/>
                <w:szCs w:val="18"/>
              </w:rPr>
              <w:t>5.0</w:t>
            </w:r>
            <w:r w:rsidR="00874001" w:rsidRPr="00D3306B">
              <w:rPr>
                <w:rFonts w:eastAsia="Arial"/>
                <w:sz w:val="18"/>
                <w:szCs w:val="18"/>
              </w:rPr>
              <w:t>%</w:t>
            </w:r>
          </w:p>
        </w:tc>
      </w:tr>
      <w:tr w:rsidR="00C141D6" w:rsidRPr="00ED34E3" w14:paraId="706B250B" w14:textId="77777777" w:rsidTr="00662938">
        <w:trPr>
          <w:trHeight w:val="432"/>
        </w:trPr>
        <w:tc>
          <w:tcPr>
            <w:tcW w:w="1029" w:type="pct"/>
            <w:shd w:val="clear" w:color="auto" w:fill="D0D2D3"/>
            <w:vAlign w:val="center"/>
          </w:tcPr>
          <w:p w14:paraId="1E941BBD" w14:textId="77777777" w:rsidR="00C141D6" w:rsidRPr="00D3306B" w:rsidRDefault="00C141D6" w:rsidP="00662938">
            <w:pPr>
              <w:spacing w:line="240" w:lineRule="auto"/>
              <w:contextualSpacing/>
              <w:jc w:val="left"/>
              <w:rPr>
                <w:sz w:val="18"/>
                <w:szCs w:val="18"/>
              </w:rPr>
            </w:pPr>
            <w:r w:rsidRPr="00D3306B">
              <w:rPr>
                <w:sz w:val="18"/>
                <w:szCs w:val="18"/>
              </w:rPr>
              <w:t>India*</w:t>
            </w:r>
          </w:p>
        </w:tc>
        <w:tc>
          <w:tcPr>
            <w:tcW w:w="567" w:type="pct"/>
            <w:shd w:val="clear" w:color="auto" w:fill="D0D2D3"/>
            <w:vAlign w:val="center"/>
          </w:tcPr>
          <w:p w14:paraId="32F8D271" w14:textId="239C34BC"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4.9%</w:t>
            </w:r>
          </w:p>
        </w:tc>
        <w:tc>
          <w:tcPr>
            <w:tcW w:w="567" w:type="pct"/>
            <w:shd w:val="clear" w:color="auto" w:fill="D0D2D3"/>
            <w:vAlign w:val="center"/>
          </w:tcPr>
          <w:p w14:paraId="0EADF60C" w14:textId="229001C7"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-5.7%</w:t>
            </w:r>
          </w:p>
        </w:tc>
        <w:tc>
          <w:tcPr>
            <w:tcW w:w="567" w:type="pct"/>
            <w:shd w:val="clear" w:color="auto" w:fill="D0D2D3"/>
            <w:vAlign w:val="center"/>
          </w:tcPr>
          <w:p w14:paraId="42C4D84A" w14:textId="0097DE29"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18.4%</w:t>
            </w:r>
          </w:p>
        </w:tc>
        <w:tc>
          <w:tcPr>
            <w:tcW w:w="567" w:type="pct"/>
            <w:shd w:val="clear" w:color="auto" w:fill="D0D2D3"/>
            <w:vAlign w:val="center"/>
          </w:tcPr>
          <w:p w14:paraId="14AA75FD" w14:textId="729A518A"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5.6%</w:t>
            </w:r>
          </w:p>
        </w:tc>
        <w:tc>
          <w:tcPr>
            <w:tcW w:w="567" w:type="pct"/>
            <w:shd w:val="clear" w:color="auto" w:fill="D0D2D3"/>
            <w:vAlign w:val="center"/>
          </w:tcPr>
          <w:p w14:paraId="6A7D1BFC" w14:textId="4C3D99B7"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8.7%</w:t>
            </w:r>
          </w:p>
        </w:tc>
        <w:tc>
          <w:tcPr>
            <w:tcW w:w="567" w:type="pct"/>
            <w:shd w:val="clear" w:color="auto" w:fill="D0D2D3"/>
            <w:vAlign w:val="center"/>
          </w:tcPr>
          <w:p w14:paraId="5CA791C6" w14:textId="71AFBC1A"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7.4%</w:t>
            </w:r>
          </w:p>
        </w:tc>
        <w:tc>
          <w:tcPr>
            <w:tcW w:w="567" w:type="pct"/>
            <w:shd w:val="clear" w:color="auto" w:fill="D0D2D3"/>
            <w:vAlign w:val="center"/>
          </w:tcPr>
          <w:p w14:paraId="2390431B" w14:textId="2FCA8A40" w:rsidR="00C141D6" w:rsidRPr="00D3306B" w:rsidRDefault="00C141D6" w:rsidP="00662938">
            <w:pPr>
              <w:spacing w:line="240" w:lineRule="auto"/>
              <w:contextualSpacing/>
              <w:jc w:val="center"/>
              <w:rPr>
                <w:rFonts w:eastAsia="Arial"/>
                <w:b/>
                <w:bCs/>
                <w:sz w:val="18"/>
                <w:szCs w:val="18"/>
              </w:rPr>
            </w:pPr>
            <w:r w:rsidRPr="00D3306B">
              <w:rPr>
                <w:rFonts w:eastAsia="Arial"/>
                <w:b/>
                <w:bCs/>
                <w:sz w:val="18"/>
                <w:szCs w:val="18"/>
              </w:rPr>
              <w:t>6.</w:t>
            </w:r>
            <w:r w:rsidR="004F1399" w:rsidRPr="00D3306B">
              <w:rPr>
                <w:rFonts w:eastAsia="Arial"/>
                <w:b/>
                <w:bCs/>
                <w:sz w:val="18"/>
                <w:szCs w:val="18"/>
              </w:rPr>
              <w:t>6</w:t>
            </w:r>
            <w:r w:rsidRPr="00D3306B">
              <w:rPr>
                <w:rFonts w:eastAsia="Arial"/>
                <w:b/>
                <w:bCs/>
                <w:sz w:val="18"/>
                <w:szCs w:val="18"/>
              </w:rPr>
              <w:t>%</w:t>
            </w:r>
          </w:p>
        </w:tc>
      </w:tr>
    </w:tbl>
    <w:p w14:paraId="597906B7" w14:textId="77777777" w:rsidR="00C7511A" w:rsidRPr="0079276D" w:rsidRDefault="00C7511A" w:rsidP="00C7511A">
      <w:pPr>
        <w:tabs>
          <w:tab w:val="center" w:pos="4680"/>
          <w:tab w:val="right" w:pos="9720"/>
        </w:tabs>
        <w:spacing w:line="240" w:lineRule="auto"/>
        <w:rPr>
          <w:rFonts w:eastAsiaTheme="minorEastAsia"/>
          <w:i/>
          <w:sz w:val="16"/>
          <w:szCs w:val="15"/>
        </w:rPr>
      </w:pPr>
      <w:r w:rsidRPr="0079276D">
        <w:rPr>
          <w:rFonts w:eastAsiaTheme="minorEastAsia"/>
          <w:i/>
          <w:sz w:val="16"/>
          <w:szCs w:val="15"/>
        </w:rPr>
        <w:t>Note: CY- Calendar Year</w:t>
      </w:r>
      <w:r>
        <w:rPr>
          <w:rFonts w:eastAsiaTheme="minorEastAsia"/>
          <w:i/>
          <w:sz w:val="16"/>
          <w:szCs w:val="15"/>
        </w:rPr>
        <w:t>, *Emerging Economies</w:t>
      </w:r>
    </w:p>
    <w:p w14:paraId="13036DBB" w14:textId="20E15952" w:rsidR="00C7511A" w:rsidRDefault="00C7511A" w:rsidP="00C7511A">
      <w:pPr>
        <w:tabs>
          <w:tab w:val="center" w:pos="4680"/>
          <w:tab w:val="right" w:pos="9720"/>
        </w:tabs>
        <w:spacing w:line="240" w:lineRule="auto"/>
        <w:rPr>
          <w:rFonts w:eastAsiaTheme="minorEastAsia"/>
          <w:i/>
          <w:sz w:val="16"/>
          <w:szCs w:val="15"/>
        </w:rPr>
      </w:pPr>
      <w:r w:rsidRPr="0079276D">
        <w:rPr>
          <w:rFonts w:eastAsiaTheme="minorEastAsia"/>
          <w:i/>
          <w:sz w:val="16"/>
          <w:szCs w:val="15"/>
        </w:rPr>
        <w:t>Source: IMF – World Economic Outlook (</w:t>
      </w:r>
      <w:r w:rsidR="00E05F86">
        <w:rPr>
          <w:rFonts w:eastAsiaTheme="minorEastAsia"/>
          <w:i/>
          <w:sz w:val="16"/>
          <w:szCs w:val="15"/>
        </w:rPr>
        <w:t>April</w:t>
      </w:r>
      <w:r w:rsidRPr="0079276D">
        <w:rPr>
          <w:rFonts w:eastAsiaTheme="minorEastAsia"/>
          <w:i/>
          <w:sz w:val="16"/>
          <w:szCs w:val="15"/>
        </w:rPr>
        <w:t xml:space="preserve"> 202</w:t>
      </w:r>
      <w:r w:rsidR="00E05F86">
        <w:rPr>
          <w:rFonts w:eastAsiaTheme="minorEastAsia"/>
          <w:i/>
          <w:sz w:val="16"/>
          <w:szCs w:val="15"/>
        </w:rPr>
        <w:t>5</w:t>
      </w:r>
      <w:r w:rsidRPr="0079276D">
        <w:rPr>
          <w:rFonts w:eastAsiaTheme="minorEastAsia"/>
          <w:i/>
          <w:sz w:val="16"/>
          <w:szCs w:val="15"/>
        </w:rPr>
        <w:t>)</w:t>
      </w:r>
    </w:p>
    <w:p w14:paraId="16C41E8B" w14:textId="629F045D" w:rsidR="00FD300E" w:rsidRPr="005F372B" w:rsidRDefault="00C17B94" w:rsidP="00C17B94">
      <w:pPr>
        <w:pStyle w:val="Heading30"/>
        <w:rPr>
          <w:rFonts w:eastAsiaTheme="minorEastAsia"/>
        </w:rPr>
      </w:pPr>
      <w:r>
        <w:rPr>
          <w:rFonts w:eastAsiaTheme="minorEastAsia"/>
        </w:rPr>
        <w:t>Real GDP</w:t>
      </w:r>
    </w:p>
    <w:p w14:paraId="05954AD8" w14:textId="5339D11D" w:rsidR="00C7511A" w:rsidRPr="00FA7DB7" w:rsidRDefault="00C7511A" w:rsidP="00C7511A">
      <w:pPr>
        <w:ind w:right="115"/>
        <w:rPr>
          <w:szCs w:val="20"/>
        </w:rPr>
      </w:pPr>
      <w:r w:rsidRPr="00FA7DB7">
        <w:rPr>
          <w:szCs w:val="20"/>
        </w:rPr>
        <w:t xml:space="preserve">As per the </w:t>
      </w:r>
      <w:r w:rsidRPr="00FA7DB7">
        <w:rPr>
          <w:i/>
          <w:iCs/>
          <w:szCs w:val="20"/>
        </w:rPr>
        <w:t>IMF’s World Economic Outlook (</w:t>
      </w:r>
      <w:r w:rsidR="00E05F86">
        <w:rPr>
          <w:i/>
          <w:iCs/>
          <w:szCs w:val="20"/>
        </w:rPr>
        <w:t>April</w:t>
      </w:r>
      <w:r w:rsidRPr="00FA7DB7">
        <w:rPr>
          <w:i/>
          <w:iCs/>
          <w:szCs w:val="20"/>
        </w:rPr>
        <w:t xml:space="preserve"> 202</w:t>
      </w:r>
      <w:r w:rsidR="00E05F86">
        <w:rPr>
          <w:i/>
          <w:iCs/>
          <w:szCs w:val="20"/>
        </w:rPr>
        <w:t>5</w:t>
      </w:r>
      <w:r w:rsidRPr="00FA7DB7">
        <w:rPr>
          <w:i/>
          <w:iCs/>
          <w:szCs w:val="20"/>
        </w:rPr>
        <w:t>)</w:t>
      </w:r>
      <w:r w:rsidRPr="00FA7DB7">
        <w:rPr>
          <w:szCs w:val="20"/>
        </w:rPr>
        <w:t>, real global GDP of world contracted 2.7% in pandemic year 2020, after that growing at 6.6% in 2021, 3.6% in 2022, 3.</w:t>
      </w:r>
      <w:r w:rsidR="00672AD0">
        <w:rPr>
          <w:szCs w:val="20"/>
        </w:rPr>
        <w:t>5</w:t>
      </w:r>
      <w:r w:rsidRPr="00FA7DB7">
        <w:rPr>
          <w:szCs w:val="20"/>
        </w:rPr>
        <w:t>% in 2023, and 3.</w:t>
      </w:r>
      <w:r w:rsidR="00672AD0">
        <w:rPr>
          <w:szCs w:val="20"/>
        </w:rPr>
        <w:t>3</w:t>
      </w:r>
      <w:r w:rsidRPr="00FA7DB7">
        <w:rPr>
          <w:szCs w:val="20"/>
        </w:rPr>
        <w:t xml:space="preserve">% in 2024. IMF forecasts global real GDP growth at </w:t>
      </w:r>
      <w:r w:rsidR="00C10461">
        <w:t xml:space="preserve">approximately </w:t>
      </w:r>
      <w:r w:rsidR="00672AD0">
        <w:rPr>
          <w:szCs w:val="20"/>
        </w:rPr>
        <w:t>2.8</w:t>
      </w:r>
      <w:r w:rsidRPr="00FA7DB7">
        <w:rPr>
          <w:szCs w:val="20"/>
        </w:rPr>
        <w:t>% in 2025 on account of greater-than-expected resilience in the US and several large emerging markets and developing economies, as well as fiscal support in China.</w:t>
      </w:r>
    </w:p>
    <w:p w14:paraId="4B6504E1" w14:textId="78B730D4" w:rsidR="00C7511A" w:rsidRPr="0079276D" w:rsidRDefault="00C7511A" w:rsidP="00C7511A">
      <w:pPr>
        <w:keepNext/>
        <w:keepLines/>
        <w:spacing w:line="276" w:lineRule="auto"/>
        <w:rPr>
          <w:rFonts w:eastAsia="Times New Roman" w:cs="Book Antiqua"/>
          <w:b/>
          <w:bCs/>
          <w:kern w:val="0"/>
          <w:szCs w:val="18"/>
          <w:lang w:val="en-GB" w:eastAsia="en-IN"/>
          <w14:ligatures w14:val="none"/>
        </w:rPr>
      </w:pPr>
      <w:bookmarkStart w:id="24" w:name="_Toc192073625"/>
      <w:bookmarkStart w:id="25" w:name="_Toc192153649"/>
      <w:bookmarkStart w:id="26" w:name="_Toc192195276"/>
      <w:bookmarkStart w:id="27" w:name="_Toc198731450"/>
      <w:r w:rsidRPr="0079276D">
        <w:rPr>
          <w:rFonts w:eastAsia="Times New Roman" w:cs="Book Antiqua"/>
          <w:b/>
          <w:bCs/>
          <w:kern w:val="0"/>
          <w:szCs w:val="18"/>
          <w:lang w:val="en-GB" w:eastAsia="en-IN"/>
          <w14:ligatures w14:val="none"/>
        </w:rPr>
        <w:t xml:space="preserve">Table </w:t>
      </w:r>
      <w:r w:rsidRPr="0079276D">
        <w:rPr>
          <w:rFonts w:eastAsia="Times New Roman" w:cs="Book Antiqua"/>
          <w:b/>
          <w:bCs/>
          <w:kern w:val="0"/>
          <w:szCs w:val="18"/>
          <w:lang w:val="en-GB" w:eastAsia="en-IN"/>
          <w14:ligatures w14:val="none"/>
        </w:rPr>
        <w:fldChar w:fldCharType="begin"/>
      </w:r>
      <w:r w:rsidRPr="0079276D">
        <w:rPr>
          <w:rFonts w:eastAsia="Times New Roman" w:cs="Book Antiqua"/>
          <w:b/>
          <w:bCs/>
          <w:kern w:val="0"/>
          <w:szCs w:val="18"/>
          <w:lang w:val="en-GB" w:eastAsia="en-IN"/>
          <w14:ligatures w14:val="none"/>
        </w:rPr>
        <w:instrText xml:space="preserve"> STYLEREF 1 \s </w:instrText>
      </w:r>
      <w:r w:rsidRPr="0079276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w:t>
      </w:r>
      <w:r w:rsidRPr="0079276D">
        <w:rPr>
          <w:rFonts w:eastAsia="Times New Roman" w:cs="Book Antiqua"/>
          <w:b/>
          <w:bCs/>
          <w:kern w:val="0"/>
          <w:szCs w:val="18"/>
          <w:lang w:val="en-GB" w:eastAsia="en-IN"/>
          <w14:ligatures w14:val="none"/>
        </w:rPr>
        <w:fldChar w:fldCharType="end"/>
      </w:r>
      <w:r w:rsidRPr="0079276D">
        <w:rPr>
          <w:rFonts w:eastAsia="Times New Roman" w:cs="Book Antiqua"/>
          <w:b/>
          <w:bCs/>
          <w:kern w:val="0"/>
          <w:szCs w:val="18"/>
          <w:lang w:val="en-GB" w:eastAsia="en-IN"/>
          <w14:ligatures w14:val="none"/>
        </w:rPr>
        <w:t>.</w:t>
      </w:r>
      <w:r w:rsidRPr="0079276D">
        <w:rPr>
          <w:rFonts w:eastAsia="Times New Roman" w:cs="Book Antiqua"/>
          <w:b/>
          <w:bCs/>
          <w:kern w:val="0"/>
          <w:szCs w:val="18"/>
          <w:lang w:val="en-GB" w:eastAsia="en-IN"/>
          <w14:ligatures w14:val="none"/>
        </w:rPr>
        <w:fldChar w:fldCharType="begin"/>
      </w:r>
      <w:r w:rsidRPr="0079276D">
        <w:rPr>
          <w:rFonts w:eastAsia="Times New Roman" w:cs="Book Antiqua"/>
          <w:b/>
          <w:bCs/>
          <w:kern w:val="0"/>
          <w:szCs w:val="18"/>
          <w:lang w:val="en-GB" w:eastAsia="en-IN"/>
          <w14:ligatures w14:val="none"/>
        </w:rPr>
        <w:instrText xml:space="preserve"> SEQ Table \* ARABIC \s 1 </w:instrText>
      </w:r>
      <w:r w:rsidRPr="0079276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2</w:t>
      </w:r>
      <w:r w:rsidRPr="0079276D">
        <w:rPr>
          <w:rFonts w:eastAsia="Times New Roman" w:cs="Book Antiqua"/>
          <w:b/>
          <w:bCs/>
          <w:kern w:val="0"/>
          <w:szCs w:val="18"/>
          <w:lang w:val="en-GB" w:eastAsia="en-IN"/>
          <w14:ligatures w14:val="none"/>
        </w:rPr>
        <w:fldChar w:fldCharType="end"/>
      </w:r>
      <w:r w:rsidRPr="0079276D">
        <w:rPr>
          <w:rFonts w:eastAsia="Times New Roman" w:cs="Book Antiqua"/>
          <w:b/>
          <w:bCs/>
          <w:kern w:val="0"/>
          <w:szCs w:val="18"/>
          <w:lang w:val="en-GB" w:eastAsia="en-IN"/>
          <w14:ligatures w14:val="none"/>
        </w:rPr>
        <w:t xml:space="preserve"> Country-wise real GDP data (annual percent change)</w:t>
      </w:r>
      <w:bookmarkEnd w:id="24"/>
      <w:bookmarkEnd w:id="25"/>
      <w:bookmarkEnd w:id="26"/>
      <w:bookmarkEnd w:id="27"/>
    </w:p>
    <w:tbl>
      <w:tblPr>
        <w:tblStyle w:val="TableGrid"/>
        <w:tblW w:w="5000" w:type="pct"/>
        <w:tblLook w:val="04A0" w:firstRow="1" w:lastRow="0" w:firstColumn="1" w:lastColumn="0" w:noHBand="0" w:noVBand="1"/>
      </w:tblPr>
      <w:tblGrid>
        <w:gridCol w:w="2231"/>
        <w:gridCol w:w="1184"/>
        <w:gridCol w:w="1185"/>
        <w:gridCol w:w="1185"/>
        <w:gridCol w:w="1185"/>
        <w:gridCol w:w="1185"/>
        <w:gridCol w:w="1185"/>
        <w:gridCol w:w="1180"/>
      </w:tblGrid>
      <w:tr w:rsidR="00C7511A" w:rsidRPr="0079276D" w14:paraId="7288142C" w14:textId="77777777" w:rsidTr="00662938">
        <w:trPr>
          <w:trHeight w:val="432"/>
          <w:tblHeader/>
        </w:trPr>
        <w:tc>
          <w:tcPr>
            <w:tcW w:w="1061" w:type="pct"/>
            <w:shd w:val="clear" w:color="auto" w:fill="005B72"/>
            <w:vAlign w:val="center"/>
          </w:tcPr>
          <w:p w14:paraId="7D78FF5B" w14:textId="77777777" w:rsidR="00C7511A" w:rsidRPr="0079276D" w:rsidRDefault="00C7511A" w:rsidP="00662938">
            <w:pPr>
              <w:spacing w:line="240" w:lineRule="auto"/>
              <w:jc w:val="left"/>
              <w:rPr>
                <w:b/>
                <w:bCs/>
                <w:color w:val="FFFFFF" w:themeColor="background1"/>
              </w:rPr>
            </w:pPr>
            <w:r w:rsidRPr="0079276D">
              <w:rPr>
                <w:b/>
                <w:bCs/>
                <w:color w:val="F8F8F8"/>
                <w:sz w:val="18"/>
                <w:szCs w:val="18"/>
              </w:rPr>
              <w:t>Real GDP</w:t>
            </w:r>
          </w:p>
        </w:tc>
        <w:tc>
          <w:tcPr>
            <w:tcW w:w="563" w:type="pct"/>
            <w:shd w:val="clear" w:color="auto" w:fill="005B72"/>
            <w:vAlign w:val="center"/>
          </w:tcPr>
          <w:p w14:paraId="25E93B2C" w14:textId="77777777" w:rsidR="00C7511A" w:rsidRPr="0079276D" w:rsidRDefault="00C7511A" w:rsidP="00662938">
            <w:pPr>
              <w:spacing w:line="240" w:lineRule="auto"/>
              <w:jc w:val="center"/>
              <w:rPr>
                <w:rFonts w:eastAsia="Arial"/>
                <w:b/>
                <w:bCs/>
                <w:color w:val="F8F8F8"/>
                <w:sz w:val="18"/>
                <w:szCs w:val="18"/>
              </w:rPr>
            </w:pPr>
            <w:r w:rsidRPr="0079276D">
              <w:rPr>
                <w:rFonts w:eastAsia="Arial"/>
                <w:b/>
                <w:bCs/>
                <w:color w:val="F8F8F8"/>
                <w:sz w:val="18"/>
                <w:szCs w:val="18"/>
              </w:rPr>
              <w:t>CY 19</w:t>
            </w:r>
          </w:p>
        </w:tc>
        <w:tc>
          <w:tcPr>
            <w:tcW w:w="563" w:type="pct"/>
            <w:shd w:val="clear" w:color="auto" w:fill="005B72"/>
            <w:vAlign w:val="center"/>
          </w:tcPr>
          <w:p w14:paraId="7F8FDD39" w14:textId="77777777" w:rsidR="00C7511A" w:rsidRPr="0079276D" w:rsidRDefault="00C7511A" w:rsidP="00662938">
            <w:pPr>
              <w:spacing w:line="240" w:lineRule="auto"/>
              <w:jc w:val="center"/>
              <w:rPr>
                <w:b/>
                <w:bCs/>
                <w:color w:val="FFFFFF" w:themeColor="background1"/>
              </w:rPr>
            </w:pPr>
            <w:r w:rsidRPr="0079276D">
              <w:rPr>
                <w:rFonts w:eastAsia="Arial"/>
                <w:b/>
                <w:bCs/>
                <w:color w:val="F8F8F8"/>
                <w:sz w:val="18"/>
                <w:szCs w:val="18"/>
              </w:rPr>
              <w:t>CY20</w:t>
            </w:r>
          </w:p>
        </w:tc>
        <w:tc>
          <w:tcPr>
            <w:tcW w:w="563" w:type="pct"/>
            <w:shd w:val="clear" w:color="auto" w:fill="005B72"/>
            <w:vAlign w:val="center"/>
          </w:tcPr>
          <w:p w14:paraId="4D26D688" w14:textId="77777777" w:rsidR="00C7511A" w:rsidRPr="0079276D" w:rsidRDefault="00C7511A" w:rsidP="00662938">
            <w:pPr>
              <w:spacing w:line="240" w:lineRule="auto"/>
              <w:jc w:val="center"/>
              <w:rPr>
                <w:b/>
                <w:bCs/>
                <w:color w:val="FFFFFF" w:themeColor="background1"/>
              </w:rPr>
            </w:pPr>
            <w:r w:rsidRPr="0079276D">
              <w:rPr>
                <w:rFonts w:eastAsia="Arial"/>
                <w:b/>
                <w:bCs/>
                <w:color w:val="F8F8F8"/>
                <w:sz w:val="18"/>
                <w:szCs w:val="18"/>
              </w:rPr>
              <w:t>CY21</w:t>
            </w:r>
          </w:p>
        </w:tc>
        <w:tc>
          <w:tcPr>
            <w:tcW w:w="563" w:type="pct"/>
            <w:shd w:val="clear" w:color="auto" w:fill="005B72"/>
            <w:vAlign w:val="center"/>
          </w:tcPr>
          <w:p w14:paraId="6600FEF0" w14:textId="77777777" w:rsidR="00C7511A" w:rsidRPr="0079276D" w:rsidRDefault="00C7511A" w:rsidP="00662938">
            <w:pPr>
              <w:spacing w:line="240" w:lineRule="auto"/>
              <w:jc w:val="center"/>
              <w:rPr>
                <w:b/>
                <w:bCs/>
                <w:color w:val="FFFFFF" w:themeColor="background1"/>
              </w:rPr>
            </w:pPr>
            <w:r w:rsidRPr="0079276D">
              <w:rPr>
                <w:rFonts w:eastAsia="Arial"/>
                <w:b/>
                <w:bCs/>
                <w:color w:val="F8F8F8"/>
                <w:sz w:val="18"/>
                <w:szCs w:val="18"/>
              </w:rPr>
              <w:t>CY22</w:t>
            </w:r>
          </w:p>
        </w:tc>
        <w:tc>
          <w:tcPr>
            <w:tcW w:w="563" w:type="pct"/>
            <w:shd w:val="clear" w:color="auto" w:fill="005B72"/>
            <w:vAlign w:val="center"/>
          </w:tcPr>
          <w:p w14:paraId="4F412DBB" w14:textId="77777777" w:rsidR="00C7511A" w:rsidRPr="0079276D" w:rsidRDefault="00C7511A" w:rsidP="00662938">
            <w:pPr>
              <w:spacing w:line="240" w:lineRule="auto"/>
              <w:jc w:val="center"/>
              <w:rPr>
                <w:b/>
                <w:bCs/>
                <w:color w:val="FFFFFF" w:themeColor="background1"/>
              </w:rPr>
            </w:pPr>
            <w:r w:rsidRPr="0079276D">
              <w:rPr>
                <w:rFonts w:eastAsia="Arial"/>
                <w:b/>
                <w:bCs/>
                <w:color w:val="F8F8F8"/>
                <w:sz w:val="18"/>
                <w:szCs w:val="18"/>
              </w:rPr>
              <w:t>CY23</w:t>
            </w:r>
          </w:p>
        </w:tc>
        <w:tc>
          <w:tcPr>
            <w:tcW w:w="563" w:type="pct"/>
            <w:shd w:val="clear" w:color="auto" w:fill="005B72"/>
            <w:vAlign w:val="center"/>
          </w:tcPr>
          <w:p w14:paraId="12843208" w14:textId="77777777" w:rsidR="00C7511A" w:rsidRPr="0079276D" w:rsidRDefault="00C7511A" w:rsidP="00662938">
            <w:pPr>
              <w:spacing w:line="240" w:lineRule="auto"/>
              <w:jc w:val="center"/>
              <w:rPr>
                <w:b/>
                <w:bCs/>
                <w:color w:val="FFFFFF" w:themeColor="background1"/>
              </w:rPr>
            </w:pPr>
            <w:r w:rsidRPr="0079276D">
              <w:rPr>
                <w:rFonts w:eastAsia="Arial"/>
                <w:b/>
                <w:bCs/>
                <w:color w:val="F8F8F8"/>
                <w:sz w:val="18"/>
                <w:szCs w:val="18"/>
              </w:rPr>
              <w:t>CY24</w:t>
            </w:r>
          </w:p>
        </w:tc>
        <w:tc>
          <w:tcPr>
            <w:tcW w:w="562" w:type="pct"/>
            <w:shd w:val="clear" w:color="auto" w:fill="005B72"/>
            <w:vAlign w:val="center"/>
          </w:tcPr>
          <w:p w14:paraId="7480213D" w14:textId="63A96F9D" w:rsidR="00C7511A" w:rsidRPr="0079276D" w:rsidRDefault="00C7511A" w:rsidP="00662938">
            <w:pPr>
              <w:spacing w:line="240" w:lineRule="auto"/>
              <w:jc w:val="center"/>
              <w:rPr>
                <w:b/>
                <w:bCs/>
                <w:color w:val="FFFFFF" w:themeColor="background1"/>
              </w:rPr>
            </w:pPr>
            <w:r w:rsidRPr="0079276D">
              <w:rPr>
                <w:rFonts w:asciiTheme="majorHAnsi" w:eastAsia="Arial" w:hAnsiTheme="majorHAnsi" w:cstheme="majorHAnsi"/>
                <w:b/>
                <w:bCs/>
                <w:color w:val="F8F8F8"/>
                <w:sz w:val="18"/>
                <w:szCs w:val="18"/>
              </w:rPr>
              <w:t>5Y-CAGR</w:t>
            </w:r>
          </w:p>
        </w:tc>
      </w:tr>
      <w:tr w:rsidR="00C6469A" w:rsidRPr="0079276D" w14:paraId="5B15ADA7" w14:textId="77777777" w:rsidTr="00662938">
        <w:trPr>
          <w:trHeight w:val="432"/>
          <w:tblHeader/>
        </w:trPr>
        <w:tc>
          <w:tcPr>
            <w:tcW w:w="1061" w:type="pct"/>
            <w:vAlign w:val="center"/>
          </w:tcPr>
          <w:p w14:paraId="697AD54B" w14:textId="77777777" w:rsidR="00C6469A" w:rsidRPr="0079276D" w:rsidRDefault="00C6469A" w:rsidP="00662938">
            <w:pPr>
              <w:spacing w:line="240" w:lineRule="auto"/>
              <w:contextualSpacing/>
              <w:jc w:val="left"/>
            </w:pPr>
            <w:r w:rsidRPr="0079276D">
              <w:rPr>
                <w:sz w:val="18"/>
                <w:szCs w:val="18"/>
              </w:rPr>
              <w:t>World</w:t>
            </w:r>
          </w:p>
        </w:tc>
        <w:tc>
          <w:tcPr>
            <w:tcW w:w="563" w:type="pct"/>
            <w:vAlign w:val="center"/>
          </w:tcPr>
          <w:p w14:paraId="28557B16" w14:textId="08B2BD0E" w:rsidR="00C6469A" w:rsidRPr="0079276D" w:rsidRDefault="00C6469A" w:rsidP="00662938">
            <w:pPr>
              <w:spacing w:line="240" w:lineRule="auto"/>
              <w:contextualSpacing/>
              <w:jc w:val="center"/>
              <w:rPr>
                <w:rFonts w:eastAsia="Arial"/>
                <w:sz w:val="18"/>
                <w:szCs w:val="18"/>
              </w:rPr>
            </w:pPr>
            <w:r w:rsidRPr="00C6469A">
              <w:rPr>
                <w:rFonts w:eastAsia="Arial"/>
                <w:sz w:val="18"/>
                <w:szCs w:val="18"/>
              </w:rPr>
              <w:t>2.9%</w:t>
            </w:r>
          </w:p>
        </w:tc>
        <w:tc>
          <w:tcPr>
            <w:tcW w:w="563" w:type="pct"/>
            <w:vAlign w:val="center"/>
          </w:tcPr>
          <w:p w14:paraId="725FB07D" w14:textId="71086BB2" w:rsidR="00C6469A" w:rsidRPr="0079276D" w:rsidRDefault="00C6469A" w:rsidP="00662938">
            <w:pPr>
              <w:spacing w:line="240" w:lineRule="auto"/>
              <w:contextualSpacing/>
              <w:jc w:val="center"/>
              <w:rPr>
                <w:rFonts w:eastAsia="Arial"/>
                <w:sz w:val="18"/>
                <w:szCs w:val="18"/>
              </w:rPr>
            </w:pPr>
            <w:r w:rsidRPr="00C6469A">
              <w:rPr>
                <w:rFonts w:eastAsia="Arial"/>
                <w:sz w:val="18"/>
                <w:szCs w:val="18"/>
              </w:rPr>
              <w:t>-2.7%</w:t>
            </w:r>
          </w:p>
        </w:tc>
        <w:tc>
          <w:tcPr>
            <w:tcW w:w="563" w:type="pct"/>
            <w:vAlign w:val="center"/>
          </w:tcPr>
          <w:p w14:paraId="5C029FC6" w14:textId="23D52233" w:rsidR="00C6469A" w:rsidRPr="0079276D" w:rsidRDefault="00C6469A" w:rsidP="00662938">
            <w:pPr>
              <w:spacing w:line="240" w:lineRule="auto"/>
              <w:contextualSpacing/>
              <w:jc w:val="center"/>
              <w:rPr>
                <w:rFonts w:eastAsia="Arial"/>
                <w:sz w:val="18"/>
                <w:szCs w:val="18"/>
              </w:rPr>
            </w:pPr>
            <w:r w:rsidRPr="00C6469A">
              <w:rPr>
                <w:rFonts w:eastAsia="Arial"/>
                <w:sz w:val="18"/>
                <w:szCs w:val="18"/>
              </w:rPr>
              <w:t>6.6%</w:t>
            </w:r>
          </w:p>
        </w:tc>
        <w:tc>
          <w:tcPr>
            <w:tcW w:w="563" w:type="pct"/>
            <w:vAlign w:val="center"/>
          </w:tcPr>
          <w:p w14:paraId="6BB84C37" w14:textId="52799072" w:rsidR="00C6469A" w:rsidRPr="0079276D" w:rsidRDefault="00C6469A" w:rsidP="00662938">
            <w:pPr>
              <w:spacing w:line="240" w:lineRule="auto"/>
              <w:contextualSpacing/>
              <w:jc w:val="center"/>
              <w:rPr>
                <w:rFonts w:eastAsia="Arial"/>
                <w:sz w:val="18"/>
                <w:szCs w:val="18"/>
              </w:rPr>
            </w:pPr>
            <w:r w:rsidRPr="00C6469A">
              <w:rPr>
                <w:rFonts w:eastAsia="Arial"/>
                <w:sz w:val="18"/>
                <w:szCs w:val="18"/>
              </w:rPr>
              <w:t>3.6%</w:t>
            </w:r>
          </w:p>
        </w:tc>
        <w:tc>
          <w:tcPr>
            <w:tcW w:w="563" w:type="pct"/>
            <w:vAlign w:val="center"/>
          </w:tcPr>
          <w:p w14:paraId="1850B94B" w14:textId="59601932" w:rsidR="00C6469A" w:rsidRPr="0079276D" w:rsidRDefault="00C6469A" w:rsidP="00662938">
            <w:pPr>
              <w:spacing w:line="240" w:lineRule="auto"/>
              <w:contextualSpacing/>
              <w:jc w:val="center"/>
              <w:rPr>
                <w:rFonts w:eastAsia="Arial"/>
                <w:sz w:val="18"/>
                <w:szCs w:val="18"/>
              </w:rPr>
            </w:pPr>
            <w:r w:rsidRPr="00C6469A">
              <w:rPr>
                <w:rFonts w:eastAsia="Arial"/>
                <w:sz w:val="18"/>
                <w:szCs w:val="18"/>
              </w:rPr>
              <w:t>3.5%</w:t>
            </w:r>
          </w:p>
        </w:tc>
        <w:tc>
          <w:tcPr>
            <w:tcW w:w="563" w:type="pct"/>
            <w:vAlign w:val="center"/>
          </w:tcPr>
          <w:p w14:paraId="6BE12785" w14:textId="3D440735" w:rsidR="00C6469A" w:rsidRPr="0079276D" w:rsidRDefault="00C6469A" w:rsidP="00662938">
            <w:pPr>
              <w:spacing w:line="240" w:lineRule="auto"/>
              <w:contextualSpacing/>
              <w:jc w:val="center"/>
              <w:rPr>
                <w:rFonts w:eastAsia="Arial"/>
                <w:sz w:val="18"/>
                <w:szCs w:val="18"/>
              </w:rPr>
            </w:pPr>
            <w:r w:rsidRPr="00C6469A">
              <w:rPr>
                <w:rFonts w:eastAsia="Arial"/>
                <w:sz w:val="18"/>
                <w:szCs w:val="18"/>
              </w:rPr>
              <w:t>3.3%</w:t>
            </w:r>
          </w:p>
        </w:tc>
        <w:tc>
          <w:tcPr>
            <w:tcW w:w="562" w:type="pct"/>
            <w:vAlign w:val="center"/>
          </w:tcPr>
          <w:p w14:paraId="37B5F8C7" w14:textId="008E77CF" w:rsidR="00C6469A" w:rsidRPr="0079276D" w:rsidRDefault="00951816" w:rsidP="00662938">
            <w:pPr>
              <w:spacing w:line="240" w:lineRule="auto"/>
              <w:contextualSpacing/>
              <w:jc w:val="center"/>
              <w:rPr>
                <w:rFonts w:eastAsia="Arial"/>
                <w:sz w:val="18"/>
                <w:szCs w:val="18"/>
              </w:rPr>
            </w:pPr>
            <w:r>
              <w:rPr>
                <w:rFonts w:eastAsia="Arial"/>
                <w:sz w:val="18"/>
                <w:szCs w:val="18"/>
              </w:rPr>
              <w:t>2.8</w:t>
            </w:r>
            <w:r w:rsidR="00C6469A" w:rsidRPr="0079276D">
              <w:rPr>
                <w:rFonts w:eastAsia="Arial"/>
                <w:sz w:val="18"/>
                <w:szCs w:val="18"/>
              </w:rPr>
              <w:t>%</w:t>
            </w:r>
          </w:p>
        </w:tc>
      </w:tr>
      <w:tr w:rsidR="00C7511A" w:rsidRPr="0079276D" w14:paraId="2031A52E" w14:textId="77777777" w:rsidTr="00662938">
        <w:trPr>
          <w:trHeight w:val="432"/>
          <w:tblHeader/>
        </w:trPr>
        <w:tc>
          <w:tcPr>
            <w:tcW w:w="1061" w:type="pct"/>
            <w:vAlign w:val="center"/>
          </w:tcPr>
          <w:p w14:paraId="69B3C4D2" w14:textId="77777777" w:rsidR="00C7511A" w:rsidRPr="0079276D" w:rsidRDefault="00C7511A" w:rsidP="00662938">
            <w:pPr>
              <w:spacing w:line="240" w:lineRule="auto"/>
              <w:contextualSpacing/>
              <w:jc w:val="left"/>
            </w:pPr>
            <w:r w:rsidRPr="0079276D">
              <w:rPr>
                <w:sz w:val="18"/>
                <w:szCs w:val="18"/>
              </w:rPr>
              <w:t>US</w:t>
            </w:r>
          </w:p>
        </w:tc>
        <w:tc>
          <w:tcPr>
            <w:tcW w:w="563" w:type="pct"/>
            <w:vAlign w:val="center"/>
          </w:tcPr>
          <w:p w14:paraId="30928E5F"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2.6%</w:t>
            </w:r>
          </w:p>
        </w:tc>
        <w:tc>
          <w:tcPr>
            <w:tcW w:w="563" w:type="pct"/>
            <w:vAlign w:val="center"/>
          </w:tcPr>
          <w:p w14:paraId="016CA370"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-2.2%</w:t>
            </w:r>
          </w:p>
        </w:tc>
        <w:tc>
          <w:tcPr>
            <w:tcW w:w="563" w:type="pct"/>
            <w:vAlign w:val="center"/>
          </w:tcPr>
          <w:p w14:paraId="3FC6B9C2"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6.1%</w:t>
            </w:r>
          </w:p>
        </w:tc>
        <w:tc>
          <w:tcPr>
            <w:tcW w:w="563" w:type="pct"/>
            <w:vAlign w:val="center"/>
          </w:tcPr>
          <w:p w14:paraId="45D1188D"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2.5%</w:t>
            </w:r>
          </w:p>
        </w:tc>
        <w:tc>
          <w:tcPr>
            <w:tcW w:w="563" w:type="pct"/>
            <w:vAlign w:val="center"/>
          </w:tcPr>
          <w:p w14:paraId="01A7ACB2"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2.9%</w:t>
            </w:r>
          </w:p>
        </w:tc>
        <w:tc>
          <w:tcPr>
            <w:tcW w:w="563" w:type="pct"/>
            <w:vAlign w:val="center"/>
          </w:tcPr>
          <w:p w14:paraId="1898E97B"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2.8%</w:t>
            </w:r>
          </w:p>
        </w:tc>
        <w:tc>
          <w:tcPr>
            <w:tcW w:w="562" w:type="pct"/>
            <w:vAlign w:val="center"/>
          </w:tcPr>
          <w:p w14:paraId="3D41CBBB" w14:textId="7777777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2.4%</w:t>
            </w:r>
          </w:p>
        </w:tc>
      </w:tr>
      <w:tr w:rsidR="00C7511A" w:rsidRPr="0079276D" w14:paraId="02E5540E" w14:textId="77777777" w:rsidTr="00662938">
        <w:trPr>
          <w:trHeight w:val="432"/>
          <w:tblHeader/>
        </w:trPr>
        <w:tc>
          <w:tcPr>
            <w:tcW w:w="1061" w:type="pct"/>
            <w:vAlign w:val="center"/>
          </w:tcPr>
          <w:p w14:paraId="2B9AA895" w14:textId="77777777" w:rsidR="00C7511A" w:rsidRPr="0079276D" w:rsidRDefault="00C7511A" w:rsidP="00662938">
            <w:pPr>
              <w:spacing w:line="240" w:lineRule="auto"/>
              <w:contextualSpacing/>
              <w:jc w:val="left"/>
            </w:pPr>
            <w:r w:rsidRPr="0079276D">
              <w:rPr>
                <w:sz w:val="18"/>
                <w:szCs w:val="18"/>
              </w:rPr>
              <w:t>China</w:t>
            </w:r>
            <w:r>
              <w:rPr>
                <w:sz w:val="18"/>
                <w:szCs w:val="18"/>
              </w:rPr>
              <w:t>*</w:t>
            </w:r>
          </w:p>
        </w:tc>
        <w:tc>
          <w:tcPr>
            <w:tcW w:w="563" w:type="pct"/>
            <w:vAlign w:val="center"/>
          </w:tcPr>
          <w:p w14:paraId="674231EB" w14:textId="5BB101F9"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6.</w:t>
            </w:r>
            <w:r w:rsidR="00631492">
              <w:rPr>
                <w:rFonts w:eastAsia="Arial"/>
                <w:sz w:val="18"/>
                <w:szCs w:val="18"/>
              </w:rPr>
              <w:t>1</w:t>
            </w:r>
            <w:r w:rsidRPr="0079276D">
              <w:rPr>
                <w:rFonts w:eastAsia="Arial"/>
                <w:sz w:val="18"/>
                <w:szCs w:val="18"/>
              </w:rPr>
              <w:t>%</w:t>
            </w:r>
          </w:p>
        </w:tc>
        <w:tc>
          <w:tcPr>
            <w:tcW w:w="563" w:type="pct"/>
            <w:vAlign w:val="center"/>
          </w:tcPr>
          <w:p w14:paraId="718203BF" w14:textId="5BAE447A"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2.</w:t>
            </w:r>
            <w:r w:rsidR="00631492">
              <w:rPr>
                <w:rFonts w:eastAsia="Arial"/>
                <w:sz w:val="18"/>
                <w:szCs w:val="18"/>
              </w:rPr>
              <w:t>3</w:t>
            </w:r>
            <w:r w:rsidRPr="0079276D">
              <w:rPr>
                <w:rFonts w:eastAsia="Arial"/>
                <w:sz w:val="18"/>
                <w:szCs w:val="18"/>
              </w:rPr>
              <w:t>%</w:t>
            </w:r>
          </w:p>
        </w:tc>
        <w:tc>
          <w:tcPr>
            <w:tcW w:w="563" w:type="pct"/>
            <w:vAlign w:val="center"/>
          </w:tcPr>
          <w:p w14:paraId="23D6AE80" w14:textId="73D79BAD"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8.</w:t>
            </w:r>
            <w:r w:rsidR="00631492">
              <w:rPr>
                <w:rFonts w:eastAsia="Arial"/>
                <w:sz w:val="18"/>
                <w:szCs w:val="18"/>
              </w:rPr>
              <w:t>6</w:t>
            </w:r>
            <w:r w:rsidRPr="0079276D">
              <w:rPr>
                <w:rFonts w:eastAsia="Arial"/>
                <w:sz w:val="18"/>
                <w:szCs w:val="18"/>
              </w:rPr>
              <w:t>%</w:t>
            </w:r>
          </w:p>
        </w:tc>
        <w:tc>
          <w:tcPr>
            <w:tcW w:w="563" w:type="pct"/>
            <w:vAlign w:val="center"/>
          </w:tcPr>
          <w:p w14:paraId="7DF11E91" w14:textId="0580376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3.</w:t>
            </w:r>
            <w:r w:rsidR="00631492">
              <w:rPr>
                <w:rFonts w:eastAsia="Arial"/>
                <w:sz w:val="18"/>
                <w:szCs w:val="18"/>
              </w:rPr>
              <w:t>1</w:t>
            </w:r>
            <w:r w:rsidRPr="0079276D">
              <w:rPr>
                <w:rFonts w:eastAsia="Arial"/>
                <w:sz w:val="18"/>
                <w:szCs w:val="18"/>
              </w:rPr>
              <w:t>%</w:t>
            </w:r>
          </w:p>
        </w:tc>
        <w:tc>
          <w:tcPr>
            <w:tcW w:w="563" w:type="pct"/>
            <w:vAlign w:val="center"/>
          </w:tcPr>
          <w:p w14:paraId="262E981D" w14:textId="2CCEC187" w:rsidR="00C7511A" w:rsidRPr="0079276D" w:rsidRDefault="00C7511A" w:rsidP="00662938">
            <w:pPr>
              <w:spacing w:line="240" w:lineRule="auto"/>
              <w:contextualSpacing/>
              <w:jc w:val="center"/>
              <w:rPr>
                <w:rFonts w:eastAsia="Arial"/>
                <w:sz w:val="18"/>
                <w:szCs w:val="18"/>
              </w:rPr>
            </w:pPr>
            <w:r w:rsidRPr="0079276D">
              <w:rPr>
                <w:rFonts w:eastAsia="Arial"/>
                <w:sz w:val="18"/>
                <w:szCs w:val="18"/>
              </w:rPr>
              <w:t>5.</w:t>
            </w:r>
            <w:r w:rsidR="00345348">
              <w:rPr>
                <w:rFonts w:eastAsia="Arial"/>
                <w:sz w:val="18"/>
                <w:szCs w:val="18"/>
              </w:rPr>
              <w:t>4</w:t>
            </w:r>
            <w:r w:rsidRPr="0079276D">
              <w:rPr>
                <w:rFonts w:eastAsia="Arial"/>
                <w:sz w:val="18"/>
                <w:szCs w:val="18"/>
              </w:rPr>
              <w:t>%</w:t>
            </w:r>
          </w:p>
        </w:tc>
        <w:tc>
          <w:tcPr>
            <w:tcW w:w="563" w:type="pct"/>
            <w:vAlign w:val="center"/>
          </w:tcPr>
          <w:p w14:paraId="648E58B0" w14:textId="529DACA8" w:rsidR="00C7511A" w:rsidRPr="0079276D" w:rsidRDefault="00345348" w:rsidP="00662938">
            <w:pPr>
              <w:spacing w:line="240" w:lineRule="auto"/>
              <w:contextualSpacing/>
              <w:jc w:val="center"/>
              <w:rPr>
                <w:rFonts w:eastAsia="Arial"/>
                <w:sz w:val="18"/>
                <w:szCs w:val="18"/>
              </w:rPr>
            </w:pPr>
            <w:r>
              <w:rPr>
                <w:rFonts w:eastAsia="Arial"/>
                <w:sz w:val="18"/>
                <w:szCs w:val="18"/>
              </w:rPr>
              <w:t>5.0</w:t>
            </w:r>
            <w:r w:rsidR="00C7511A" w:rsidRPr="0079276D">
              <w:rPr>
                <w:rFonts w:eastAsia="Arial"/>
                <w:sz w:val="18"/>
                <w:szCs w:val="18"/>
              </w:rPr>
              <w:t>%</w:t>
            </w:r>
          </w:p>
        </w:tc>
        <w:tc>
          <w:tcPr>
            <w:tcW w:w="562" w:type="pct"/>
            <w:vAlign w:val="center"/>
          </w:tcPr>
          <w:p w14:paraId="43ED5511" w14:textId="752281BC" w:rsidR="00C7511A" w:rsidRPr="0079276D" w:rsidRDefault="00400A70" w:rsidP="00662938">
            <w:pPr>
              <w:spacing w:line="240" w:lineRule="auto"/>
              <w:contextualSpacing/>
              <w:jc w:val="center"/>
              <w:rPr>
                <w:rFonts w:eastAsia="Arial"/>
                <w:sz w:val="18"/>
                <w:szCs w:val="18"/>
              </w:rPr>
            </w:pPr>
            <w:r>
              <w:rPr>
                <w:rFonts w:eastAsia="Arial"/>
                <w:sz w:val="18"/>
                <w:szCs w:val="18"/>
              </w:rPr>
              <w:t>4.9</w:t>
            </w:r>
            <w:r w:rsidR="00C7511A" w:rsidRPr="0079276D">
              <w:rPr>
                <w:rFonts w:eastAsia="Arial"/>
                <w:sz w:val="18"/>
                <w:szCs w:val="18"/>
              </w:rPr>
              <w:t>%</w:t>
            </w:r>
          </w:p>
        </w:tc>
      </w:tr>
      <w:tr w:rsidR="00EF6BD0" w:rsidRPr="0079276D" w14:paraId="67B2ABB6" w14:textId="77777777" w:rsidTr="00662938">
        <w:trPr>
          <w:trHeight w:val="432"/>
          <w:tblHeader/>
        </w:trPr>
        <w:tc>
          <w:tcPr>
            <w:tcW w:w="1061" w:type="pct"/>
            <w:vAlign w:val="center"/>
          </w:tcPr>
          <w:p w14:paraId="32D65FA0" w14:textId="77777777" w:rsidR="00EF6BD0" w:rsidRPr="0079276D" w:rsidRDefault="00EF6BD0" w:rsidP="00662938">
            <w:pPr>
              <w:spacing w:line="240" w:lineRule="auto"/>
              <w:contextualSpacing/>
              <w:jc w:val="left"/>
            </w:pPr>
            <w:r w:rsidRPr="0079276D">
              <w:rPr>
                <w:sz w:val="18"/>
                <w:szCs w:val="18"/>
              </w:rPr>
              <w:t>Euro area</w:t>
            </w:r>
          </w:p>
        </w:tc>
        <w:tc>
          <w:tcPr>
            <w:tcW w:w="563" w:type="pct"/>
            <w:vAlign w:val="center"/>
          </w:tcPr>
          <w:p w14:paraId="651F3BFE" w14:textId="457DFEE0" w:rsidR="00EF6BD0" w:rsidRPr="0079276D" w:rsidRDefault="00EF6BD0" w:rsidP="00662938">
            <w:pPr>
              <w:spacing w:line="240" w:lineRule="auto"/>
              <w:contextualSpacing/>
              <w:jc w:val="center"/>
              <w:rPr>
                <w:rFonts w:eastAsia="Arial"/>
                <w:sz w:val="18"/>
                <w:szCs w:val="18"/>
              </w:rPr>
            </w:pPr>
            <w:r w:rsidRPr="00EF6BD0">
              <w:rPr>
                <w:rFonts w:eastAsia="Arial"/>
                <w:sz w:val="18"/>
                <w:szCs w:val="18"/>
              </w:rPr>
              <w:t>1.6%</w:t>
            </w:r>
          </w:p>
        </w:tc>
        <w:tc>
          <w:tcPr>
            <w:tcW w:w="563" w:type="pct"/>
            <w:vAlign w:val="center"/>
          </w:tcPr>
          <w:p w14:paraId="7A4D58F6" w14:textId="75EA3547" w:rsidR="00EF6BD0" w:rsidRPr="0079276D" w:rsidRDefault="00EF6BD0" w:rsidP="00662938">
            <w:pPr>
              <w:spacing w:line="240" w:lineRule="auto"/>
              <w:contextualSpacing/>
              <w:jc w:val="center"/>
              <w:rPr>
                <w:rFonts w:eastAsia="Arial"/>
                <w:sz w:val="18"/>
                <w:szCs w:val="18"/>
              </w:rPr>
            </w:pPr>
            <w:r w:rsidRPr="00EF6BD0">
              <w:rPr>
                <w:rFonts w:eastAsia="Arial"/>
                <w:sz w:val="18"/>
                <w:szCs w:val="18"/>
              </w:rPr>
              <w:t>-6.0%</w:t>
            </w:r>
          </w:p>
        </w:tc>
        <w:tc>
          <w:tcPr>
            <w:tcW w:w="563" w:type="pct"/>
            <w:vAlign w:val="center"/>
          </w:tcPr>
          <w:p w14:paraId="045ABF78" w14:textId="7D398561" w:rsidR="00EF6BD0" w:rsidRPr="0079276D" w:rsidRDefault="00EF6BD0" w:rsidP="00662938">
            <w:pPr>
              <w:spacing w:line="240" w:lineRule="auto"/>
              <w:contextualSpacing/>
              <w:jc w:val="center"/>
              <w:rPr>
                <w:rFonts w:eastAsia="Arial"/>
                <w:sz w:val="18"/>
                <w:szCs w:val="18"/>
              </w:rPr>
            </w:pPr>
            <w:r w:rsidRPr="00EF6BD0">
              <w:rPr>
                <w:rFonts w:eastAsia="Arial"/>
                <w:sz w:val="18"/>
                <w:szCs w:val="18"/>
              </w:rPr>
              <w:t>6.3%</w:t>
            </w:r>
          </w:p>
        </w:tc>
        <w:tc>
          <w:tcPr>
            <w:tcW w:w="563" w:type="pct"/>
            <w:vAlign w:val="center"/>
          </w:tcPr>
          <w:p w14:paraId="287019DD" w14:textId="0D732286" w:rsidR="00EF6BD0" w:rsidRPr="0079276D" w:rsidRDefault="00EF6BD0" w:rsidP="00662938">
            <w:pPr>
              <w:spacing w:line="240" w:lineRule="auto"/>
              <w:contextualSpacing/>
              <w:jc w:val="center"/>
              <w:rPr>
                <w:rFonts w:eastAsia="Arial"/>
                <w:sz w:val="18"/>
                <w:szCs w:val="18"/>
              </w:rPr>
            </w:pPr>
            <w:r w:rsidRPr="00EF6BD0">
              <w:rPr>
                <w:rFonts w:eastAsia="Arial"/>
                <w:sz w:val="18"/>
                <w:szCs w:val="18"/>
              </w:rPr>
              <w:t>3.5%</w:t>
            </w:r>
          </w:p>
        </w:tc>
        <w:tc>
          <w:tcPr>
            <w:tcW w:w="563" w:type="pct"/>
            <w:vAlign w:val="center"/>
          </w:tcPr>
          <w:p w14:paraId="6F9D00C2" w14:textId="432DB30E" w:rsidR="00EF6BD0" w:rsidRPr="0079276D" w:rsidRDefault="00EF6BD0" w:rsidP="00662938">
            <w:pPr>
              <w:spacing w:line="240" w:lineRule="auto"/>
              <w:contextualSpacing/>
              <w:jc w:val="center"/>
              <w:rPr>
                <w:rFonts w:eastAsia="Arial"/>
                <w:sz w:val="18"/>
                <w:szCs w:val="18"/>
              </w:rPr>
            </w:pPr>
            <w:r w:rsidRPr="00EF6BD0">
              <w:rPr>
                <w:rFonts w:eastAsia="Arial"/>
                <w:sz w:val="18"/>
                <w:szCs w:val="18"/>
              </w:rPr>
              <w:t>0.4%</w:t>
            </w:r>
          </w:p>
        </w:tc>
        <w:tc>
          <w:tcPr>
            <w:tcW w:w="563" w:type="pct"/>
            <w:vAlign w:val="center"/>
          </w:tcPr>
          <w:p w14:paraId="75330BA2" w14:textId="2F313AAE" w:rsidR="00EF6BD0" w:rsidRPr="0079276D" w:rsidRDefault="00EF6BD0" w:rsidP="00662938">
            <w:pPr>
              <w:spacing w:line="240" w:lineRule="auto"/>
              <w:contextualSpacing/>
              <w:jc w:val="center"/>
              <w:rPr>
                <w:rFonts w:eastAsia="Arial"/>
                <w:sz w:val="18"/>
                <w:szCs w:val="18"/>
              </w:rPr>
            </w:pPr>
            <w:r w:rsidRPr="00EF6BD0">
              <w:rPr>
                <w:rFonts w:eastAsia="Arial"/>
                <w:sz w:val="18"/>
                <w:szCs w:val="18"/>
              </w:rPr>
              <w:t>0.9%</w:t>
            </w:r>
          </w:p>
        </w:tc>
        <w:tc>
          <w:tcPr>
            <w:tcW w:w="562" w:type="pct"/>
            <w:vAlign w:val="center"/>
          </w:tcPr>
          <w:p w14:paraId="42523B1D" w14:textId="30AF0741" w:rsidR="00EF6BD0" w:rsidRPr="0079276D" w:rsidRDefault="00400A70" w:rsidP="00662938">
            <w:pPr>
              <w:spacing w:line="240" w:lineRule="auto"/>
              <w:contextualSpacing/>
              <w:jc w:val="center"/>
              <w:rPr>
                <w:rFonts w:eastAsia="Arial"/>
                <w:sz w:val="18"/>
                <w:szCs w:val="18"/>
              </w:rPr>
            </w:pPr>
            <w:r>
              <w:rPr>
                <w:rFonts w:eastAsia="Arial"/>
                <w:sz w:val="18"/>
                <w:szCs w:val="18"/>
              </w:rPr>
              <w:t>0.9</w:t>
            </w:r>
            <w:r w:rsidR="00EF6BD0" w:rsidRPr="0079276D">
              <w:rPr>
                <w:rFonts w:eastAsia="Arial"/>
                <w:sz w:val="18"/>
                <w:szCs w:val="18"/>
              </w:rPr>
              <w:t>%</w:t>
            </w:r>
          </w:p>
        </w:tc>
      </w:tr>
      <w:tr w:rsidR="00FD07AF" w:rsidRPr="0079276D" w14:paraId="0BC45A2A" w14:textId="77777777" w:rsidTr="00662938">
        <w:trPr>
          <w:trHeight w:val="432"/>
          <w:tblHeader/>
        </w:trPr>
        <w:tc>
          <w:tcPr>
            <w:tcW w:w="1061" w:type="pct"/>
            <w:vAlign w:val="center"/>
          </w:tcPr>
          <w:p w14:paraId="4C725FB3" w14:textId="77777777" w:rsidR="00FD07AF" w:rsidRPr="0079276D" w:rsidRDefault="00FD07AF" w:rsidP="00662938">
            <w:pPr>
              <w:spacing w:line="240" w:lineRule="auto"/>
              <w:contextualSpacing/>
              <w:jc w:val="left"/>
              <w:rPr>
                <w:sz w:val="18"/>
                <w:szCs w:val="18"/>
              </w:rPr>
            </w:pPr>
            <w:r w:rsidRPr="0079276D">
              <w:rPr>
                <w:sz w:val="18"/>
                <w:szCs w:val="18"/>
              </w:rPr>
              <w:t>Japan</w:t>
            </w:r>
          </w:p>
        </w:tc>
        <w:tc>
          <w:tcPr>
            <w:tcW w:w="563" w:type="pct"/>
            <w:vAlign w:val="center"/>
          </w:tcPr>
          <w:p w14:paraId="5ACE3629" w14:textId="67B2D937"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-0.4%</w:t>
            </w:r>
          </w:p>
        </w:tc>
        <w:tc>
          <w:tcPr>
            <w:tcW w:w="563" w:type="pct"/>
            <w:vAlign w:val="center"/>
          </w:tcPr>
          <w:p w14:paraId="34009E75" w14:textId="73AC9A3F"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-4.2%</w:t>
            </w:r>
          </w:p>
        </w:tc>
        <w:tc>
          <w:tcPr>
            <w:tcW w:w="563" w:type="pct"/>
            <w:vAlign w:val="center"/>
          </w:tcPr>
          <w:p w14:paraId="16CBC6FF" w14:textId="6B5CD04F"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2.7%</w:t>
            </w:r>
          </w:p>
        </w:tc>
        <w:tc>
          <w:tcPr>
            <w:tcW w:w="563" w:type="pct"/>
            <w:vAlign w:val="center"/>
          </w:tcPr>
          <w:p w14:paraId="229DEBF8" w14:textId="232F2BD7"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0.9%</w:t>
            </w:r>
          </w:p>
        </w:tc>
        <w:tc>
          <w:tcPr>
            <w:tcW w:w="563" w:type="pct"/>
            <w:vAlign w:val="center"/>
          </w:tcPr>
          <w:p w14:paraId="1F725FF0" w14:textId="2D7763CB"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1.5%</w:t>
            </w:r>
          </w:p>
        </w:tc>
        <w:tc>
          <w:tcPr>
            <w:tcW w:w="563" w:type="pct"/>
            <w:vAlign w:val="center"/>
          </w:tcPr>
          <w:p w14:paraId="01D741AC" w14:textId="17F60ECC"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0.1%</w:t>
            </w:r>
          </w:p>
        </w:tc>
        <w:tc>
          <w:tcPr>
            <w:tcW w:w="562" w:type="pct"/>
            <w:vAlign w:val="center"/>
          </w:tcPr>
          <w:p w14:paraId="39FF21E6" w14:textId="41B42608" w:rsidR="00FD07AF" w:rsidRPr="0079276D" w:rsidRDefault="00FD07AF" w:rsidP="00662938">
            <w:pPr>
              <w:spacing w:line="240" w:lineRule="auto"/>
              <w:contextualSpacing/>
              <w:jc w:val="center"/>
              <w:rPr>
                <w:rFonts w:eastAsia="Arial"/>
                <w:sz w:val="18"/>
                <w:szCs w:val="18"/>
              </w:rPr>
            </w:pPr>
            <w:r w:rsidRPr="0079276D">
              <w:rPr>
                <w:rFonts w:eastAsia="Arial"/>
                <w:sz w:val="18"/>
                <w:szCs w:val="18"/>
              </w:rPr>
              <w:t>0.</w:t>
            </w:r>
            <w:r w:rsidR="00400A70">
              <w:rPr>
                <w:rFonts w:eastAsia="Arial"/>
                <w:sz w:val="18"/>
                <w:szCs w:val="18"/>
              </w:rPr>
              <w:t>2</w:t>
            </w:r>
            <w:r w:rsidRPr="0079276D">
              <w:rPr>
                <w:rFonts w:eastAsia="Arial"/>
                <w:sz w:val="18"/>
                <w:szCs w:val="18"/>
              </w:rPr>
              <w:t>%</w:t>
            </w:r>
          </w:p>
        </w:tc>
      </w:tr>
      <w:tr w:rsidR="00FD07AF" w:rsidRPr="0079276D" w14:paraId="57CF8E90" w14:textId="77777777" w:rsidTr="00662938">
        <w:trPr>
          <w:trHeight w:val="432"/>
          <w:tblHeader/>
        </w:trPr>
        <w:tc>
          <w:tcPr>
            <w:tcW w:w="1061" w:type="pct"/>
            <w:vAlign w:val="center"/>
          </w:tcPr>
          <w:p w14:paraId="06C3AD11" w14:textId="77777777" w:rsidR="00FD07AF" w:rsidRPr="0079276D" w:rsidRDefault="00FD07AF" w:rsidP="00662938">
            <w:pPr>
              <w:spacing w:line="240" w:lineRule="auto"/>
              <w:contextualSpacing/>
              <w:jc w:val="left"/>
              <w:rPr>
                <w:sz w:val="18"/>
                <w:szCs w:val="18"/>
              </w:rPr>
            </w:pPr>
            <w:r w:rsidRPr="0079276D">
              <w:rPr>
                <w:sz w:val="18"/>
                <w:szCs w:val="18"/>
              </w:rPr>
              <w:t>United Kingdom (UK)</w:t>
            </w:r>
          </w:p>
        </w:tc>
        <w:tc>
          <w:tcPr>
            <w:tcW w:w="563" w:type="pct"/>
            <w:vAlign w:val="center"/>
          </w:tcPr>
          <w:p w14:paraId="1BD3144F" w14:textId="5526C70B"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1.6%</w:t>
            </w:r>
          </w:p>
        </w:tc>
        <w:tc>
          <w:tcPr>
            <w:tcW w:w="563" w:type="pct"/>
            <w:vAlign w:val="center"/>
          </w:tcPr>
          <w:p w14:paraId="0BBED7D8" w14:textId="0FAA773F"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-10.3%</w:t>
            </w:r>
          </w:p>
        </w:tc>
        <w:tc>
          <w:tcPr>
            <w:tcW w:w="563" w:type="pct"/>
            <w:vAlign w:val="center"/>
          </w:tcPr>
          <w:p w14:paraId="336B3556" w14:textId="2EDC3A2B"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8.6%</w:t>
            </w:r>
          </w:p>
        </w:tc>
        <w:tc>
          <w:tcPr>
            <w:tcW w:w="563" w:type="pct"/>
            <w:vAlign w:val="center"/>
          </w:tcPr>
          <w:p w14:paraId="32EA031A" w14:textId="753232B8"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4.8%</w:t>
            </w:r>
          </w:p>
        </w:tc>
        <w:tc>
          <w:tcPr>
            <w:tcW w:w="563" w:type="pct"/>
            <w:vAlign w:val="center"/>
          </w:tcPr>
          <w:p w14:paraId="5685D4A3" w14:textId="5DBB00A8"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0.4%</w:t>
            </w:r>
          </w:p>
        </w:tc>
        <w:tc>
          <w:tcPr>
            <w:tcW w:w="563" w:type="pct"/>
            <w:vAlign w:val="center"/>
          </w:tcPr>
          <w:p w14:paraId="673B4309" w14:textId="46A968AC" w:rsidR="00FD07AF" w:rsidRPr="0079276D" w:rsidRDefault="00FD07AF" w:rsidP="00662938">
            <w:pPr>
              <w:spacing w:line="240" w:lineRule="auto"/>
              <w:contextualSpacing/>
              <w:jc w:val="center"/>
              <w:rPr>
                <w:rFonts w:eastAsia="Arial"/>
                <w:sz w:val="18"/>
                <w:szCs w:val="18"/>
              </w:rPr>
            </w:pPr>
            <w:r w:rsidRPr="00FD07AF">
              <w:rPr>
                <w:rFonts w:eastAsia="Arial"/>
                <w:sz w:val="18"/>
                <w:szCs w:val="18"/>
              </w:rPr>
              <w:t>1.1%</w:t>
            </w:r>
          </w:p>
        </w:tc>
        <w:tc>
          <w:tcPr>
            <w:tcW w:w="562" w:type="pct"/>
            <w:vAlign w:val="center"/>
          </w:tcPr>
          <w:p w14:paraId="67879798" w14:textId="7191566E" w:rsidR="00FD07AF" w:rsidRPr="0079276D" w:rsidRDefault="00FD07AF" w:rsidP="00662938">
            <w:pPr>
              <w:spacing w:line="240" w:lineRule="auto"/>
              <w:contextualSpacing/>
              <w:jc w:val="center"/>
              <w:rPr>
                <w:rFonts w:eastAsia="Arial"/>
                <w:sz w:val="18"/>
                <w:szCs w:val="18"/>
              </w:rPr>
            </w:pPr>
            <w:r w:rsidRPr="0079276D">
              <w:rPr>
                <w:rFonts w:eastAsia="Arial"/>
                <w:sz w:val="18"/>
                <w:szCs w:val="18"/>
              </w:rPr>
              <w:t>0.</w:t>
            </w:r>
            <w:r w:rsidR="00DE4F85">
              <w:rPr>
                <w:rFonts w:eastAsia="Arial"/>
                <w:sz w:val="18"/>
                <w:szCs w:val="18"/>
              </w:rPr>
              <w:t>7</w:t>
            </w:r>
            <w:r w:rsidRPr="0079276D">
              <w:rPr>
                <w:rFonts w:eastAsia="Arial"/>
                <w:sz w:val="18"/>
                <w:szCs w:val="18"/>
              </w:rPr>
              <w:t>%</w:t>
            </w:r>
          </w:p>
        </w:tc>
      </w:tr>
      <w:tr w:rsidR="00C7511A" w:rsidRPr="0079276D" w14:paraId="1010F960" w14:textId="77777777" w:rsidTr="00662938">
        <w:trPr>
          <w:trHeight w:val="432"/>
          <w:tblHeader/>
        </w:trPr>
        <w:tc>
          <w:tcPr>
            <w:tcW w:w="1061" w:type="pct"/>
            <w:shd w:val="clear" w:color="auto" w:fill="D0D2D3"/>
            <w:vAlign w:val="center"/>
          </w:tcPr>
          <w:p w14:paraId="509D1D2D" w14:textId="77777777" w:rsidR="00C7511A" w:rsidRPr="0079276D" w:rsidRDefault="00C7511A" w:rsidP="00662938">
            <w:pPr>
              <w:spacing w:line="240" w:lineRule="auto"/>
              <w:contextualSpacing/>
              <w:jc w:val="left"/>
              <w:rPr>
                <w:sz w:val="18"/>
                <w:szCs w:val="18"/>
              </w:rPr>
            </w:pPr>
            <w:r w:rsidRPr="0079276D">
              <w:rPr>
                <w:sz w:val="18"/>
                <w:szCs w:val="18"/>
              </w:rPr>
              <w:t>India</w:t>
            </w:r>
            <w:r>
              <w:rPr>
                <w:sz w:val="18"/>
                <w:szCs w:val="18"/>
              </w:rPr>
              <w:t>*</w:t>
            </w:r>
          </w:p>
        </w:tc>
        <w:tc>
          <w:tcPr>
            <w:tcW w:w="563" w:type="pct"/>
            <w:shd w:val="clear" w:color="auto" w:fill="D0D2D3"/>
            <w:vAlign w:val="center"/>
          </w:tcPr>
          <w:p w14:paraId="367532A5" w14:textId="77777777" w:rsidR="00C7511A" w:rsidRPr="0079276D" w:rsidRDefault="00C7511A" w:rsidP="00662938">
            <w:pPr>
              <w:spacing w:line="240" w:lineRule="auto"/>
              <w:contextualSpacing/>
              <w:jc w:val="center"/>
              <w:rPr>
                <w:rFonts w:eastAsia="Arial"/>
                <w:b/>
                <w:bCs/>
                <w:sz w:val="18"/>
                <w:szCs w:val="18"/>
              </w:rPr>
            </w:pPr>
            <w:r w:rsidRPr="0079276D">
              <w:rPr>
                <w:rFonts w:eastAsia="Arial"/>
                <w:b/>
                <w:bCs/>
                <w:sz w:val="18"/>
                <w:szCs w:val="18"/>
              </w:rPr>
              <w:t>3.9%</w:t>
            </w:r>
          </w:p>
        </w:tc>
        <w:tc>
          <w:tcPr>
            <w:tcW w:w="563" w:type="pct"/>
            <w:shd w:val="clear" w:color="auto" w:fill="D0D2D3"/>
            <w:vAlign w:val="center"/>
          </w:tcPr>
          <w:p w14:paraId="4924C1FA" w14:textId="77777777" w:rsidR="00C7511A" w:rsidRPr="0079276D" w:rsidRDefault="00C7511A" w:rsidP="00662938">
            <w:pPr>
              <w:spacing w:line="240" w:lineRule="auto"/>
              <w:contextualSpacing/>
              <w:jc w:val="center"/>
              <w:rPr>
                <w:rFonts w:eastAsia="Arial"/>
                <w:b/>
                <w:bCs/>
                <w:sz w:val="18"/>
                <w:szCs w:val="18"/>
              </w:rPr>
            </w:pPr>
            <w:r w:rsidRPr="0079276D">
              <w:rPr>
                <w:rFonts w:eastAsia="Arial"/>
                <w:b/>
                <w:bCs/>
                <w:sz w:val="18"/>
                <w:szCs w:val="18"/>
              </w:rPr>
              <w:t>-5.8%</w:t>
            </w:r>
          </w:p>
        </w:tc>
        <w:tc>
          <w:tcPr>
            <w:tcW w:w="563" w:type="pct"/>
            <w:shd w:val="clear" w:color="auto" w:fill="D0D2D3"/>
            <w:vAlign w:val="center"/>
          </w:tcPr>
          <w:p w14:paraId="22326C17" w14:textId="77777777" w:rsidR="00C7511A" w:rsidRPr="0079276D" w:rsidRDefault="00C7511A" w:rsidP="00662938">
            <w:pPr>
              <w:spacing w:line="240" w:lineRule="auto"/>
              <w:contextualSpacing/>
              <w:jc w:val="center"/>
              <w:rPr>
                <w:rFonts w:eastAsia="Arial"/>
                <w:b/>
                <w:bCs/>
                <w:sz w:val="18"/>
                <w:szCs w:val="18"/>
              </w:rPr>
            </w:pPr>
            <w:r w:rsidRPr="0079276D">
              <w:rPr>
                <w:rFonts w:eastAsia="Arial"/>
                <w:b/>
                <w:bCs/>
                <w:sz w:val="18"/>
                <w:szCs w:val="18"/>
              </w:rPr>
              <w:t>9.7%</w:t>
            </w:r>
          </w:p>
        </w:tc>
        <w:tc>
          <w:tcPr>
            <w:tcW w:w="563" w:type="pct"/>
            <w:shd w:val="clear" w:color="auto" w:fill="D0D2D3"/>
            <w:vAlign w:val="center"/>
          </w:tcPr>
          <w:p w14:paraId="036960C9" w14:textId="00ADED00" w:rsidR="00C7511A" w:rsidRPr="0079276D" w:rsidRDefault="00C7511A" w:rsidP="00662938">
            <w:pPr>
              <w:spacing w:line="240" w:lineRule="auto"/>
              <w:contextualSpacing/>
              <w:jc w:val="center"/>
              <w:rPr>
                <w:rFonts w:eastAsia="Arial"/>
                <w:b/>
                <w:bCs/>
                <w:sz w:val="18"/>
                <w:szCs w:val="18"/>
              </w:rPr>
            </w:pPr>
            <w:r w:rsidRPr="0079276D">
              <w:rPr>
                <w:rFonts w:eastAsia="Arial"/>
                <w:b/>
                <w:bCs/>
                <w:sz w:val="18"/>
                <w:szCs w:val="18"/>
              </w:rPr>
              <w:t>7.</w:t>
            </w:r>
            <w:r w:rsidR="00776DF4">
              <w:rPr>
                <w:rFonts w:eastAsia="Arial"/>
                <w:b/>
                <w:bCs/>
                <w:sz w:val="18"/>
                <w:szCs w:val="18"/>
              </w:rPr>
              <w:t>6</w:t>
            </w:r>
            <w:r w:rsidRPr="0079276D">
              <w:rPr>
                <w:rFonts w:eastAsia="Arial"/>
                <w:b/>
                <w:bCs/>
                <w:sz w:val="18"/>
                <w:szCs w:val="18"/>
              </w:rPr>
              <w:t>%</w:t>
            </w:r>
          </w:p>
        </w:tc>
        <w:tc>
          <w:tcPr>
            <w:tcW w:w="563" w:type="pct"/>
            <w:shd w:val="clear" w:color="auto" w:fill="D0D2D3"/>
            <w:vAlign w:val="center"/>
          </w:tcPr>
          <w:p w14:paraId="7CB2BBDC" w14:textId="31487D62" w:rsidR="00C7511A" w:rsidRPr="0079276D" w:rsidRDefault="00776DF4" w:rsidP="00662938">
            <w:pPr>
              <w:spacing w:line="240" w:lineRule="auto"/>
              <w:contextualSpacing/>
              <w:jc w:val="center"/>
              <w:rPr>
                <w:rFonts w:eastAsia="Arial"/>
                <w:b/>
                <w:bCs/>
                <w:sz w:val="18"/>
                <w:szCs w:val="18"/>
              </w:rPr>
            </w:pPr>
            <w:r>
              <w:rPr>
                <w:rFonts w:eastAsia="Arial"/>
                <w:b/>
                <w:bCs/>
                <w:sz w:val="18"/>
                <w:szCs w:val="18"/>
              </w:rPr>
              <w:t>9</w:t>
            </w:r>
            <w:r w:rsidR="00C7511A" w:rsidRPr="0079276D">
              <w:rPr>
                <w:rFonts w:eastAsia="Arial"/>
                <w:b/>
                <w:bCs/>
                <w:sz w:val="18"/>
                <w:szCs w:val="18"/>
              </w:rPr>
              <w:t>.2%</w:t>
            </w:r>
          </w:p>
        </w:tc>
        <w:tc>
          <w:tcPr>
            <w:tcW w:w="563" w:type="pct"/>
            <w:shd w:val="clear" w:color="auto" w:fill="D0D2D3"/>
            <w:vAlign w:val="center"/>
          </w:tcPr>
          <w:p w14:paraId="6FDDD3A4" w14:textId="29BFABF0" w:rsidR="00C7511A" w:rsidRPr="0079276D" w:rsidRDefault="000410ED" w:rsidP="00662938">
            <w:pPr>
              <w:spacing w:line="240" w:lineRule="auto"/>
              <w:contextualSpacing/>
              <w:jc w:val="center"/>
              <w:rPr>
                <w:rFonts w:eastAsia="Arial"/>
                <w:b/>
                <w:bCs/>
                <w:sz w:val="18"/>
                <w:szCs w:val="18"/>
              </w:rPr>
            </w:pPr>
            <w:r>
              <w:rPr>
                <w:rFonts w:eastAsia="Arial"/>
                <w:b/>
                <w:bCs/>
                <w:sz w:val="18"/>
                <w:szCs w:val="18"/>
              </w:rPr>
              <w:t>6.5</w:t>
            </w:r>
            <w:r w:rsidR="00C7511A" w:rsidRPr="0079276D">
              <w:rPr>
                <w:rFonts w:eastAsia="Arial"/>
                <w:b/>
                <w:bCs/>
                <w:sz w:val="18"/>
                <w:szCs w:val="18"/>
              </w:rPr>
              <w:t>%</w:t>
            </w:r>
          </w:p>
        </w:tc>
        <w:tc>
          <w:tcPr>
            <w:tcW w:w="562" w:type="pct"/>
            <w:shd w:val="clear" w:color="auto" w:fill="D0D2D3"/>
            <w:vAlign w:val="center"/>
          </w:tcPr>
          <w:p w14:paraId="2C0D29FF" w14:textId="6C77EF8C" w:rsidR="00C7511A" w:rsidRPr="0079276D" w:rsidRDefault="00C7511A" w:rsidP="00662938">
            <w:pPr>
              <w:spacing w:line="240" w:lineRule="auto"/>
              <w:contextualSpacing/>
              <w:jc w:val="center"/>
              <w:rPr>
                <w:rFonts w:eastAsia="Arial"/>
                <w:b/>
                <w:bCs/>
                <w:sz w:val="18"/>
                <w:szCs w:val="18"/>
              </w:rPr>
            </w:pPr>
            <w:r w:rsidRPr="0079276D">
              <w:rPr>
                <w:rFonts w:eastAsia="Arial"/>
                <w:b/>
                <w:bCs/>
                <w:sz w:val="18"/>
                <w:szCs w:val="18"/>
              </w:rPr>
              <w:t>5.</w:t>
            </w:r>
            <w:r w:rsidR="00DE4F85">
              <w:rPr>
                <w:rFonts w:eastAsia="Arial"/>
                <w:b/>
                <w:bCs/>
                <w:sz w:val="18"/>
                <w:szCs w:val="18"/>
              </w:rPr>
              <w:t>3</w:t>
            </w:r>
            <w:r w:rsidRPr="0079276D">
              <w:rPr>
                <w:rFonts w:eastAsia="Arial"/>
                <w:b/>
                <w:bCs/>
                <w:sz w:val="18"/>
                <w:szCs w:val="18"/>
              </w:rPr>
              <w:t>%</w:t>
            </w:r>
          </w:p>
        </w:tc>
      </w:tr>
    </w:tbl>
    <w:p w14:paraId="763B9444" w14:textId="77777777" w:rsidR="00C7511A" w:rsidRPr="0079276D" w:rsidRDefault="00C7511A" w:rsidP="00C7511A">
      <w:pPr>
        <w:tabs>
          <w:tab w:val="center" w:pos="4680"/>
          <w:tab w:val="right" w:pos="9720"/>
        </w:tabs>
        <w:spacing w:line="240" w:lineRule="auto"/>
        <w:rPr>
          <w:rFonts w:eastAsiaTheme="minorEastAsia"/>
          <w:i/>
          <w:sz w:val="16"/>
          <w:szCs w:val="15"/>
        </w:rPr>
      </w:pPr>
      <w:r w:rsidRPr="0079276D">
        <w:rPr>
          <w:rFonts w:eastAsiaTheme="minorEastAsia"/>
          <w:i/>
          <w:sz w:val="16"/>
          <w:szCs w:val="15"/>
        </w:rPr>
        <w:t>Note: CY- Calendar Year</w:t>
      </w:r>
      <w:r>
        <w:rPr>
          <w:rFonts w:eastAsiaTheme="minorEastAsia"/>
          <w:i/>
          <w:sz w:val="16"/>
          <w:szCs w:val="15"/>
        </w:rPr>
        <w:t>, *Emerging Economies</w:t>
      </w:r>
    </w:p>
    <w:p w14:paraId="66B3DDFA" w14:textId="1D39EDFE" w:rsidR="00C7511A" w:rsidRPr="00C935D9" w:rsidRDefault="00C7511A" w:rsidP="00C7511A">
      <w:pPr>
        <w:tabs>
          <w:tab w:val="center" w:pos="4680"/>
          <w:tab w:val="right" w:pos="9720"/>
        </w:tabs>
        <w:spacing w:line="240" w:lineRule="auto"/>
        <w:rPr>
          <w:rFonts w:eastAsiaTheme="minorEastAsia"/>
          <w:i/>
          <w:sz w:val="16"/>
          <w:szCs w:val="15"/>
        </w:rPr>
      </w:pPr>
      <w:r w:rsidRPr="0079276D">
        <w:rPr>
          <w:rFonts w:eastAsiaTheme="minorEastAsia"/>
          <w:i/>
          <w:sz w:val="16"/>
          <w:szCs w:val="15"/>
        </w:rPr>
        <w:t>Source: IMF – World Economic Outlook (</w:t>
      </w:r>
      <w:r w:rsidR="00672AD0">
        <w:rPr>
          <w:rFonts w:eastAsiaTheme="minorEastAsia"/>
          <w:i/>
          <w:sz w:val="16"/>
          <w:szCs w:val="15"/>
        </w:rPr>
        <w:t xml:space="preserve">April </w:t>
      </w:r>
      <w:r w:rsidRPr="0079276D">
        <w:rPr>
          <w:rFonts w:eastAsiaTheme="minorEastAsia"/>
          <w:i/>
          <w:sz w:val="16"/>
          <w:szCs w:val="15"/>
        </w:rPr>
        <w:t>202</w:t>
      </w:r>
      <w:r w:rsidR="00672AD0">
        <w:rPr>
          <w:rFonts w:eastAsiaTheme="minorEastAsia"/>
          <w:i/>
          <w:sz w:val="16"/>
          <w:szCs w:val="15"/>
        </w:rPr>
        <w:t>5</w:t>
      </w:r>
      <w:r w:rsidRPr="0079276D">
        <w:rPr>
          <w:rFonts w:eastAsiaTheme="minorEastAsia"/>
          <w:i/>
          <w:sz w:val="16"/>
          <w:szCs w:val="15"/>
        </w:rPr>
        <w:t>)</w:t>
      </w:r>
    </w:p>
    <w:p w14:paraId="45DF6C5C" w14:textId="77777777" w:rsidR="00C7511A" w:rsidRDefault="00C7511A" w:rsidP="00C7511A">
      <w:pPr>
        <w:pStyle w:val="Heading2"/>
      </w:pPr>
      <w:bookmarkStart w:id="28" w:name="_Toc192073602"/>
      <w:bookmarkStart w:id="29" w:name="_Toc192153624"/>
      <w:bookmarkStart w:id="30" w:name="_Toc192195226"/>
      <w:bookmarkStart w:id="31" w:name="_Toc198730337"/>
      <w:r>
        <w:t xml:space="preserve">Nominal &amp; </w:t>
      </w:r>
      <w:r w:rsidRPr="000D7AB4">
        <w:t>Real GDP forecast for world’s major economies</w:t>
      </w:r>
      <w:bookmarkEnd w:id="28"/>
      <w:bookmarkEnd w:id="29"/>
      <w:bookmarkEnd w:id="30"/>
      <w:bookmarkEnd w:id="31"/>
      <w:r w:rsidRPr="000D7AB4">
        <w:t xml:space="preserve"> </w:t>
      </w:r>
    </w:p>
    <w:p w14:paraId="3CFDC2DA" w14:textId="1F5D06B8" w:rsidR="001934E3" w:rsidRDefault="001934E3" w:rsidP="001934E3">
      <w:pPr>
        <w:pStyle w:val="Heading30"/>
      </w:pPr>
      <w:r>
        <w:t>Nominal GDP</w:t>
      </w:r>
    </w:p>
    <w:p w14:paraId="274CCFFA" w14:textId="17DE775E" w:rsidR="00C7511A" w:rsidRPr="00E0180D" w:rsidRDefault="00C7511A" w:rsidP="00C66D86">
      <w:pPr>
        <w:pStyle w:val="Heaing2"/>
      </w:pPr>
      <w:r w:rsidRPr="00E0180D">
        <w:t>As per the IMF's World Economic Outlook (</w:t>
      </w:r>
      <w:r w:rsidR="00BF297B">
        <w:t xml:space="preserve">April </w:t>
      </w:r>
      <w:r w:rsidRPr="00E0180D">
        <w:t>202</w:t>
      </w:r>
      <w:r w:rsidR="00BF297B">
        <w:t>5</w:t>
      </w:r>
      <w:r w:rsidRPr="00E0180D">
        <w:t xml:space="preserve">), the nominal GDP forecast for various regions and countries </w:t>
      </w:r>
      <w:r>
        <w:t>is</w:t>
      </w:r>
      <w:r w:rsidRPr="00E0180D">
        <w:t xml:space="preserve"> as follows: the world's nominal GDP is expected to grow at a rate of </w:t>
      </w:r>
      <w:r w:rsidR="002D6E6D">
        <w:t>2.9</w:t>
      </w:r>
      <w:r w:rsidRPr="00E0180D">
        <w:t xml:space="preserve">% in CY25, </w:t>
      </w:r>
      <w:r w:rsidR="002D6E6D">
        <w:t>4.7</w:t>
      </w:r>
      <w:r w:rsidRPr="00E0180D">
        <w:t>% in CY26, 4.</w:t>
      </w:r>
      <w:r w:rsidR="002D6E6D">
        <w:t>9</w:t>
      </w:r>
      <w:r w:rsidRPr="00E0180D">
        <w:t xml:space="preserve">% in CY27, </w:t>
      </w:r>
      <w:r w:rsidR="002D6E6D">
        <w:t>5.1</w:t>
      </w:r>
      <w:r w:rsidRPr="00E0180D">
        <w:t>% in CY28 and 4.</w:t>
      </w:r>
      <w:r w:rsidR="004B0DA6">
        <w:t>9</w:t>
      </w:r>
      <w:r w:rsidRPr="00E0180D">
        <w:t>% in CY29</w:t>
      </w:r>
      <w:r w:rsidR="004B0DA6">
        <w:t xml:space="preserve"> and CY30</w:t>
      </w:r>
      <w:r w:rsidRPr="00E0180D">
        <w:t>.</w:t>
      </w:r>
      <w:r w:rsidR="00FC1769">
        <w:t xml:space="preserve"> India’s </w:t>
      </w:r>
      <w:r w:rsidR="004A4B8A">
        <w:t xml:space="preserve">expected nominal GDP growth is </w:t>
      </w:r>
      <w:r w:rsidR="004B0DA6">
        <w:t>7.1</w:t>
      </w:r>
      <w:r w:rsidR="004A4B8A">
        <w:t xml:space="preserve">% in CY25, </w:t>
      </w:r>
      <w:r w:rsidR="004B0DA6">
        <w:t>9.9</w:t>
      </w:r>
      <w:r w:rsidR="004A4B8A">
        <w:t>%</w:t>
      </w:r>
      <w:r w:rsidR="007E52A3">
        <w:t xml:space="preserve"> in CY 26, 10.</w:t>
      </w:r>
      <w:r w:rsidR="004B0DA6">
        <w:t>2</w:t>
      </w:r>
      <w:r w:rsidR="007E52A3">
        <w:t xml:space="preserve">% in CY27, </w:t>
      </w:r>
      <w:r w:rsidR="001C0A19">
        <w:t>10.2% in CY28, 10.1% in CY29 and 10.1% in CY30.</w:t>
      </w:r>
    </w:p>
    <w:p w14:paraId="48D37965" w14:textId="5A1E0885" w:rsidR="00C7511A" w:rsidRPr="007B7DFC" w:rsidRDefault="00C7511A" w:rsidP="00C7511A">
      <w:pPr>
        <w:keepNext/>
        <w:keepLines/>
        <w:spacing w:before="160" w:line="276" w:lineRule="auto"/>
        <w:ind w:right="432"/>
        <w:rPr>
          <w:rFonts w:eastAsia="Times New Roman" w:cs="Book Antiqua"/>
          <w:b/>
          <w:bCs/>
          <w:kern w:val="0"/>
          <w:szCs w:val="18"/>
          <w:lang w:val="en-GB" w:eastAsia="en-IN"/>
          <w14:ligatures w14:val="none"/>
        </w:rPr>
      </w:pPr>
      <w:bookmarkStart w:id="32" w:name="_Toc192073626"/>
      <w:bookmarkStart w:id="33" w:name="_Toc192153650"/>
      <w:bookmarkStart w:id="34" w:name="_Toc192195277"/>
      <w:bookmarkStart w:id="35" w:name="_Toc198731451"/>
      <w:r w:rsidRPr="007B7DFC">
        <w:rPr>
          <w:rFonts w:eastAsia="Times New Roman" w:cs="Book Antiqua"/>
          <w:b/>
          <w:bCs/>
          <w:kern w:val="0"/>
          <w:szCs w:val="18"/>
          <w:lang w:val="en-GB" w:eastAsia="en-IN"/>
          <w14:ligatures w14:val="none"/>
        </w:rPr>
        <w:t xml:space="preserve">Table </w:t>
      </w:r>
      <w:r w:rsidRPr="007B7DFC">
        <w:rPr>
          <w:rFonts w:eastAsia="Times New Roman" w:cs="Book Antiqua"/>
          <w:b/>
          <w:bCs/>
          <w:kern w:val="0"/>
          <w:szCs w:val="18"/>
          <w:lang w:val="en-GB" w:eastAsia="en-IN"/>
          <w14:ligatures w14:val="none"/>
        </w:rPr>
        <w:fldChar w:fldCharType="begin"/>
      </w:r>
      <w:r w:rsidRPr="007B7DFC">
        <w:rPr>
          <w:rFonts w:eastAsia="Times New Roman" w:cs="Book Antiqua"/>
          <w:b/>
          <w:bCs/>
          <w:kern w:val="0"/>
          <w:szCs w:val="18"/>
          <w:lang w:val="en-GB" w:eastAsia="en-IN"/>
          <w14:ligatures w14:val="none"/>
        </w:rPr>
        <w:instrText xml:space="preserve"> STYLEREF 1 \s </w:instrText>
      </w:r>
      <w:r w:rsidRPr="007B7DFC">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w:t>
      </w:r>
      <w:r w:rsidRPr="007B7DFC">
        <w:rPr>
          <w:rFonts w:eastAsia="Times New Roman" w:cs="Book Antiqua"/>
          <w:b/>
          <w:bCs/>
          <w:kern w:val="0"/>
          <w:szCs w:val="18"/>
          <w:lang w:val="en-GB" w:eastAsia="en-IN"/>
          <w14:ligatures w14:val="none"/>
        </w:rPr>
        <w:fldChar w:fldCharType="end"/>
      </w:r>
      <w:r w:rsidRPr="007B7DFC">
        <w:rPr>
          <w:rFonts w:eastAsia="Times New Roman" w:cs="Book Antiqua"/>
          <w:b/>
          <w:bCs/>
          <w:kern w:val="0"/>
          <w:szCs w:val="18"/>
          <w:lang w:val="en-GB" w:eastAsia="en-IN"/>
          <w14:ligatures w14:val="none"/>
        </w:rPr>
        <w:t>.</w:t>
      </w:r>
      <w:r w:rsidRPr="007B7DFC">
        <w:rPr>
          <w:rFonts w:eastAsia="Times New Roman" w:cs="Book Antiqua"/>
          <w:b/>
          <w:bCs/>
          <w:kern w:val="0"/>
          <w:szCs w:val="18"/>
          <w:lang w:val="en-GB" w:eastAsia="en-IN"/>
          <w14:ligatures w14:val="none"/>
        </w:rPr>
        <w:fldChar w:fldCharType="begin"/>
      </w:r>
      <w:r w:rsidRPr="007B7DFC">
        <w:rPr>
          <w:rFonts w:eastAsia="Times New Roman" w:cs="Book Antiqua"/>
          <w:b/>
          <w:bCs/>
          <w:kern w:val="0"/>
          <w:szCs w:val="18"/>
          <w:lang w:val="en-GB" w:eastAsia="en-IN"/>
          <w14:ligatures w14:val="none"/>
        </w:rPr>
        <w:instrText xml:space="preserve"> SEQ Table \* ARABIC \s 1 </w:instrText>
      </w:r>
      <w:r w:rsidRPr="007B7DFC">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3</w:t>
      </w:r>
      <w:r w:rsidRPr="007B7DFC">
        <w:rPr>
          <w:rFonts w:eastAsia="Times New Roman" w:cs="Book Antiqua"/>
          <w:b/>
          <w:bCs/>
          <w:kern w:val="0"/>
          <w:szCs w:val="18"/>
          <w:lang w:val="en-GB" w:eastAsia="en-IN"/>
          <w14:ligatures w14:val="none"/>
        </w:rPr>
        <w:fldChar w:fldCharType="end"/>
      </w:r>
      <w:r w:rsidRPr="007B7DFC">
        <w:rPr>
          <w:rFonts w:eastAsia="Times New Roman"/>
          <w:b/>
          <w:bCs/>
          <w:kern w:val="0"/>
          <w:szCs w:val="20"/>
          <w:lang w:val="en-GB" w:eastAsia="en-IN"/>
          <w14:ligatures w14:val="none"/>
        </w:rPr>
        <w:t xml:space="preserve"> Country-wise </w:t>
      </w:r>
      <w:r>
        <w:rPr>
          <w:rFonts w:eastAsia="Times New Roman"/>
          <w:b/>
          <w:bCs/>
          <w:kern w:val="0"/>
          <w:szCs w:val="20"/>
          <w:lang w:val="en-GB" w:eastAsia="en-IN"/>
          <w14:ligatures w14:val="none"/>
        </w:rPr>
        <w:t xml:space="preserve">nominal </w:t>
      </w:r>
      <w:r w:rsidRPr="007B7DFC">
        <w:rPr>
          <w:rFonts w:eastAsia="Times New Roman"/>
          <w:b/>
          <w:bCs/>
          <w:kern w:val="0"/>
          <w:szCs w:val="20"/>
          <w:lang w:val="en-GB" w:eastAsia="en-IN"/>
          <w14:ligatures w14:val="none"/>
        </w:rPr>
        <w:t>GDP data forecast (annual percent change)</w:t>
      </w:r>
      <w:bookmarkEnd w:id="32"/>
      <w:bookmarkEnd w:id="33"/>
      <w:bookmarkEnd w:id="34"/>
      <w:bookmarkEnd w:id="35"/>
    </w:p>
    <w:tbl>
      <w:tblPr>
        <w:tblStyle w:val="TableGrid"/>
        <w:tblW w:w="5000" w:type="pct"/>
        <w:tblLook w:val="04A0" w:firstRow="1" w:lastRow="0" w:firstColumn="1" w:lastColumn="0" w:noHBand="0" w:noVBand="1"/>
      </w:tblPr>
      <w:tblGrid>
        <w:gridCol w:w="1688"/>
        <w:gridCol w:w="1261"/>
        <w:gridCol w:w="1263"/>
        <w:gridCol w:w="1262"/>
        <w:gridCol w:w="1260"/>
        <w:gridCol w:w="1262"/>
        <w:gridCol w:w="1262"/>
        <w:gridCol w:w="1262"/>
      </w:tblGrid>
      <w:tr w:rsidR="00C03E46" w:rsidRPr="007B7DFC" w14:paraId="65312F68" w14:textId="77777777" w:rsidTr="00C03E46">
        <w:trPr>
          <w:trHeight w:val="351"/>
          <w:tblHeader/>
        </w:trPr>
        <w:tc>
          <w:tcPr>
            <w:tcW w:w="802" w:type="pct"/>
            <w:shd w:val="clear" w:color="auto" w:fill="005B72"/>
            <w:noWrap/>
            <w:vAlign w:val="center"/>
            <w:hideMark/>
          </w:tcPr>
          <w:p w14:paraId="73E4EDC8" w14:textId="4C2575F2" w:rsidR="00315A6C" w:rsidRPr="00662938" w:rsidRDefault="00315A6C" w:rsidP="00662938">
            <w:pPr>
              <w:spacing w:line="240" w:lineRule="auto"/>
              <w:jc w:val="left"/>
              <w:rPr>
                <w:b/>
                <w:bCs/>
                <w:color w:val="F8F8F8"/>
                <w:sz w:val="18"/>
                <w:szCs w:val="18"/>
              </w:rPr>
            </w:pPr>
            <w:r w:rsidRPr="00662938">
              <w:rPr>
                <w:b/>
                <w:bCs/>
                <w:color w:val="F8F8F8"/>
                <w:sz w:val="18"/>
                <w:szCs w:val="18"/>
              </w:rPr>
              <w:t>Nominal GDP</w:t>
            </w:r>
          </w:p>
        </w:tc>
        <w:tc>
          <w:tcPr>
            <w:tcW w:w="599" w:type="pct"/>
            <w:shd w:val="clear" w:color="auto" w:fill="005B72"/>
            <w:vAlign w:val="center"/>
          </w:tcPr>
          <w:p w14:paraId="3083068C" w14:textId="77777777" w:rsidR="00315A6C" w:rsidRPr="00662938" w:rsidRDefault="00315A6C" w:rsidP="00662938">
            <w:pPr>
              <w:spacing w:line="240" w:lineRule="auto"/>
              <w:ind w:right="-60"/>
              <w:jc w:val="center"/>
              <w:rPr>
                <w:rFonts w:eastAsia="Arial"/>
                <w:b/>
                <w:bCs/>
                <w:color w:val="F8F8F8"/>
                <w:sz w:val="18"/>
                <w:szCs w:val="18"/>
              </w:rPr>
            </w:pPr>
            <w:r w:rsidRPr="00662938">
              <w:rPr>
                <w:rFonts w:eastAsia="Arial"/>
                <w:b/>
                <w:bCs/>
                <w:color w:val="F8F8F8"/>
                <w:sz w:val="18"/>
                <w:szCs w:val="18"/>
              </w:rPr>
              <w:t>CY25P</w:t>
            </w:r>
          </w:p>
        </w:tc>
        <w:tc>
          <w:tcPr>
            <w:tcW w:w="600" w:type="pct"/>
            <w:shd w:val="clear" w:color="auto" w:fill="005B72"/>
            <w:vAlign w:val="center"/>
          </w:tcPr>
          <w:p w14:paraId="2D9EEA20" w14:textId="77777777" w:rsidR="00315A6C" w:rsidRPr="00662938" w:rsidRDefault="00315A6C" w:rsidP="00662938">
            <w:pPr>
              <w:spacing w:line="240" w:lineRule="auto"/>
              <w:ind w:right="-90"/>
              <w:jc w:val="center"/>
              <w:rPr>
                <w:rFonts w:eastAsia="Arial"/>
                <w:b/>
                <w:bCs/>
                <w:color w:val="F8F8F8"/>
                <w:sz w:val="18"/>
                <w:szCs w:val="18"/>
              </w:rPr>
            </w:pPr>
            <w:r w:rsidRPr="00662938">
              <w:rPr>
                <w:rFonts w:eastAsia="Arial"/>
                <w:b/>
                <w:bCs/>
                <w:color w:val="F8F8F8"/>
                <w:sz w:val="18"/>
                <w:szCs w:val="18"/>
              </w:rPr>
              <w:t>CY26P</w:t>
            </w:r>
          </w:p>
        </w:tc>
        <w:tc>
          <w:tcPr>
            <w:tcW w:w="600" w:type="pct"/>
            <w:shd w:val="clear" w:color="auto" w:fill="005B72"/>
            <w:noWrap/>
            <w:vAlign w:val="center"/>
            <w:hideMark/>
          </w:tcPr>
          <w:p w14:paraId="4488891E" w14:textId="77777777" w:rsidR="00315A6C" w:rsidRPr="00662938" w:rsidRDefault="00315A6C" w:rsidP="00662938">
            <w:pPr>
              <w:spacing w:line="240" w:lineRule="auto"/>
              <w:ind w:right="-45"/>
              <w:jc w:val="center"/>
              <w:rPr>
                <w:rFonts w:eastAsia="Arial"/>
                <w:b/>
                <w:bCs/>
                <w:color w:val="F8F8F8"/>
                <w:sz w:val="18"/>
                <w:szCs w:val="18"/>
              </w:rPr>
            </w:pPr>
            <w:r w:rsidRPr="00662938">
              <w:rPr>
                <w:rFonts w:eastAsia="Arial"/>
                <w:b/>
                <w:bCs/>
                <w:color w:val="F8F8F8"/>
                <w:sz w:val="18"/>
                <w:szCs w:val="18"/>
              </w:rPr>
              <w:t>CY27P</w:t>
            </w:r>
          </w:p>
        </w:tc>
        <w:tc>
          <w:tcPr>
            <w:tcW w:w="599" w:type="pct"/>
            <w:shd w:val="clear" w:color="auto" w:fill="005B72"/>
            <w:noWrap/>
            <w:vAlign w:val="center"/>
            <w:hideMark/>
          </w:tcPr>
          <w:p w14:paraId="45012648" w14:textId="77777777" w:rsidR="00315A6C" w:rsidRPr="00662938" w:rsidRDefault="00315A6C" w:rsidP="00662938">
            <w:pPr>
              <w:spacing w:line="240" w:lineRule="auto"/>
              <w:jc w:val="center"/>
              <w:rPr>
                <w:rFonts w:eastAsia="Arial"/>
                <w:b/>
                <w:bCs/>
                <w:color w:val="F8F8F8"/>
                <w:sz w:val="18"/>
                <w:szCs w:val="18"/>
              </w:rPr>
            </w:pPr>
            <w:r w:rsidRPr="00662938">
              <w:rPr>
                <w:rFonts w:eastAsia="Arial"/>
                <w:b/>
                <w:bCs/>
                <w:color w:val="F8F8F8"/>
                <w:sz w:val="18"/>
                <w:szCs w:val="18"/>
              </w:rPr>
              <w:t>CY28P</w:t>
            </w:r>
          </w:p>
        </w:tc>
        <w:tc>
          <w:tcPr>
            <w:tcW w:w="600" w:type="pct"/>
            <w:shd w:val="clear" w:color="auto" w:fill="005B72"/>
            <w:noWrap/>
            <w:vAlign w:val="center"/>
            <w:hideMark/>
          </w:tcPr>
          <w:p w14:paraId="58265E96" w14:textId="77777777" w:rsidR="00315A6C" w:rsidRPr="00662938" w:rsidRDefault="00315A6C" w:rsidP="00662938">
            <w:pPr>
              <w:spacing w:line="240" w:lineRule="auto"/>
              <w:ind w:right="45"/>
              <w:jc w:val="center"/>
              <w:rPr>
                <w:rFonts w:eastAsia="Arial"/>
                <w:b/>
                <w:bCs/>
                <w:color w:val="F8F8F8"/>
                <w:sz w:val="18"/>
                <w:szCs w:val="18"/>
              </w:rPr>
            </w:pPr>
            <w:r w:rsidRPr="00662938">
              <w:rPr>
                <w:rFonts w:eastAsia="Arial"/>
                <w:b/>
                <w:bCs/>
                <w:color w:val="F8F8F8"/>
                <w:sz w:val="18"/>
                <w:szCs w:val="18"/>
              </w:rPr>
              <w:t>CY29P</w:t>
            </w:r>
          </w:p>
        </w:tc>
        <w:tc>
          <w:tcPr>
            <w:tcW w:w="600" w:type="pct"/>
            <w:shd w:val="clear" w:color="auto" w:fill="005B72"/>
            <w:vAlign w:val="center"/>
          </w:tcPr>
          <w:p w14:paraId="2CB8C4CE" w14:textId="71B76BAE" w:rsidR="00315A6C" w:rsidRPr="00662938" w:rsidRDefault="00315A6C" w:rsidP="00662938">
            <w:pPr>
              <w:spacing w:line="240" w:lineRule="auto"/>
              <w:ind w:right="-15"/>
              <w:jc w:val="center"/>
              <w:rPr>
                <w:rFonts w:eastAsia="Arial"/>
                <w:b/>
                <w:bCs/>
                <w:color w:val="F8F8F8"/>
                <w:sz w:val="18"/>
                <w:szCs w:val="18"/>
              </w:rPr>
            </w:pPr>
            <w:r w:rsidRPr="00662938">
              <w:rPr>
                <w:rFonts w:eastAsia="Arial"/>
                <w:b/>
                <w:bCs/>
                <w:color w:val="F8F8F8"/>
                <w:sz w:val="18"/>
                <w:szCs w:val="18"/>
              </w:rPr>
              <w:t>CY30P</w:t>
            </w:r>
          </w:p>
        </w:tc>
        <w:tc>
          <w:tcPr>
            <w:tcW w:w="600" w:type="pct"/>
            <w:shd w:val="clear" w:color="auto" w:fill="005B72"/>
            <w:vAlign w:val="center"/>
          </w:tcPr>
          <w:p w14:paraId="530796CE" w14:textId="4E466ECD" w:rsidR="00315A6C" w:rsidRPr="00662938" w:rsidRDefault="00315A6C" w:rsidP="00662938">
            <w:pPr>
              <w:spacing w:line="240" w:lineRule="auto"/>
              <w:ind w:right="-119"/>
              <w:jc w:val="center"/>
              <w:rPr>
                <w:rFonts w:eastAsia="Arial"/>
                <w:b/>
                <w:bCs/>
                <w:color w:val="F8F8F8"/>
                <w:sz w:val="18"/>
                <w:szCs w:val="18"/>
              </w:rPr>
            </w:pPr>
            <w:r w:rsidRPr="00662938">
              <w:rPr>
                <w:rFonts w:eastAsia="Arial"/>
                <w:b/>
                <w:bCs/>
                <w:color w:val="F8F8F8"/>
                <w:sz w:val="18"/>
                <w:szCs w:val="18"/>
              </w:rPr>
              <w:t>5Y CAGR</w:t>
            </w:r>
          </w:p>
        </w:tc>
      </w:tr>
      <w:tr w:rsidR="00C03E46" w:rsidRPr="007B7DFC" w14:paraId="46963B16" w14:textId="77777777" w:rsidTr="00C03E46">
        <w:trPr>
          <w:trHeight w:val="408"/>
        </w:trPr>
        <w:tc>
          <w:tcPr>
            <w:tcW w:w="802" w:type="pct"/>
            <w:noWrap/>
            <w:vAlign w:val="center"/>
            <w:hideMark/>
          </w:tcPr>
          <w:p w14:paraId="2AF48911" w14:textId="77777777" w:rsidR="003037B6" w:rsidRPr="00C03E46" w:rsidRDefault="003037B6" w:rsidP="00662938">
            <w:pPr>
              <w:spacing w:line="240" w:lineRule="auto"/>
              <w:contextualSpacing/>
              <w:jc w:val="left"/>
              <w:rPr>
                <w:sz w:val="18"/>
                <w:szCs w:val="18"/>
              </w:rPr>
            </w:pPr>
            <w:r w:rsidRPr="00C03E46">
              <w:rPr>
                <w:sz w:val="18"/>
                <w:szCs w:val="18"/>
              </w:rPr>
              <w:t>World</w:t>
            </w:r>
          </w:p>
        </w:tc>
        <w:tc>
          <w:tcPr>
            <w:tcW w:w="599" w:type="pct"/>
            <w:vAlign w:val="center"/>
          </w:tcPr>
          <w:p w14:paraId="023B1451" w14:textId="03A59733" w:rsidR="003037B6" w:rsidRPr="00C03E46" w:rsidRDefault="003037B6" w:rsidP="00662938">
            <w:pPr>
              <w:spacing w:line="240" w:lineRule="auto"/>
              <w:ind w:right="-60"/>
              <w:contextualSpacing/>
              <w:jc w:val="center"/>
              <w:rPr>
                <w:sz w:val="18"/>
                <w:szCs w:val="18"/>
              </w:rPr>
            </w:pPr>
            <w:r w:rsidRPr="00C03E46">
              <w:rPr>
                <w:sz w:val="18"/>
                <w:szCs w:val="18"/>
              </w:rPr>
              <w:t>2.9%</w:t>
            </w:r>
          </w:p>
        </w:tc>
        <w:tc>
          <w:tcPr>
            <w:tcW w:w="600" w:type="pct"/>
            <w:vAlign w:val="center"/>
          </w:tcPr>
          <w:p w14:paraId="2F871150" w14:textId="3E35F112" w:rsidR="003037B6" w:rsidRPr="00C03E46" w:rsidRDefault="003037B6" w:rsidP="00662938">
            <w:pPr>
              <w:spacing w:line="240" w:lineRule="auto"/>
              <w:ind w:right="-90"/>
              <w:contextualSpacing/>
              <w:jc w:val="center"/>
              <w:rPr>
                <w:sz w:val="18"/>
                <w:szCs w:val="18"/>
              </w:rPr>
            </w:pPr>
            <w:r w:rsidRPr="00C03E46">
              <w:rPr>
                <w:sz w:val="18"/>
                <w:szCs w:val="18"/>
              </w:rPr>
              <w:t>4.7%</w:t>
            </w:r>
          </w:p>
        </w:tc>
        <w:tc>
          <w:tcPr>
            <w:tcW w:w="600" w:type="pct"/>
            <w:noWrap/>
            <w:vAlign w:val="center"/>
            <w:hideMark/>
          </w:tcPr>
          <w:p w14:paraId="6BAFF225" w14:textId="3549EF86" w:rsidR="003037B6" w:rsidRPr="00C03E46" w:rsidRDefault="003037B6" w:rsidP="00662938">
            <w:pPr>
              <w:spacing w:line="240" w:lineRule="auto"/>
              <w:ind w:right="-45"/>
              <w:contextualSpacing/>
              <w:jc w:val="center"/>
              <w:rPr>
                <w:sz w:val="18"/>
                <w:szCs w:val="18"/>
              </w:rPr>
            </w:pPr>
            <w:r w:rsidRPr="00C03E46">
              <w:rPr>
                <w:sz w:val="18"/>
                <w:szCs w:val="18"/>
              </w:rPr>
              <w:t>4.9%</w:t>
            </w:r>
          </w:p>
        </w:tc>
        <w:tc>
          <w:tcPr>
            <w:tcW w:w="599" w:type="pct"/>
            <w:noWrap/>
            <w:vAlign w:val="center"/>
            <w:hideMark/>
          </w:tcPr>
          <w:p w14:paraId="57E95C3E" w14:textId="13F11F43" w:rsidR="003037B6" w:rsidRPr="00C03E46" w:rsidRDefault="003037B6" w:rsidP="00662938">
            <w:pPr>
              <w:spacing w:line="240" w:lineRule="auto"/>
              <w:contextualSpacing/>
              <w:jc w:val="center"/>
              <w:rPr>
                <w:sz w:val="18"/>
                <w:szCs w:val="18"/>
              </w:rPr>
            </w:pPr>
            <w:r w:rsidRPr="00C03E46">
              <w:rPr>
                <w:sz w:val="18"/>
                <w:szCs w:val="18"/>
              </w:rPr>
              <w:t>5.1%</w:t>
            </w:r>
          </w:p>
        </w:tc>
        <w:tc>
          <w:tcPr>
            <w:tcW w:w="600" w:type="pct"/>
            <w:noWrap/>
            <w:vAlign w:val="center"/>
            <w:hideMark/>
          </w:tcPr>
          <w:p w14:paraId="2E849875" w14:textId="2251C556" w:rsidR="003037B6" w:rsidRPr="00C03E46" w:rsidRDefault="003037B6" w:rsidP="00662938">
            <w:pPr>
              <w:spacing w:line="240" w:lineRule="auto"/>
              <w:ind w:right="45"/>
              <w:contextualSpacing/>
              <w:jc w:val="center"/>
              <w:rPr>
                <w:sz w:val="18"/>
                <w:szCs w:val="18"/>
              </w:rPr>
            </w:pPr>
            <w:r w:rsidRPr="00C03E46">
              <w:rPr>
                <w:sz w:val="18"/>
                <w:szCs w:val="18"/>
              </w:rPr>
              <w:t>4.9%</w:t>
            </w:r>
          </w:p>
        </w:tc>
        <w:tc>
          <w:tcPr>
            <w:tcW w:w="600" w:type="pct"/>
            <w:vAlign w:val="center"/>
          </w:tcPr>
          <w:p w14:paraId="2774A28F" w14:textId="1041D722" w:rsidR="003037B6" w:rsidRPr="00C03E46" w:rsidRDefault="003037B6" w:rsidP="00662938">
            <w:pPr>
              <w:spacing w:line="240" w:lineRule="auto"/>
              <w:ind w:right="-15"/>
              <w:contextualSpacing/>
              <w:jc w:val="center"/>
              <w:rPr>
                <w:sz w:val="18"/>
                <w:szCs w:val="18"/>
              </w:rPr>
            </w:pPr>
            <w:r w:rsidRPr="00C03E46">
              <w:rPr>
                <w:sz w:val="18"/>
                <w:szCs w:val="18"/>
              </w:rPr>
              <w:t>4.9%</w:t>
            </w:r>
          </w:p>
        </w:tc>
        <w:tc>
          <w:tcPr>
            <w:tcW w:w="600" w:type="pct"/>
            <w:vAlign w:val="center"/>
          </w:tcPr>
          <w:p w14:paraId="2FD9837E" w14:textId="7D07988F" w:rsidR="003037B6" w:rsidRPr="00C03E46" w:rsidRDefault="003037B6" w:rsidP="00662938">
            <w:pPr>
              <w:spacing w:line="240" w:lineRule="auto"/>
              <w:ind w:right="-119"/>
              <w:contextualSpacing/>
              <w:jc w:val="center"/>
              <w:rPr>
                <w:sz w:val="18"/>
                <w:szCs w:val="18"/>
              </w:rPr>
            </w:pPr>
            <w:r w:rsidRPr="00C03E46">
              <w:rPr>
                <w:sz w:val="18"/>
                <w:szCs w:val="18"/>
              </w:rPr>
              <w:t>4.9%</w:t>
            </w:r>
          </w:p>
        </w:tc>
      </w:tr>
      <w:tr w:rsidR="00C03E46" w:rsidRPr="007B7DFC" w14:paraId="01EC54A6" w14:textId="77777777" w:rsidTr="00C03E46">
        <w:trPr>
          <w:trHeight w:val="408"/>
        </w:trPr>
        <w:tc>
          <w:tcPr>
            <w:tcW w:w="802" w:type="pct"/>
            <w:noWrap/>
            <w:vAlign w:val="center"/>
            <w:hideMark/>
          </w:tcPr>
          <w:p w14:paraId="0C658B52" w14:textId="77777777" w:rsidR="001B106B" w:rsidRPr="00C03E46" w:rsidRDefault="001B106B" w:rsidP="00662938">
            <w:pPr>
              <w:spacing w:line="240" w:lineRule="auto"/>
              <w:contextualSpacing/>
              <w:jc w:val="left"/>
              <w:rPr>
                <w:sz w:val="18"/>
                <w:szCs w:val="18"/>
              </w:rPr>
            </w:pPr>
            <w:r w:rsidRPr="00C03E46">
              <w:rPr>
                <w:sz w:val="18"/>
                <w:szCs w:val="18"/>
              </w:rPr>
              <w:t>US</w:t>
            </w:r>
          </w:p>
        </w:tc>
        <w:tc>
          <w:tcPr>
            <w:tcW w:w="599" w:type="pct"/>
            <w:vAlign w:val="center"/>
          </w:tcPr>
          <w:p w14:paraId="2E9E717A" w14:textId="16467A68" w:rsidR="001B106B" w:rsidRPr="00C03E46" w:rsidRDefault="001B106B" w:rsidP="00662938">
            <w:pPr>
              <w:spacing w:line="240" w:lineRule="auto"/>
              <w:ind w:right="-60"/>
              <w:contextualSpacing/>
              <w:jc w:val="center"/>
              <w:rPr>
                <w:sz w:val="18"/>
                <w:szCs w:val="18"/>
              </w:rPr>
            </w:pPr>
            <w:r w:rsidRPr="00C03E46">
              <w:rPr>
                <w:sz w:val="18"/>
                <w:szCs w:val="18"/>
              </w:rPr>
              <w:t>4.5%</w:t>
            </w:r>
          </w:p>
        </w:tc>
        <w:tc>
          <w:tcPr>
            <w:tcW w:w="600" w:type="pct"/>
            <w:vAlign w:val="center"/>
          </w:tcPr>
          <w:p w14:paraId="0F742100" w14:textId="365559B7" w:rsidR="001B106B" w:rsidRPr="00C03E46" w:rsidRDefault="001B106B" w:rsidP="00662938">
            <w:pPr>
              <w:spacing w:line="240" w:lineRule="auto"/>
              <w:ind w:right="-90"/>
              <w:contextualSpacing/>
              <w:jc w:val="center"/>
              <w:rPr>
                <w:sz w:val="18"/>
                <w:szCs w:val="18"/>
              </w:rPr>
            </w:pPr>
            <w:r w:rsidRPr="00C03E46">
              <w:rPr>
                <w:sz w:val="18"/>
                <w:szCs w:val="18"/>
              </w:rPr>
              <w:t>4.0%</w:t>
            </w:r>
          </w:p>
        </w:tc>
        <w:tc>
          <w:tcPr>
            <w:tcW w:w="600" w:type="pct"/>
            <w:noWrap/>
            <w:vAlign w:val="center"/>
            <w:hideMark/>
          </w:tcPr>
          <w:p w14:paraId="7522C202" w14:textId="01F3D736" w:rsidR="001B106B" w:rsidRPr="00C03E46" w:rsidRDefault="001B106B" w:rsidP="00662938">
            <w:pPr>
              <w:spacing w:line="240" w:lineRule="auto"/>
              <w:ind w:right="-45"/>
              <w:contextualSpacing/>
              <w:jc w:val="center"/>
              <w:rPr>
                <w:sz w:val="18"/>
                <w:szCs w:val="18"/>
              </w:rPr>
            </w:pPr>
            <w:r w:rsidRPr="00C03E46">
              <w:rPr>
                <w:sz w:val="18"/>
                <w:szCs w:val="18"/>
              </w:rPr>
              <w:t>3.9%</w:t>
            </w:r>
          </w:p>
        </w:tc>
        <w:tc>
          <w:tcPr>
            <w:tcW w:w="599" w:type="pct"/>
            <w:noWrap/>
            <w:vAlign w:val="center"/>
            <w:hideMark/>
          </w:tcPr>
          <w:p w14:paraId="5179ABBB" w14:textId="7FD4EE0B" w:rsidR="001B106B" w:rsidRPr="00C03E46" w:rsidRDefault="001B106B" w:rsidP="00662938">
            <w:pPr>
              <w:spacing w:line="240" w:lineRule="auto"/>
              <w:contextualSpacing/>
              <w:jc w:val="center"/>
              <w:rPr>
                <w:sz w:val="18"/>
                <w:szCs w:val="18"/>
              </w:rPr>
            </w:pPr>
            <w:r w:rsidRPr="00C03E46">
              <w:rPr>
                <w:sz w:val="18"/>
                <w:szCs w:val="18"/>
              </w:rPr>
              <w:t>4.3%</w:t>
            </w:r>
          </w:p>
        </w:tc>
        <w:tc>
          <w:tcPr>
            <w:tcW w:w="600" w:type="pct"/>
            <w:noWrap/>
            <w:vAlign w:val="center"/>
            <w:hideMark/>
          </w:tcPr>
          <w:p w14:paraId="43BDF914" w14:textId="3FE6D4BB" w:rsidR="001B106B" w:rsidRPr="00C03E46" w:rsidRDefault="001B106B" w:rsidP="00662938">
            <w:pPr>
              <w:spacing w:line="240" w:lineRule="auto"/>
              <w:ind w:right="45"/>
              <w:contextualSpacing/>
              <w:jc w:val="center"/>
              <w:rPr>
                <w:sz w:val="18"/>
                <w:szCs w:val="18"/>
              </w:rPr>
            </w:pPr>
            <w:r w:rsidRPr="00C03E46">
              <w:rPr>
                <w:sz w:val="18"/>
                <w:szCs w:val="18"/>
              </w:rPr>
              <w:t>4.0%</w:t>
            </w:r>
          </w:p>
        </w:tc>
        <w:tc>
          <w:tcPr>
            <w:tcW w:w="600" w:type="pct"/>
            <w:vAlign w:val="center"/>
          </w:tcPr>
          <w:p w14:paraId="0AED941B" w14:textId="157BE965" w:rsidR="001B106B" w:rsidRPr="00C03E46" w:rsidRDefault="001B106B" w:rsidP="00662938">
            <w:pPr>
              <w:spacing w:line="240" w:lineRule="auto"/>
              <w:ind w:right="-15"/>
              <w:contextualSpacing/>
              <w:jc w:val="center"/>
              <w:rPr>
                <w:sz w:val="18"/>
                <w:szCs w:val="18"/>
              </w:rPr>
            </w:pPr>
            <w:r w:rsidRPr="00C03E46">
              <w:rPr>
                <w:sz w:val="18"/>
                <w:szCs w:val="18"/>
              </w:rPr>
              <w:t>4.0%</w:t>
            </w:r>
          </w:p>
        </w:tc>
        <w:tc>
          <w:tcPr>
            <w:tcW w:w="600" w:type="pct"/>
            <w:vAlign w:val="center"/>
          </w:tcPr>
          <w:p w14:paraId="6A094D6E" w14:textId="535F5285" w:rsidR="001B106B" w:rsidRPr="00C03E46" w:rsidRDefault="001B106B" w:rsidP="00662938">
            <w:pPr>
              <w:spacing w:line="240" w:lineRule="auto"/>
              <w:ind w:right="-119"/>
              <w:contextualSpacing/>
              <w:jc w:val="center"/>
              <w:rPr>
                <w:sz w:val="18"/>
                <w:szCs w:val="18"/>
              </w:rPr>
            </w:pPr>
            <w:r w:rsidRPr="00C03E46">
              <w:rPr>
                <w:sz w:val="18"/>
                <w:szCs w:val="18"/>
              </w:rPr>
              <w:t>4.0%</w:t>
            </w:r>
          </w:p>
        </w:tc>
      </w:tr>
      <w:tr w:rsidR="00C03E46" w:rsidRPr="007B7DFC" w14:paraId="7D5A8BDB" w14:textId="77777777" w:rsidTr="00C03E46">
        <w:trPr>
          <w:trHeight w:val="408"/>
        </w:trPr>
        <w:tc>
          <w:tcPr>
            <w:tcW w:w="802" w:type="pct"/>
            <w:noWrap/>
            <w:vAlign w:val="center"/>
          </w:tcPr>
          <w:p w14:paraId="6278160E" w14:textId="77777777" w:rsidR="00E02CC8" w:rsidRPr="00C03E46" w:rsidRDefault="00E02CC8" w:rsidP="00662938">
            <w:pPr>
              <w:spacing w:line="240" w:lineRule="auto"/>
              <w:contextualSpacing/>
              <w:jc w:val="left"/>
              <w:rPr>
                <w:sz w:val="18"/>
                <w:szCs w:val="18"/>
              </w:rPr>
            </w:pPr>
            <w:r w:rsidRPr="00C03E46">
              <w:rPr>
                <w:sz w:val="18"/>
                <w:szCs w:val="18"/>
              </w:rPr>
              <w:t>China*</w:t>
            </w:r>
          </w:p>
        </w:tc>
        <w:tc>
          <w:tcPr>
            <w:tcW w:w="599" w:type="pct"/>
            <w:vAlign w:val="center"/>
          </w:tcPr>
          <w:p w14:paraId="33F3084E" w14:textId="50304690" w:rsidR="00E02CC8" w:rsidRPr="00C03E46" w:rsidRDefault="00E02CC8" w:rsidP="00662938">
            <w:pPr>
              <w:spacing w:line="240" w:lineRule="auto"/>
              <w:ind w:right="-60"/>
              <w:contextualSpacing/>
              <w:jc w:val="center"/>
              <w:rPr>
                <w:sz w:val="18"/>
                <w:szCs w:val="18"/>
              </w:rPr>
            </w:pPr>
            <w:r w:rsidRPr="00C03E46">
              <w:rPr>
                <w:sz w:val="18"/>
                <w:szCs w:val="18"/>
              </w:rPr>
              <w:t>2.6%</w:t>
            </w:r>
          </w:p>
        </w:tc>
        <w:tc>
          <w:tcPr>
            <w:tcW w:w="600" w:type="pct"/>
            <w:vAlign w:val="center"/>
          </w:tcPr>
          <w:p w14:paraId="0D92746D" w14:textId="6677D619" w:rsidR="00E02CC8" w:rsidRPr="00C03E46" w:rsidRDefault="00E02CC8" w:rsidP="00662938">
            <w:pPr>
              <w:spacing w:line="240" w:lineRule="auto"/>
              <w:ind w:right="-90"/>
              <w:contextualSpacing/>
              <w:jc w:val="center"/>
              <w:rPr>
                <w:sz w:val="18"/>
                <w:szCs w:val="18"/>
              </w:rPr>
            </w:pPr>
            <w:r w:rsidRPr="00C03E46">
              <w:rPr>
                <w:sz w:val="18"/>
                <w:szCs w:val="18"/>
              </w:rPr>
              <w:t>5.9%</w:t>
            </w:r>
          </w:p>
        </w:tc>
        <w:tc>
          <w:tcPr>
            <w:tcW w:w="600" w:type="pct"/>
            <w:noWrap/>
            <w:vAlign w:val="center"/>
          </w:tcPr>
          <w:p w14:paraId="46893624" w14:textId="7F075FF4" w:rsidR="00E02CC8" w:rsidRPr="00C03E46" w:rsidRDefault="00E02CC8" w:rsidP="00662938">
            <w:pPr>
              <w:spacing w:line="240" w:lineRule="auto"/>
              <w:ind w:right="-45"/>
              <w:contextualSpacing/>
              <w:jc w:val="center"/>
              <w:rPr>
                <w:sz w:val="18"/>
                <w:szCs w:val="18"/>
              </w:rPr>
            </w:pPr>
            <w:r w:rsidRPr="00C03E46">
              <w:rPr>
                <w:sz w:val="18"/>
                <w:szCs w:val="18"/>
              </w:rPr>
              <w:t>6.5%</w:t>
            </w:r>
          </w:p>
        </w:tc>
        <w:tc>
          <w:tcPr>
            <w:tcW w:w="599" w:type="pct"/>
            <w:noWrap/>
            <w:vAlign w:val="center"/>
          </w:tcPr>
          <w:p w14:paraId="18EED3EE" w14:textId="656CE35F" w:rsidR="00E02CC8" w:rsidRPr="00C03E46" w:rsidRDefault="00E02CC8" w:rsidP="00662938">
            <w:pPr>
              <w:spacing w:line="240" w:lineRule="auto"/>
              <w:contextualSpacing/>
              <w:jc w:val="center"/>
              <w:rPr>
                <w:sz w:val="18"/>
                <w:szCs w:val="18"/>
              </w:rPr>
            </w:pPr>
            <w:r w:rsidRPr="00C03E46">
              <w:rPr>
                <w:sz w:val="18"/>
                <w:szCs w:val="18"/>
              </w:rPr>
              <w:t>6.4%</w:t>
            </w:r>
          </w:p>
        </w:tc>
        <w:tc>
          <w:tcPr>
            <w:tcW w:w="600" w:type="pct"/>
            <w:noWrap/>
            <w:vAlign w:val="center"/>
          </w:tcPr>
          <w:p w14:paraId="1D450491" w14:textId="5DD455A6" w:rsidR="00E02CC8" w:rsidRPr="00C03E46" w:rsidRDefault="00E02CC8" w:rsidP="00662938">
            <w:pPr>
              <w:spacing w:line="240" w:lineRule="auto"/>
              <w:ind w:right="45"/>
              <w:contextualSpacing/>
              <w:jc w:val="center"/>
              <w:rPr>
                <w:sz w:val="18"/>
                <w:szCs w:val="18"/>
              </w:rPr>
            </w:pPr>
            <w:r w:rsidRPr="00C03E46">
              <w:rPr>
                <w:sz w:val="18"/>
                <w:szCs w:val="18"/>
              </w:rPr>
              <w:t>5.9%</w:t>
            </w:r>
          </w:p>
        </w:tc>
        <w:tc>
          <w:tcPr>
            <w:tcW w:w="600" w:type="pct"/>
            <w:vAlign w:val="center"/>
          </w:tcPr>
          <w:p w14:paraId="676C98F2" w14:textId="35E6A58F" w:rsidR="00E02CC8" w:rsidRPr="00C03E46" w:rsidRDefault="00E02CC8" w:rsidP="00662938">
            <w:pPr>
              <w:spacing w:line="240" w:lineRule="auto"/>
              <w:ind w:right="-15"/>
              <w:contextualSpacing/>
              <w:jc w:val="center"/>
              <w:rPr>
                <w:sz w:val="18"/>
                <w:szCs w:val="18"/>
              </w:rPr>
            </w:pPr>
            <w:r w:rsidRPr="00C03E46">
              <w:rPr>
                <w:sz w:val="18"/>
                <w:szCs w:val="18"/>
              </w:rPr>
              <w:t>5.6%</w:t>
            </w:r>
          </w:p>
        </w:tc>
        <w:tc>
          <w:tcPr>
            <w:tcW w:w="600" w:type="pct"/>
            <w:vAlign w:val="center"/>
          </w:tcPr>
          <w:p w14:paraId="7BCCDD81" w14:textId="53B87BA7" w:rsidR="00E02CC8" w:rsidRPr="00C03E46" w:rsidRDefault="00E02CC8" w:rsidP="00662938">
            <w:pPr>
              <w:spacing w:line="240" w:lineRule="auto"/>
              <w:ind w:right="-119"/>
              <w:contextualSpacing/>
              <w:jc w:val="center"/>
              <w:rPr>
                <w:sz w:val="18"/>
                <w:szCs w:val="18"/>
              </w:rPr>
            </w:pPr>
            <w:r w:rsidRPr="00C03E46">
              <w:rPr>
                <w:sz w:val="18"/>
                <w:szCs w:val="18"/>
              </w:rPr>
              <w:t>6.1%</w:t>
            </w:r>
          </w:p>
        </w:tc>
      </w:tr>
      <w:tr w:rsidR="00C03E46" w:rsidRPr="007B7DFC" w14:paraId="17362FDD" w14:textId="77777777" w:rsidTr="00C03E46">
        <w:trPr>
          <w:trHeight w:val="408"/>
        </w:trPr>
        <w:tc>
          <w:tcPr>
            <w:tcW w:w="802" w:type="pct"/>
            <w:noWrap/>
            <w:vAlign w:val="center"/>
            <w:hideMark/>
          </w:tcPr>
          <w:p w14:paraId="15B44347" w14:textId="77777777" w:rsidR="00BF297B" w:rsidRPr="00C03E46" w:rsidRDefault="00BF297B" w:rsidP="00662938">
            <w:pPr>
              <w:spacing w:line="240" w:lineRule="auto"/>
              <w:contextualSpacing/>
              <w:jc w:val="left"/>
              <w:rPr>
                <w:sz w:val="18"/>
                <w:szCs w:val="18"/>
              </w:rPr>
            </w:pPr>
            <w:r w:rsidRPr="00C03E46">
              <w:rPr>
                <w:sz w:val="18"/>
                <w:szCs w:val="18"/>
              </w:rPr>
              <w:t>Euro area</w:t>
            </w:r>
          </w:p>
        </w:tc>
        <w:tc>
          <w:tcPr>
            <w:tcW w:w="599" w:type="pct"/>
            <w:vAlign w:val="center"/>
          </w:tcPr>
          <w:p w14:paraId="3F85B1DE" w14:textId="4D8A7E53" w:rsidR="00BF297B" w:rsidRPr="00C03E46" w:rsidRDefault="00BF297B" w:rsidP="00662938">
            <w:pPr>
              <w:spacing w:line="240" w:lineRule="auto"/>
              <w:ind w:right="-60"/>
              <w:contextualSpacing/>
              <w:jc w:val="center"/>
              <w:rPr>
                <w:sz w:val="18"/>
                <w:szCs w:val="18"/>
              </w:rPr>
            </w:pPr>
            <w:r w:rsidRPr="00C03E46">
              <w:rPr>
                <w:sz w:val="18"/>
                <w:szCs w:val="18"/>
              </w:rPr>
              <w:t>2.6%</w:t>
            </w:r>
          </w:p>
        </w:tc>
        <w:tc>
          <w:tcPr>
            <w:tcW w:w="600" w:type="pct"/>
            <w:vAlign w:val="center"/>
          </w:tcPr>
          <w:p w14:paraId="07055889" w14:textId="58BBC0C5" w:rsidR="00BF297B" w:rsidRPr="00C03E46" w:rsidRDefault="00BF297B" w:rsidP="00662938">
            <w:pPr>
              <w:spacing w:line="240" w:lineRule="auto"/>
              <w:ind w:right="-90"/>
              <w:contextualSpacing/>
              <w:jc w:val="center"/>
              <w:rPr>
                <w:sz w:val="18"/>
                <w:szCs w:val="18"/>
              </w:rPr>
            </w:pPr>
            <w:r w:rsidRPr="00C03E46">
              <w:rPr>
                <w:sz w:val="18"/>
                <w:szCs w:val="18"/>
              </w:rPr>
              <w:t>3.8%</w:t>
            </w:r>
          </w:p>
        </w:tc>
        <w:tc>
          <w:tcPr>
            <w:tcW w:w="600" w:type="pct"/>
            <w:noWrap/>
            <w:vAlign w:val="center"/>
            <w:hideMark/>
          </w:tcPr>
          <w:p w14:paraId="73222CCC" w14:textId="4D17DB31" w:rsidR="00BF297B" w:rsidRPr="00C03E46" w:rsidRDefault="00BF297B" w:rsidP="00662938">
            <w:pPr>
              <w:spacing w:line="240" w:lineRule="auto"/>
              <w:ind w:right="-45"/>
              <w:contextualSpacing/>
              <w:jc w:val="center"/>
              <w:rPr>
                <w:sz w:val="18"/>
                <w:szCs w:val="18"/>
              </w:rPr>
            </w:pPr>
            <w:r w:rsidRPr="00C03E46">
              <w:rPr>
                <w:sz w:val="18"/>
                <w:szCs w:val="18"/>
              </w:rPr>
              <w:t>3.3%</w:t>
            </w:r>
          </w:p>
        </w:tc>
        <w:tc>
          <w:tcPr>
            <w:tcW w:w="599" w:type="pct"/>
            <w:noWrap/>
            <w:vAlign w:val="center"/>
            <w:hideMark/>
          </w:tcPr>
          <w:p w14:paraId="011D94AF" w14:textId="7BF7108E" w:rsidR="00BF297B" w:rsidRPr="00C03E46" w:rsidRDefault="00BF297B" w:rsidP="00662938">
            <w:pPr>
              <w:spacing w:line="240" w:lineRule="auto"/>
              <w:contextualSpacing/>
              <w:jc w:val="center"/>
              <w:rPr>
                <w:sz w:val="18"/>
                <w:szCs w:val="18"/>
              </w:rPr>
            </w:pPr>
            <w:r w:rsidRPr="00C03E46">
              <w:rPr>
                <w:sz w:val="18"/>
                <w:szCs w:val="18"/>
              </w:rPr>
              <w:t>3.3%</w:t>
            </w:r>
          </w:p>
        </w:tc>
        <w:tc>
          <w:tcPr>
            <w:tcW w:w="600" w:type="pct"/>
            <w:noWrap/>
            <w:vAlign w:val="center"/>
            <w:hideMark/>
          </w:tcPr>
          <w:p w14:paraId="66DDB9BD" w14:textId="37CF3F52" w:rsidR="00BF297B" w:rsidRPr="00C03E46" w:rsidRDefault="00BF297B" w:rsidP="00662938">
            <w:pPr>
              <w:spacing w:line="240" w:lineRule="auto"/>
              <w:ind w:right="45"/>
              <w:contextualSpacing/>
              <w:jc w:val="center"/>
              <w:rPr>
                <w:sz w:val="18"/>
                <w:szCs w:val="18"/>
              </w:rPr>
            </w:pPr>
            <w:r w:rsidRPr="00C03E46">
              <w:rPr>
                <w:sz w:val="18"/>
                <w:szCs w:val="18"/>
              </w:rPr>
              <w:t>3.3%</w:t>
            </w:r>
          </w:p>
        </w:tc>
        <w:tc>
          <w:tcPr>
            <w:tcW w:w="600" w:type="pct"/>
            <w:vAlign w:val="center"/>
          </w:tcPr>
          <w:p w14:paraId="621CC653" w14:textId="24BD0B80" w:rsidR="00BF297B" w:rsidRPr="00C03E46" w:rsidRDefault="00BF297B" w:rsidP="00662938">
            <w:pPr>
              <w:spacing w:line="240" w:lineRule="auto"/>
              <w:ind w:right="-15"/>
              <w:contextualSpacing/>
              <w:jc w:val="center"/>
              <w:rPr>
                <w:sz w:val="18"/>
                <w:szCs w:val="18"/>
              </w:rPr>
            </w:pPr>
            <w:r w:rsidRPr="00C03E46">
              <w:rPr>
                <w:sz w:val="18"/>
                <w:szCs w:val="18"/>
              </w:rPr>
              <w:t>3.3%</w:t>
            </w:r>
          </w:p>
        </w:tc>
        <w:tc>
          <w:tcPr>
            <w:tcW w:w="600" w:type="pct"/>
            <w:vAlign w:val="center"/>
          </w:tcPr>
          <w:p w14:paraId="632B8264" w14:textId="5E5404CF" w:rsidR="00BF297B" w:rsidRPr="00C03E46" w:rsidRDefault="00BF297B" w:rsidP="00662938">
            <w:pPr>
              <w:spacing w:line="240" w:lineRule="auto"/>
              <w:ind w:right="-119"/>
              <w:contextualSpacing/>
              <w:jc w:val="center"/>
              <w:rPr>
                <w:sz w:val="18"/>
                <w:szCs w:val="18"/>
              </w:rPr>
            </w:pPr>
            <w:r w:rsidRPr="00C03E46">
              <w:rPr>
                <w:sz w:val="18"/>
                <w:szCs w:val="18"/>
              </w:rPr>
              <w:t>3.4%</w:t>
            </w:r>
          </w:p>
        </w:tc>
      </w:tr>
      <w:tr w:rsidR="00C03E46" w:rsidRPr="007B7DFC" w14:paraId="3A21EBF3" w14:textId="77777777" w:rsidTr="00C03E46">
        <w:trPr>
          <w:trHeight w:val="408"/>
        </w:trPr>
        <w:tc>
          <w:tcPr>
            <w:tcW w:w="802" w:type="pct"/>
            <w:noWrap/>
            <w:vAlign w:val="center"/>
            <w:hideMark/>
          </w:tcPr>
          <w:p w14:paraId="14D6FC97" w14:textId="77777777" w:rsidR="009F5F14" w:rsidRPr="00C03E46" w:rsidRDefault="009F5F14" w:rsidP="00662938">
            <w:pPr>
              <w:spacing w:line="240" w:lineRule="auto"/>
              <w:contextualSpacing/>
              <w:jc w:val="left"/>
              <w:rPr>
                <w:sz w:val="18"/>
                <w:szCs w:val="18"/>
              </w:rPr>
            </w:pPr>
            <w:r w:rsidRPr="00C03E46">
              <w:rPr>
                <w:sz w:val="18"/>
                <w:szCs w:val="18"/>
              </w:rPr>
              <w:t>Japan</w:t>
            </w:r>
          </w:p>
        </w:tc>
        <w:tc>
          <w:tcPr>
            <w:tcW w:w="599" w:type="pct"/>
            <w:vAlign w:val="center"/>
          </w:tcPr>
          <w:p w14:paraId="16A4F564" w14:textId="7C9BB83F" w:rsidR="009F5F14" w:rsidRPr="00C03E46" w:rsidRDefault="009F5F14" w:rsidP="00662938">
            <w:pPr>
              <w:spacing w:line="240" w:lineRule="auto"/>
              <w:ind w:right="-60"/>
              <w:contextualSpacing/>
              <w:jc w:val="center"/>
              <w:rPr>
                <w:sz w:val="18"/>
                <w:szCs w:val="18"/>
              </w:rPr>
            </w:pPr>
            <w:r w:rsidRPr="00C03E46">
              <w:rPr>
                <w:sz w:val="18"/>
                <w:szCs w:val="18"/>
              </w:rPr>
              <w:t>4.0%</w:t>
            </w:r>
          </w:p>
        </w:tc>
        <w:tc>
          <w:tcPr>
            <w:tcW w:w="600" w:type="pct"/>
            <w:vAlign w:val="center"/>
          </w:tcPr>
          <w:p w14:paraId="5166AA36" w14:textId="5D0A3E3D" w:rsidR="009F5F14" w:rsidRPr="00C03E46" w:rsidRDefault="009F5F14" w:rsidP="00662938">
            <w:pPr>
              <w:spacing w:line="240" w:lineRule="auto"/>
              <w:ind w:right="-90"/>
              <w:contextualSpacing/>
              <w:jc w:val="center"/>
              <w:rPr>
                <w:sz w:val="18"/>
                <w:szCs w:val="18"/>
              </w:rPr>
            </w:pPr>
            <w:r w:rsidRPr="00C03E46">
              <w:rPr>
                <w:sz w:val="18"/>
                <w:szCs w:val="18"/>
              </w:rPr>
              <w:t>4.5%</w:t>
            </w:r>
          </w:p>
        </w:tc>
        <w:tc>
          <w:tcPr>
            <w:tcW w:w="600" w:type="pct"/>
            <w:noWrap/>
            <w:vAlign w:val="center"/>
            <w:hideMark/>
          </w:tcPr>
          <w:p w14:paraId="6A9CABE3" w14:textId="15693BD9" w:rsidR="009F5F14" w:rsidRPr="00C03E46" w:rsidRDefault="009F5F14" w:rsidP="00662938">
            <w:pPr>
              <w:spacing w:line="240" w:lineRule="auto"/>
              <w:ind w:right="-45"/>
              <w:contextualSpacing/>
              <w:jc w:val="center"/>
              <w:rPr>
                <w:sz w:val="18"/>
                <w:szCs w:val="18"/>
              </w:rPr>
            </w:pPr>
            <w:r w:rsidRPr="00C03E46">
              <w:rPr>
                <w:sz w:val="18"/>
                <w:szCs w:val="18"/>
              </w:rPr>
              <w:t>3.4%</w:t>
            </w:r>
          </w:p>
        </w:tc>
        <w:tc>
          <w:tcPr>
            <w:tcW w:w="599" w:type="pct"/>
            <w:noWrap/>
            <w:vAlign w:val="center"/>
            <w:hideMark/>
          </w:tcPr>
          <w:p w14:paraId="177B0E3E" w14:textId="35075EC1" w:rsidR="009F5F14" w:rsidRPr="00C03E46" w:rsidRDefault="009F5F14" w:rsidP="00662938">
            <w:pPr>
              <w:spacing w:line="240" w:lineRule="auto"/>
              <w:contextualSpacing/>
              <w:jc w:val="center"/>
              <w:rPr>
                <w:sz w:val="18"/>
                <w:szCs w:val="18"/>
              </w:rPr>
            </w:pPr>
            <w:r w:rsidRPr="00C03E46">
              <w:rPr>
                <w:sz w:val="18"/>
                <w:szCs w:val="18"/>
              </w:rPr>
              <w:t>4.2%</w:t>
            </w:r>
          </w:p>
        </w:tc>
        <w:tc>
          <w:tcPr>
            <w:tcW w:w="600" w:type="pct"/>
            <w:noWrap/>
            <w:vAlign w:val="center"/>
            <w:hideMark/>
          </w:tcPr>
          <w:p w14:paraId="66DE0DC7" w14:textId="5E94B1CD" w:rsidR="009F5F14" w:rsidRPr="00C03E46" w:rsidRDefault="009F5F14" w:rsidP="00662938">
            <w:pPr>
              <w:spacing w:line="240" w:lineRule="auto"/>
              <w:ind w:right="45"/>
              <w:contextualSpacing/>
              <w:jc w:val="center"/>
              <w:rPr>
                <w:sz w:val="18"/>
                <w:szCs w:val="18"/>
              </w:rPr>
            </w:pPr>
            <w:r w:rsidRPr="00C03E46">
              <w:rPr>
                <w:sz w:val="18"/>
                <w:szCs w:val="18"/>
              </w:rPr>
              <w:t>2.5%</w:t>
            </w:r>
          </w:p>
        </w:tc>
        <w:tc>
          <w:tcPr>
            <w:tcW w:w="600" w:type="pct"/>
            <w:vAlign w:val="center"/>
          </w:tcPr>
          <w:p w14:paraId="3251CFB6" w14:textId="0975E2E9" w:rsidR="009F5F14" w:rsidRPr="00C03E46" w:rsidRDefault="009F5F14" w:rsidP="00662938">
            <w:pPr>
              <w:spacing w:line="240" w:lineRule="auto"/>
              <w:ind w:right="-15"/>
              <w:contextualSpacing/>
              <w:jc w:val="center"/>
              <w:rPr>
                <w:sz w:val="18"/>
                <w:szCs w:val="18"/>
              </w:rPr>
            </w:pPr>
            <w:r w:rsidRPr="00C03E46">
              <w:rPr>
                <w:sz w:val="18"/>
                <w:szCs w:val="18"/>
              </w:rPr>
              <w:t>3.5%</w:t>
            </w:r>
          </w:p>
        </w:tc>
        <w:tc>
          <w:tcPr>
            <w:tcW w:w="600" w:type="pct"/>
            <w:vAlign w:val="center"/>
          </w:tcPr>
          <w:p w14:paraId="6FC38067" w14:textId="73FF737F" w:rsidR="009F5F14" w:rsidRPr="00C03E46" w:rsidRDefault="009F5F14" w:rsidP="00662938">
            <w:pPr>
              <w:spacing w:line="240" w:lineRule="auto"/>
              <w:ind w:right="-119"/>
              <w:contextualSpacing/>
              <w:jc w:val="center"/>
              <w:rPr>
                <w:sz w:val="18"/>
                <w:szCs w:val="18"/>
              </w:rPr>
            </w:pPr>
            <w:r w:rsidRPr="00C03E46">
              <w:rPr>
                <w:sz w:val="18"/>
                <w:szCs w:val="18"/>
              </w:rPr>
              <w:t>3.6%</w:t>
            </w:r>
          </w:p>
        </w:tc>
      </w:tr>
      <w:tr w:rsidR="00C03E46" w:rsidRPr="007B7DFC" w14:paraId="1B2EFD2D" w14:textId="77777777" w:rsidTr="00C03E46">
        <w:trPr>
          <w:trHeight w:val="408"/>
        </w:trPr>
        <w:tc>
          <w:tcPr>
            <w:tcW w:w="802" w:type="pct"/>
            <w:noWrap/>
            <w:vAlign w:val="center"/>
            <w:hideMark/>
          </w:tcPr>
          <w:p w14:paraId="42659EEC" w14:textId="77777777" w:rsidR="009F5F14" w:rsidRPr="00C03E46" w:rsidRDefault="009F5F14" w:rsidP="00662938">
            <w:pPr>
              <w:spacing w:line="240" w:lineRule="auto"/>
              <w:contextualSpacing/>
              <w:jc w:val="left"/>
              <w:rPr>
                <w:sz w:val="18"/>
                <w:szCs w:val="18"/>
              </w:rPr>
            </w:pPr>
            <w:r w:rsidRPr="00C03E46">
              <w:rPr>
                <w:sz w:val="18"/>
                <w:szCs w:val="18"/>
              </w:rPr>
              <w:t>UK</w:t>
            </w:r>
          </w:p>
        </w:tc>
        <w:tc>
          <w:tcPr>
            <w:tcW w:w="599" w:type="pct"/>
            <w:vAlign w:val="center"/>
          </w:tcPr>
          <w:p w14:paraId="4F8E8ED0" w14:textId="2322CD71" w:rsidR="009F5F14" w:rsidRPr="00C03E46" w:rsidRDefault="009F5F14" w:rsidP="00662938">
            <w:pPr>
              <w:spacing w:line="240" w:lineRule="auto"/>
              <w:ind w:right="-60"/>
              <w:contextualSpacing/>
              <w:jc w:val="center"/>
              <w:rPr>
                <w:sz w:val="18"/>
                <w:szCs w:val="18"/>
              </w:rPr>
            </w:pPr>
            <w:r w:rsidRPr="00C03E46">
              <w:rPr>
                <w:sz w:val="18"/>
                <w:szCs w:val="18"/>
              </w:rPr>
              <w:t>5.3%</w:t>
            </w:r>
          </w:p>
        </w:tc>
        <w:tc>
          <w:tcPr>
            <w:tcW w:w="600" w:type="pct"/>
            <w:vAlign w:val="center"/>
          </w:tcPr>
          <w:p w14:paraId="2B099B8E" w14:textId="169130BA" w:rsidR="009F5F14" w:rsidRPr="00C03E46" w:rsidRDefault="009F5F14" w:rsidP="00662938">
            <w:pPr>
              <w:spacing w:line="240" w:lineRule="auto"/>
              <w:ind w:right="-90"/>
              <w:contextualSpacing/>
              <w:jc w:val="center"/>
              <w:rPr>
                <w:sz w:val="18"/>
                <w:szCs w:val="18"/>
              </w:rPr>
            </w:pPr>
            <w:r w:rsidRPr="00C03E46">
              <w:rPr>
                <w:sz w:val="18"/>
                <w:szCs w:val="18"/>
              </w:rPr>
              <w:t>5.3%</w:t>
            </w:r>
          </w:p>
        </w:tc>
        <w:tc>
          <w:tcPr>
            <w:tcW w:w="600" w:type="pct"/>
            <w:noWrap/>
            <w:vAlign w:val="center"/>
            <w:hideMark/>
          </w:tcPr>
          <w:p w14:paraId="2AA14FD5" w14:textId="363ADE79" w:rsidR="009F5F14" w:rsidRPr="00C03E46" w:rsidRDefault="009F5F14" w:rsidP="00662938">
            <w:pPr>
              <w:spacing w:line="240" w:lineRule="auto"/>
              <w:ind w:right="-45"/>
              <w:contextualSpacing/>
              <w:jc w:val="center"/>
              <w:rPr>
                <w:sz w:val="18"/>
                <w:szCs w:val="18"/>
              </w:rPr>
            </w:pPr>
            <w:r w:rsidRPr="00C03E46">
              <w:rPr>
                <w:sz w:val="18"/>
                <w:szCs w:val="18"/>
              </w:rPr>
              <w:t>4.9%</w:t>
            </w:r>
          </w:p>
        </w:tc>
        <w:tc>
          <w:tcPr>
            <w:tcW w:w="599" w:type="pct"/>
            <w:noWrap/>
            <w:vAlign w:val="center"/>
            <w:hideMark/>
          </w:tcPr>
          <w:p w14:paraId="09806F88" w14:textId="39D2CC09" w:rsidR="009F5F14" w:rsidRPr="00C03E46" w:rsidRDefault="009F5F14" w:rsidP="00662938">
            <w:pPr>
              <w:spacing w:line="240" w:lineRule="auto"/>
              <w:contextualSpacing/>
              <w:jc w:val="center"/>
              <w:rPr>
                <w:sz w:val="18"/>
                <w:szCs w:val="18"/>
              </w:rPr>
            </w:pPr>
            <w:r w:rsidRPr="00C03E46">
              <w:rPr>
                <w:sz w:val="18"/>
                <w:szCs w:val="18"/>
              </w:rPr>
              <w:t>5.1%</w:t>
            </w:r>
          </w:p>
        </w:tc>
        <w:tc>
          <w:tcPr>
            <w:tcW w:w="600" w:type="pct"/>
            <w:noWrap/>
            <w:vAlign w:val="center"/>
            <w:hideMark/>
          </w:tcPr>
          <w:p w14:paraId="1F435D05" w14:textId="421582F2" w:rsidR="009F5F14" w:rsidRPr="00C03E46" w:rsidRDefault="009F5F14" w:rsidP="00662938">
            <w:pPr>
              <w:spacing w:line="240" w:lineRule="auto"/>
              <w:ind w:right="45"/>
              <w:contextualSpacing/>
              <w:jc w:val="center"/>
              <w:rPr>
                <w:sz w:val="18"/>
                <w:szCs w:val="18"/>
              </w:rPr>
            </w:pPr>
            <w:r w:rsidRPr="00C03E46">
              <w:rPr>
                <w:sz w:val="18"/>
                <w:szCs w:val="18"/>
              </w:rPr>
              <w:t>5.5%</w:t>
            </w:r>
          </w:p>
        </w:tc>
        <w:tc>
          <w:tcPr>
            <w:tcW w:w="600" w:type="pct"/>
            <w:vAlign w:val="center"/>
          </w:tcPr>
          <w:p w14:paraId="4CD751B4" w14:textId="4E4D4924" w:rsidR="009F5F14" w:rsidRPr="00C03E46" w:rsidRDefault="009F5F14" w:rsidP="00662938">
            <w:pPr>
              <w:spacing w:line="240" w:lineRule="auto"/>
              <w:ind w:right="-15"/>
              <w:contextualSpacing/>
              <w:jc w:val="center"/>
              <w:rPr>
                <w:sz w:val="18"/>
                <w:szCs w:val="18"/>
              </w:rPr>
            </w:pPr>
            <w:r w:rsidRPr="00C03E46">
              <w:rPr>
                <w:sz w:val="18"/>
                <w:szCs w:val="18"/>
              </w:rPr>
              <w:t>5.4%</w:t>
            </w:r>
          </w:p>
        </w:tc>
        <w:tc>
          <w:tcPr>
            <w:tcW w:w="600" w:type="pct"/>
            <w:vAlign w:val="center"/>
          </w:tcPr>
          <w:p w14:paraId="76544D86" w14:textId="26FECD57" w:rsidR="009F5F14" w:rsidRPr="00C03E46" w:rsidRDefault="009F5F14" w:rsidP="00662938">
            <w:pPr>
              <w:spacing w:line="240" w:lineRule="auto"/>
              <w:ind w:right="-119"/>
              <w:contextualSpacing/>
              <w:jc w:val="center"/>
              <w:rPr>
                <w:sz w:val="18"/>
                <w:szCs w:val="18"/>
              </w:rPr>
            </w:pPr>
            <w:r w:rsidRPr="00C03E46">
              <w:rPr>
                <w:sz w:val="18"/>
                <w:szCs w:val="18"/>
              </w:rPr>
              <w:t>5.2%</w:t>
            </w:r>
          </w:p>
        </w:tc>
      </w:tr>
      <w:tr w:rsidR="00C03E46" w:rsidRPr="007B7DFC" w14:paraId="43CB8874" w14:textId="77777777" w:rsidTr="00C03E46">
        <w:trPr>
          <w:trHeight w:val="408"/>
        </w:trPr>
        <w:tc>
          <w:tcPr>
            <w:tcW w:w="802" w:type="pct"/>
            <w:shd w:val="clear" w:color="auto" w:fill="D0D2D3"/>
            <w:noWrap/>
            <w:vAlign w:val="center"/>
            <w:hideMark/>
          </w:tcPr>
          <w:p w14:paraId="74B3659C" w14:textId="77777777" w:rsidR="00A72F2F" w:rsidRPr="00C03E46" w:rsidRDefault="00A72F2F" w:rsidP="00662938">
            <w:pPr>
              <w:spacing w:line="240" w:lineRule="auto"/>
              <w:contextualSpacing/>
              <w:jc w:val="left"/>
              <w:rPr>
                <w:sz w:val="18"/>
                <w:szCs w:val="18"/>
              </w:rPr>
            </w:pPr>
            <w:r w:rsidRPr="00C03E46">
              <w:rPr>
                <w:sz w:val="18"/>
                <w:szCs w:val="18"/>
              </w:rPr>
              <w:t>India*</w:t>
            </w:r>
          </w:p>
        </w:tc>
        <w:tc>
          <w:tcPr>
            <w:tcW w:w="599" w:type="pct"/>
            <w:shd w:val="clear" w:color="auto" w:fill="D0D2D3"/>
            <w:vAlign w:val="center"/>
          </w:tcPr>
          <w:p w14:paraId="214E0FB4" w14:textId="0537EED1" w:rsidR="00A72F2F" w:rsidRPr="00C03E46" w:rsidRDefault="00A72F2F" w:rsidP="00662938">
            <w:pPr>
              <w:spacing w:line="240" w:lineRule="auto"/>
              <w:ind w:right="-60"/>
              <w:contextualSpacing/>
              <w:jc w:val="center"/>
              <w:rPr>
                <w:sz w:val="18"/>
                <w:szCs w:val="18"/>
              </w:rPr>
            </w:pPr>
            <w:r w:rsidRPr="00C03E46">
              <w:rPr>
                <w:sz w:val="18"/>
                <w:szCs w:val="18"/>
              </w:rPr>
              <w:t>7.1%</w:t>
            </w:r>
          </w:p>
        </w:tc>
        <w:tc>
          <w:tcPr>
            <w:tcW w:w="600" w:type="pct"/>
            <w:shd w:val="clear" w:color="auto" w:fill="D0D2D3"/>
            <w:vAlign w:val="center"/>
          </w:tcPr>
          <w:p w14:paraId="4ABD33F2" w14:textId="75EE4D51" w:rsidR="00A72F2F" w:rsidRPr="00C03E46" w:rsidRDefault="00A72F2F" w:rsidP="00662938">
            <w:pPr>
              <w:spacing w:line="240" w:lineRule="auto"/>
              <w:ind w:right="-90"/>
              <w:contextualSpacing/>
              <w:jc w:val="center"/>
              <w:rPr>
                <w:sz w:val="18"/>
                <w:szCs w:val="18"/>
              </w:rPr>
            </w:pPr>
            <w:r w:rsidRPr="00C03E46">
              <w:rPr>
                <w:sz w:val="18"/>
                <w:szCs w:val="18"/>
              </w:rPr>
              <w:t>9.9%</w:t>
            </w:r>
          </w:p>
        </w:tc>
        <w:tc>
          <w:tcPr>
            <w:tcW w:w="600" w:type="pct"/>
            <w:shd w:val="clear" w:color="auto" w:fill="D0D2D3"/>
            <w:noWrap/>
            <w:vAlign w:val="center"/>
            <w:hideMark/>
          </w:tcPr>
          <w:p w14:paraId="577EB6A9" w14:textId="24334EDD" w:rsidR="00A72F2F" w:rsidRPr="00C03E46" w:rsidRDefault="00A72F2F" w:rsidP="00662938">
            <w:pPr>
              <w:spacing w:line="240" w:lineRule="auto"/>
              <w:ind w:right="-45"/>
              <w:contextualSpacing/>
              <w:jc w:val="center"/>
              <w:rPr>
                <w:sz w:val="18"/>
                <w:szCs w:val="18"/>
              </w:rPr>
            </w:pPr>
            <w:r w:rsidRPr="00C03E46">
              <w:rPr>
                <w:sz w:val="18"/>
                <w:szCs w:val="18"/>
              </w:rPr>
              <w:t>10.2%</w:t>
            </w:r>
          </w:p>
        </w:tc>
        <w:tc>
          <w:tcPr>
            <w:tcW w:w="599" w:type="pct"/>
            <w:shd w:val="clear" w:color="auto" w:fill="D0D2D3"/>
            <w:noWrap/>
            <w:vAlign w:val="center"/>
            <w:hideMark/>
          </w:tcPr>
          <w:p w14:paraId="333252E1" w14:textId="49EC3065" w:rsidR="00A72F2F" w:rsidRPr="00C03E46" w:rsidRDefault="00A72F2F" w:rsidP="00662938">
            <w:pPr>
              <w:spacing w:line="240" w:lineRule="auto"/>
              <w:contextualSpacing/>
              <w:jc w:val="center"/>
              <w:rPr>
                <w:sz w:val="18"/>
                <w:szCs w:val="18"/>
              </w:rPr>
            </w:pPr>
            <w:r w:rsidRPr="00C03E46">
              <w:rPr>
                <w:sz w:val="18"/>
                <w:szCs w:val="18"/>
              </w:rPr>
              <w:t>10.2%</w:t>
            </w:r>
          </w:p>
        </w:tc>
        <w:tc>
          <w:tcPr>
            <w:tcW w:w="600" w:type="pct"/>
            <w:shd w:val="clear" w:color="auto" w:fill="D0D2D3"/>
            <w:noWrap/>
            <w:vAlign w:val="center"/>
            <w:hideMark/>
          </w:tcPr>
          <w:p w14:paraId="2CA24147" w14:textId="567E449A" w:rsidR="00A72F2F" w:rsidRPr="00C03E46" w:rsidRDefault="00A72F2F" w:rsidP="00662938">
            <w:pPr>
              <w:spacing w:line="240" w:lineRule="auto"/>
              <w:ind w:right="45"/>
              <w:contextualSpacing/>
              <w:jc w:val="center"/>
              <w:rPr>
                <w:sz w:val="18"/>
                <w:szCs w:val="18"/>
              </w:rPr>
            </w:pPr>
            <w:r w:rsidRPr="00C03E46">
              <w:rPr>
                <w:sz w:val="18"/>
                <w:szCs w:val="18"/>
              </w:rPr>
              <w:t>10.1%</w:t>
            </w:r>
          </w:p>
        </w:tc>
        <w:tc>
          <w:tcPr>
            <w:tcW w:w="600" w:type="pct"/>
            <w:shd w:val="clear" w:color="auto" w:fill="D0D2D3"/>
            <w:vAlign w:val="center"/>
          </w:tcPr>
          <w:p w14:paraId="303F654E" w14:textId="451AACCC" w:rsidR="00A72F2F" w:rsidRPr="00C03E46" w:rsidRDefault="00A72F2F" w:rsidP="00662938">
            <w:pPr>
              <w:spacing w:line="240" w:lineRule="auto"/>
              <w:ind w:right="-15"/>
              <w:contextualSpacing/>
              <w:jc w:val="center"/>
              <w:rPr>
                <w:sz w:val="18"/>
                <w:szCs w:val="18"/>
              </w:rPr>
            </w:pPr>
            <w:r w:rsidRPr="00C03E46">
              <w:rPr>
                <w:sz w:val="18"/>
                <w:szCs w:val="18"/>
              </w:rPr>
              <w:t>10.1%</w:t>
            </w:r>
          </w:p>
        </w:tc>
        <w:tc>
          <w:tcPr>
            <w:tcW w:w="600" w:type="pct"/>
            <w:shd w:val="clear" w:color="auto" w:fill="D0D2D3"/>
            <w:vAlign w:val="center"/>
          </w:tcPr>
          <w:p w14:paraId="67AF1BD4" w14:textId="585E8B69" w:rsidR="00A72F2F" w:rsidRPr="00C03E46" w:rsidRDefault="00A72F2F" w:rsidP="00662938">
            <w:pPr>
              <w:spacing w:line="240" w:lineRule="auto"/>
              <w:ind w:right="-119"/>
              <w:contextualSpacing/>
              <w:jc w:val="center"/>
              <w:rPr>
                <w:sz w:val="18"/>
                <w:szCs w:val="18"/>
              </w:rPr>
            </w:pPr>
            <w:r w:rsidRPr="00C03E46">
              <w:rPr>
                <w:sz w:val="18"/>
                <w:szCs w:val="18"/>
              </w:rPr>
              <w:t>10.1%</w:t>
            </w:r>
          </w:p>
        </w:tc>
      </w:tr>
    </w:tbl>
    <w:p w14:paraId="723EAE51" w14:textId="77777777" w:rsidR="00C7511A" w:rsidRPr="007B7DFC" w:rsidRDefault="00C7511A" w:rsidP="00C7511A">
      <w:pPr>
        <w:tabs>
          <w:tab w:val="center" w:pos="4680"/>
          <w:tab w:val="right" w:pos="9720"/>
        </w:tabs>
        <w:spacing w:before="160" w:after="120" w:line="240" w:lineRule="auto"/>
        <w:ind w:right="432"/>
        <w:rPr>
          <w:rFonts w:eastAsiaTheme="minorEastAsia"/>
          <w:i/>
          <w:sz w:val="16"/>
          <w:szCs w:val="15"/>
        </w:rPr>
      </w:pPr>
      <w:r w:rsidRPr="007B7DFC">
        <w:rPr>
          <w:rFonts w:eastAsiaTheme="minorEastAsia"/>
          <w:i/>
          <w:sz w:val="16"/>
          <w:szCs w:val="15"/>
        </w:rPr>
        <w:t>Note: CY- Calendar Year</w:t>
      </w:r>
      <w:r>
        <w:rPr>
          <w:rFonts w:eastAsiaTheme="minorEastAsia"/>
          <w:i/>
          <w:sz w:val="16"/>
          <w:szCs w:val="15"/>
        </w:rPr>
        <w:t>, *Emerging Economies</w:t>
      </w:r>
    </w:p>
    <w:p w14:paraId="69B25402" w14:textId="17D51317" w:rsidR="00C7511A" w:rsidRPr="00975AE4" w:rsidRDefault="00C7511A" w:rsidP="00C7511A">
      <w:pPr>
        <w:tabs>
          <w:tab w:val="center" w:pos="4680"/>
          <w:tab w:val="right" w:pos="9720"/>
        </w:tabs>
        <w:spacing w:before="160" w:after="120" w:line="240" w:lineRule="auto"/>
        <w:ind w:right="432"/>
        <w:rPr>
          <w:rFonts w:eastAsiaTheme="minorEastAsia"/>
          <w:i/>
          <w:sz w:val="16"/>
          <w:szCs w:val="15"/>
        </w:rPr>
      </w:pPr>
      <w:r w:rsidRPr="007B7DFC">
        <w:rPr>
          <w:rFonts w:eastAsiaTheme="minorEastAsia"/>
          <w:i/>
          <w:sz w:val="16"/>
          <w:szCs w:val="15"/>
        </w:rPr>
        <w:t>Source: IMF – World Economic Outlook (</w:t>
      </w:r>
      <w:r w:rsidR="00BF297B">
        <w:rPr>
          <w:rFonts w:eastAsiaTheme="minorEastAsia"/>
          <w:i/>
          <w:sz w:val="16"/>
          <w:szCs w:val="15"/>
        </w:rPr>
        <w:t>April</w:t>
      </w:r>
      <w:r w:rsidRPr="007B7DFC">
        <w:rPr>
          <w:rFonts w:eastAsiaTheme="minorEastAsia"/>
          <w:i/>
          <w:sz w:val="16"/>
          <w:szCs w:val="15"/>
        </w:rPr>
        <w:t xml:space="preserve"> 202</w:t>
      </w:r>
      <w:r w:rsidR="00BF297B">
        <w:rPr>
          <w:rFonts w:eastAsiaTheme="minorEastAsia"/>
          <w:i/>
          <w:sz w:val="16"/>
          <w:szCs w:val="15"/>
        </w:rPr>
        <w:t>5</w:t>
      </w:r>
      <w:r w:rsidRPr="007B7DFC">
        <w:rPr>
          <w:rFonts w:eastAsiaTheme="minorEastAsia"/>
          <w:i/>
          <w:sz w:val="16"/>
          <w:szCs w:val="15"/>
        </w:rPr>
        <w:t xml:space="preserve">) </w:t>
      </w:r>
    </w:p>
    <w:p w14:paraId="215D09CA" w14:textId="1EB843C4" w:rsidR="00057473" w:rsidRDefault="00057473" w:rsidP="00057473">
      <w:pPr>
        <w:pStyle w:val="Heading30"/>
      </w:pPr>
      <w:r>
        <w:t>Real GDP</w:t>
      </w:r>
    </w:p>
    <w:p w14:paraId="3486C37C" w14:textId="6ACD1612" w:rsidR="00C7511A" w:rsidRPr="00E0180D" w:rsidRDefault="00C7511A" w:rsidP="00C7511A">
      <w:pPr>
        <w:ind w:right="115"/>
        <w:rPr>
          <w:szCs w:val="20"/>
        </w:rPr>
      </w:pPr>
      <w:r w:rsidRPr="00CB7C68">
        <w:rPr>
          <w:szCs w:val="20"/>
        </w:rPr>
        <w:t>According to the IMF's World Economic Outlook (</w:t>
      </w:r>
      <w:r w:rsidR="001C0A19">
        <w:rPr>
          <w:szCs w:val="20"/>
        </w:rPr>
        <w:t>April</w:t>
      </w:r>
      <w:r w:rsidRPr="00CB7C68">
        <w:rPr>
          <w:szCs w:val="20"/>
        </w:rPr>
        <w:t xml:space="preserve"> 202</w:t>
      </w:r>
      <w:r w:rsidR="001C0A19">
        <w:rPr>
          <w:szCs w:val="20"/>
        </w:rPr>
        <w:t>5</w:t>
      </w:r>
      <w:r w:rsidRPr="00CB7C68">
        <w:rPr>
          <w:szCs w:val="20"/>
        </w:rPr>
        <w:t>), the global economy is projected to experience a moderate growth trajectory, with real GDP forecasts indicate an increase in 5-year CAGR to 3.</w:t>
      </w:r>
      <w:r w:rsidR="00056F42">
        <w:rPr>
          <w:szCs w:val="20"/>
        </w:rPr>
        <w:t>1</w:t>
      </w:r>
      <w:r w:rsidRPr="00CB7C68">
        <w:rPr>
          <w:szCs w:val="20"/>
        </w:rPr>
        <w:t>% from CY2</w:t>
      </w:r>
      <w:r w:rsidR="00056F42">
        <w:rPr>
          <w:szCs w:val="20"/>
        </w:rPr>
        <w:t>5</w:t>
      </w:r>
      <w:r w:rsidRPr="00CB7C68">
        <w:rPr>
          <w:szCs w:val="20"/>
        </w:rPr>
        <w:t xml:space="preserve"> to CY</w:t>
      </w:r>
      <w:r w:rsidR="00056F42">
        <w:rPr>
          <w:szCs w:val="20"/>
        </w:rPr>
        <w:t>30</w:t>
      </w:r>
      <w:r w:rsidRPr="00CB7C68">
        <w:rPr>
          <w:szCs w:val="20"/>
        </w:rPr>
        <w:t xml:space="preserve"> compared to the 5-year CAGR of 2.8% from CY</w:t>
      </w:r>
      <w:r w:rsidR="00881A56">
        <w:rPr>
          <w:szCs w:val="20"/>
        </w:rPr>
        <w:t>19</w:t>
      </w:r>
      <w:r w:rsidRPr="00CB7C68">
        <w:rPr>
          <w:szCs w:val="20"/>
        </w:rPr>
        <w:t xml:space="preserve"> to CY24, with a few regional variations.</w:t>
      </w:r>
      <w:r w:rsidRPr="00E0180D">
        <w:rPr>
          <w:szCs w:val="20"/>
        </w:rPr>
        <w:t xml:space="preserve"> A closer examination of the regional forecasts reveals distinct trends. The United States is expected to experience a relatively mode</w:t>
      </w:r>
      <w:r>
        <w:rPr>
          <w:szCs w:val="20"/>
        </w:rPr>
        <w:t>rate</w:t>
      </w:r>
      <w:r w:rsidRPr="00E0180D">
        <w:rPr>
          <w:szCs w:val="20"/>
        </w:rPr>
        <w:t xml:space="preserve"> growth rate, with a </w:t>
      </w:r>
      <w:r>
        <w:rPr>
          <w:szCs w:val="20"/>
        </w:rPr>
        <w:t xml:space="preserve">5- </w:t>
      </w:r>
      <w:r w:rsidRPr="00E0180D">
        <w:rPr>
          <w:szCs w:val="20"/>
        </w:rPr>
        <w:t>year CAGR of 2.</w:t>
      </w:r>
      <w:r w:rsidR="00881A56">
        <w:rPr>
          <w:szCs w:val="20"/>
        </w:rPr>
        <w:t>0</w:t>
      </w:r>
      <w:r w:rsidRPr="00E0180D">
        <w:rPr>
          <w:szCs w:val="20"/>
        </w:rPr>
        <w:t>% from CY2</w:t>
      </w:r>
      <w:r w:rsidR="001B6650">
        <w:rPr>
          <w:szCs w:val="20"/>
        </w:rPr>
        <w:t>5</w:t>
      </w:r>
      <w:r w:rsidRPr="00E0180D">
        <w:rPr>
          <w:szCs w:val="20"/>
        </w:rPr>
        <w:t xml:space="preserve"> to CY</w:t>
      </w:r>
      <w:r w:rsidR="001B6650">
        <w:rPr>
          <w:szCs w:val="20"/>
        </w:rPr>
        <w:t>30</w:t>
      </w:r>
      <w:r w:rsidRPr="00E0180D">
        <w:rPr>
          <w:szCs w:val="20"/>
        </w:rPr>
        <w:t xml:space="preserve"> which is slightly lower than the past</w:t>
      </w:r>
      <w:r>
        <w:rPr>
          <w:szCs w:val="20"/>
        </w:rPr>
        <w:t xml:space="preserve"> i.e., 2.4%</w:t>
      </w:r>
      <w:r w:rsidRPr="00E0180D">
        <w:rPr>
          <w:szCs w:val="20"/>
        </w:rPr>
        <w:t>. In contrast, China's growth is slowing down, with a 5-year CAGR of 3.</w:t>
      </w:r>
      <w:r w:rsidR="001B6650">
        <w:rPr>
          <w:szCs w:val="20"/>
        </w:rPr>
        <w:t>9</w:t>
      </w:r>
      <w:r w:rsidRPr="00E0180D">
        <w:rPr>
          <w:szCs w:val="20"/>
        </w:rPr>
        <w:t>% from CY25 to CY</w:t>
      </w:r>
      <w:r w:rsidR="001B6650">
        <w:rPr>
          <w:szCs w:val="20"/>
        </w:rPr>
        <w:t>30</w:t>
      </w:r>
      <w:r w:rsidRPr="00E0180D">
        <w:rPr>
          <w:szCs w:val="20"/>
        </w:rPr>
        <w:t>, a decline from its previous growth rates</w:t>
      </w:r>
      <w:r>
        <w:rPr>
          <w:szCs w:val="20"/>
        </w:rPr>
        <w:t xml:space="preserve"> i.e., 4.</w:t>
      </w:r>
      <w:r w:rsidR="001534EA">
        <w:rPr>
          <w:szCs w:val="20"/>
        </w:rPr>
        <w:t>9</w:t>
      </w:r>
      <w:r>
        <w:rPr>
          <w:szCs w:val="20"/>
        </w:rPr>
        <w:t>%</w:t>
      </w:r>
      <w:r w:rsidRPr="00E0180D">
        <w:rPr>
          <w:szCs w:val="20"/>
        </w:rPr>
        <w:t xml:space="preserve">. The Euro area and Japan are </w:t>
      </w:r>
      <w:r>
        <w:rPr>
          <w:szCs w:val="20"/>
        </w:rPr>
        <w:t xml:space="preserve">also </w:t>
      </w:r>
      <w:r w:rsidRPr="00E0180D">
        <w:rPr>
          <w:szCs w:val="20"/>
        </w:rPr>
        <w:t>forecasted to experience sluggish growth, with 5-year CAGRs of 1.</w:t>
      </w:r>
      <w:r w:rsidR="001534EA">
        <w:rPr>
          <w:szCs w:val="20"/>
        </w:rPr>
        <w:t>2</w:t>
      </w:r>
      <w:r w:rsidRPr="00E0180D">
        <w:rPr>
          <w:szCs w:val="20"/>
        </w:rPr>
        <w:t>% and 0.</w:t>
      </w:r>
      <w:r w:rsidR="001534EA">
        <w:rPr>
          <w:szCs w:val="20"/>
        </w:rPr>
        <w:t>6</w:t>
      </w:r>
      <w:r w:rsidRPr="00E0180D">
        <w:rPr>
          <w:szCs w:val="20"/>
        </w:rPr>
        <w:t>%, respectively, from CY25 to CY</w:t>
      </w:r>
      <w:r w:rsidR="001534EA">
        <w:rPr>
          <w:szCs w:val="20"/>
        </w:rPr>
        <w:t>30</w:t>
      </w:r>
      <w:r w:rsidRPr="00E0180D">
        <w:rPr>
          <w:szCs w:val="20"/>
        </w:rPr>
        <w:t>.</w:t>
      </w:r>
    </w:p>
    <w:p w14:paraId="310644B0" w14:textId="2D65B22C" w:rsidR="00C7511A" w:rsidRPr="007B7DFC" w:rsidRDefault="00C7511A" w:rsidP="00C7511A">
      <w:pPr>
        <w:keepNext/>
        <w:keepLines/>
        <w:spacing w:before="160" w:line="276" w:lineRule="auto"/>
        <w:ind w:right="432"/>
        <w:rPr>
          <w:rFonts w:eastAsia="Times New Roman" w:cs="Book Antiqua"/>
          <w:b/>
          <w:bCs/>
          <w:kern w:val="0"/>
          <w:szCs w:val="18"/>
          <w:lang w:val="en-GB" w:eastAsia="en-IN"/>
          <w14:ligatures w14:val="none"/>
        </w:rPr>
      </w:pPr>
      <w:bookmarkStart w:id="36" w:name="_Toc192073627"/>
      <w:bookmarkStart w:id="37" w:name="_Toc192153651"/>
      <w:bookmarkStart w:id="38" w:name="_Toc192195278"/>
      <w:bookmarkStart w:id="39" w:name="_Toc198731452"/>
      <w:r w:rsidRPr="007B7DFC">
        <w:rPr>
          <w:rFonts w:eastAsia="Times New Roman" w:cs="Book Antiqua"/>
          <w:b/>
          <w:bCs/>
          <w:kern w:val="0"/>
          <w:szCs w:val="18"/>
          <w:lang w:val="en-GB" w:eastAsia="en-IN"/>
          <w14:ligatures w14:val="none"/>
        </w:rPr>
        <w:t xml:space="preserve">Table </w:t>
      </w:r>
      <w:r w:rsidRPr="007B7DFC">
        <w:rPr>
          <w:rFonts w:eastAsia="Times New Roman" w:cs="Book Antiqua"/>
          <w:b/>
          <w:bCs/>
          <w:kern w:val="0"/>
          <w:szCs w:val="18"/>
          <w:lang w:val="en-GB" w:eastAsia="en-IN"/>
          <w14:ligatures w14:val="none"/>
        </w:rPr>
        <w:fldChar w:fldCharType="begin"/>
      </w:r>
      <w:r w:rsidRPr="007B7DFC">
        <w:rPr>
          <w:rFonts w:eastAsia="Times New Roman" w:cs="Book Antiqua"/>
          <w:b/>
          <w:bCs/>
          <w:kern w:val="0"/>
          <w:szCs w:val="18"/>
          <w:lang w:val="en-GB" w:eastAsia="en-IN"/>
          <w14:ligatures w14:val="none"/>
        </w:rPr>
        <w:instrText xml:space="preserve"> STYLEREF 1 \s </w:instrText>
      </w:r>
      <w:r w:rsidRPr="007B7DFC">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w:t>
      </w:r>
      <w:r w:rsidRPr="007B7DFC">
        <w:rPr>
          <w:rFonts w:eastAsia="Times New Roman" w:cs="Book Antiqua"/>
          <w:b/>
          <w:bCs/>
          <w:kern w:val="0"/>
          <w:szCs w:val="18"/>
          <w:lang w:val="en-GB" w:eastAsia="en-IN"/>
          <w14:ligatures w14:val="none"/>
        </w:rPr>
        <w:fldChar w:fldCharType="end"/>
      </w:r>
      <w:r w:rsidRPr="007B7DFC">
        <w:rPr>
          <w:rFonts w:eastAsia="Times New Roman" w:cs="Book Antiqua"/>
          <w:b/>
          <w:bCs/>
          <w:kern w:val="0"/>
          <w:szCs w:val="18"/>
          <w:lang w:val="en-GB" w:eastAsia="en-IN"/>
          <w14:ligatures w14:val="none"/>
        </w:rPr>
        <w:t>.</w:t>
      </w:r>
      <w:r w:rsidRPr="007B7DFC">
        <w:rPr>
          <w:rFonts w:eastAsia="Times New Roman" w:cs="Book Antiqua"/>
          <w:b/>
          <w:bCs/>
          <w:kern w:val="0"/>
          <w:szCs w:val="18"/>
          <w:lang w:val="en-GB" w:eastAsia="en-IN"/>
          <w14:ligatures w14:val="none"/>
        </w:rPr>
        <w:fldChar w:fldCharType="begin"/>
      </w:r>
      <w:r w:rsidRPr="007B7DFC">
        <w:rPr>
          <w:rFonts w:eastAsia="Times New Roman" w:cs="Book Antiqua"/>
          <w:b/>
          <w:bCs/>
          <w:kern w:val="0"/>
          <w:szCs w:val="18"/>
          <w:lang w:val="en-GB" w:eastAsia="en-IN"/>
          <w14:ligatures w14:val="none"/>
        </w:rPr>
        <w:instrText xml:space="preserve"> SEQ Table \* ARABIC \s 1 </w:instrText>
      </w:r>
      <w:r w:rsidRPr="007B7DFC">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4</w:t>
      </w:r>
      <w:r w:rsidRPr="007B7DFC">
        <w:rPr>
          <w:rFonts w:eastAsia="Times New Roman" w:cs="Book Antiqua"/>
          <w:b/>
          <w:bCs/>
          <w:kern w:val="0"/>
          <w:szCs w:val="18"/>
          <w:lang w:val="en-GB" w:eastAsia="en-IN"/>
          <w14:ligatures w14:val="none"/>
        </w:rPr>
        <w:fldChar w:fldCharType="end"/>
      </w:r>
      <w:r w:rsidRPr="007B7DFC">
        <w:rPr>
          <w:rFonts w:eastAsia="Times New Roman"/>
          <w:b/>
          <w:bCs/>
          <w:kern w:val="0"/>
          <w:szCs w:val="20"/>
          <w:lang w:val="en-GB" w:eastAsia="en-IN"/>
          <w14:ligatures w14:val="none"/>
        </w:rPr>
        <w:t xml:space="preserve"> Country-wise real GDP data forecast (annual percent change)</w:t>
      </w:r>
      <w:bookmarkEnd w:id="36"/>
      <w:bookmarkEnd w:id="37"/>
      <w:bookmarkEnd w:id="38"/>
      <w:bookmarkEnd w:id="39"/>
    </w:p>
    <w:tbl>
      <w:tblPr>
        <w:tblStyle w:val="TableGrid"/>
        <w:tblW w:w="5000" w:type="pct"/>
        <w:tblLook w:val="04A0" w:firstRow="1" w:lastRow="0" w:firstColumn="1" w:lastColumn="0" w:noHBand="0" w:noVBand="1"/>
      </w:tblPr>
      <w:tblGrid>
        <w:gridCol w:w="1558"/>
        <w:gridCol w:w="1280"/>
        <w:gridCol w:w="1280"/>
        <w:gridCol w:w="1280"/>
        <w:gridCol w:w="1282"/>
        <w:gridCol w:w="1280"/>
        <w:gridCol w:w="1279"/>
        <w:gridCol w:w="1281"/>
      </w:tblGrid>
      <w:tr w:rsidR="00C166A0" w:rsidRPr="00ED34E3" w14:paraId="5113C34A" w14:textId="77777777" w:rsidTr="00662938">
        <w:trPr>
          <w:trHeight w:val="351"/>
          <w:tblHeader/>
        </w:trPr>
        <w:tc>
          <w:tcPr>
            <w:tcW w:w="740" w:type="pct"/>
            <w:shd w:val="clear" w:color="auto" w:fill="005B72"/>
            <w:noWrap/>
            <w:vAlign w:val="center"/>
            <w:hideMark/>
          </w:tcPr>
          <w:p w14:paraId="5885E934" w14:textId="77777777" w:rsidR="00C166A0" w:rsidRPr="00ED34E3" w:rsidRDefault="00C166A0" w:rsidP="00662938">
            <w:pPr>
              <w:spacing w:before="40" w:after="40" w:line="240" w:lineRule="auto"/>
              <w:ind w:right="432"/>
              <w:jc w:val="left"/>
              <w:rPr>
                <w:b/>
                <w:bCs/>
                <w:color w:val="F8F8F8"/>
                <w:sz w:val="18"/>
                <w:szCs w:val="18"/>
              </w:rPr>
            </w:pPr>
            <w:r w:rsidRPr="00ED34E3">
              <w:rPr>
                <w:b/>
                <w:bCs/>
                <w:color w:val="F8F8F8"/>
                <w:sz w:val="18"/>
                <w:szCs w:val="18"/>
              </w:rPr>
              <w:t>Real GDP</w:t>
            </w:r>
          </w:p>
        </w:tc>
        <w:tc>
          <w:tcPr>
            <w:tcW w:w="608" w:type="pct"/>
            <w:shd w:val="clear" w:color="auto" w:fill="005B72"/>
            <w:vAlign w:val="center"/>
          </w:tcPr>
          <w:p w14:paraId="245064DB" w14:textId="77777777" w:rsidR="00C166A0" w:rsidRPr="00ED34E3" w:rsidRDefault="00C166A0" w:rsidP="00662938">
            <w:pPr>
              <w:spacing w:before="40" w:after="40" w:line="240" w:lineRule="auto"/>
              <w:ind w:right="-120"/>
              <w:jc w:val="center"/>
              <w:rPr>
                <w:rFonts w:eastAsia="Arial"/>
                <w:b/>
                <w:bCs/>
                <w:color w:val="F8F8F8"/>
                <w:sz w:val="18"/>
                <w:szCs w:val="18"/>
              </w:rPr>
            </w:pPr>
            <w:r w:rsidRPr="00ED34E3">
              <w:rPr>
                <w:rFonts w:eastAsia="Arial"/>
                <w:b/>
                <w:bCs/>
                <w:color w:val="F8F8F8"/>
                <w:sz w:val="18"/>
                <w:szCs w:val="18"/>
              </w:rPr>
              <w:t>CY25P</w:t>
            </w:r>
          </w:p>
        </w:tc>
        <w:tc>
          <w:tcPr>
            <w:tcW w:w="608" w:type="pct"/>
            <w:shd w:val="clear" w:color="auto" w:fill="005B72"/>
            <w:vAlign w:val="center"/>
          </w:tcPr>
          <w:p w14:paraId="3B39EDCA" w14:textId="77777777" w:rsidR="00C166A0" w:rsidRPr="00ED34E3" w:rsidRDefault="00C166A0" w:rsidP="00662938">
            <w:pPr>
              <w:spacing w:before="40" w:after="40" w:line="240" w:lineRule="auto"/>
              <w:ind w:right="-75"/>
              <w:jc w:val="center"/>
              <w:rPr>
                <w:rFonts w:eastAsia="Arial"/>
                <w:b/>
                <w:bCs/>
                <w:color w:val="F8F8F8"/>
                <w:sz w:val="18"/>
                <w:szCs w:val="18"/>
              </w:rPr>
            </w:pPr>
            <w:r w:rsidRPr="00ED34E3">
              <w:rPr>
                <w:rFonts w:eastAsia="Arial"/>
                <w:b/>
                <w:bCs/>
                <w:color w:val="F8F8F8"/>
                <w:sz w:val="18"/>
                <w:szCs w:val="18"/>
              </w:rPr>
              <w:t>CY26P</w:t>
            </w:r>
          </w:p>
        </w:tc>
        <w:tc>
          <w:tcPr>
            <w:tcW w:w="608" w:type="pct"/>
            <w:shd w:val="clear" w:color="auto" w:fill="005B72"/>
            <w:noWrap/>
            <w:vAlign w:val="center"/>
            <w:hideMark/>
          </w:tcPr>
          <w:p w14:paraId="38643C1E" w14:textId="77777777" w:rsidR="00C166A0" w:rsidRPr="00ED34E3" w:rsidRDefault="00C166A0" w:rsidP="00662938">
            <w:pPr>
              <w:spacing w:before="40" w:after="40" w:line="240" w:lineRule="auto"/>
              <w:ind w:right="-105"/>
              <w:jc w:val="center"/>
              <w:rPr>
                <w:rFonts w:eastAsia="Arial"/>
                <w:b/>
                <w:bCs/>
                <w:color w:val="F8F8F8"/>
                <w:sz w:val="18"/>
                <w:szCs w:val="18"/>
              </w:rPr>
            </w:pPr>
            <w:r w:rsidRPr="00ED34E3">
              <w:rPr>
                <w:rFonts w:eastAsia="Arial"/>
                <w:b/>
                <w:bCs/>
                <w:color w:val="F8F8F8"/>
                <w:sz w:val="18"/>
                <w:szCs w:val="18"/>
              </w:rPr>
              <w:t>CY27P</w:t>
            </w:r>
          </w:p>
        </w:tc>
        <w:tc>
          <w:tcPr>
            <w:tcW w:w="609" w:type="pct"/>
            <w:shd w:val="clear" w:color="auto" w:fill="005B72"/>
            <w:noWrap/>
            <w:vAlign w:val="center"/>
            <w:hideMark/>
          </w:tcPr>
          <w:p w14:paraId="78632DA7" w14:textId="77777777" w:rsidR="00C166A0" w:rsidRPr="00ED34E3" w:rsidRDefault="00C166A0" w:rsidP="00662938">
            <w:pPr>
              <w:spacing w:before="40" w:after="40" w:line="240" w:lineRule="auto"/>
              <w:ind w:right="-150"/>
              <w:jc w:val="center"/>
              <w:rPr>
                <w:rFonts w:eastAsia="Arial"/>
                <w:b/>
                <w:bCs/>
                <w:color w:val="F8F8F8"/>
                <w:sz w:val="18"/>
                <w:szCs w:val="18"/>
              </w:rPr>
            </w:pPr>
            <w:r w:rsidRPr="00ED34E3">
              <w:rPr>
                <w:rFonts w:eastAsia="Arial"/>
                <w:b/>
                <w:bCs/>
                <w:color w:val="F8F8F8"/>
                <w:sz w:val="18"/>
                <w:szCs w:val="18"/>
              </w:rPr>
              <w:t>CY28P</w:t>
            </w:r>
          </w:p>
        </w:tc>
        <w:tc>
          <w:tcPr>
            <w:tcW w:w="608" w:type="pct"/>
            <w:shd w:val="clear" w:color="auto" w:fill="005B72"/>
            <w:noWrap/>
            <w:vAlign w:val="center"/>
            <w:hideMark/>
          </w:tcPr>
          <w:p w14:paraId="0FDB48F2" w14:textId="77777777" w:rsidR="00C166A0" w:rsidRPr="00ED34E3" w:rsidRDefault="00C166A0" w:rsidP="00662938">
            <w:pPr>
              <w:spacing w:before="40" w:after="40" w:line="240" w:lineRule="auto"/>
              <w:ind w:right="-105"/>
              <w:jc w:val="center"/>
              <w:rPr>
                <w:rFonts w:eastAsia="Arial"/>
                <w:b/>
                <w:bCs/>
                <w:color w:val="F8F8F8"/>
                <w:sz w:val="18"/>
                <w:szCs w:val="18"/>
              </w:rPr>
            </w:pPr>
            <w:r w:rsidRPr="00ED34E3">
              <w:rPr>
                <w:rFonts w:eastAsia="Arial"/>
                <w:b/>
                <w:bCs/>
                <w:color w:val="F8F8F8"/>
                <w:sz w:val="18"/>
                <w:szCs w:val="18"/>
              </w:rPr>
              <w:t>CY29P</w:t>
            </w:r>
          </w:p>
        </w:tc>
        <w:tc>
          <w:tcPr>
            <w:tcW w:w="608" w:type="pct"/>
            <w:shd w:val="clear" w:color="auto" w:fill="005B72"/>
            <w:vAlign w:val="center"/>
          </w:tcPr>
          <w:p w14:paraId="2793988A" w14:textId="5143AD39" w:rsidR="00C166A0" w:rsidRPr="00ED34E3" w:rsidRDefault="00C166A0" w:rsidP="00662938">
            <w:pPr>
              <w:spacing w:before="40" w:after="40" w:line="240" w:lineRule="auto"/>
              <w:ind w:right="-105"/>
              <w:jc w:val="center"/>
              <w:rPr>
                <w:rFonts w:eastAsia="Arial"/>
                <w:b/>
                <w:bCs/>
                <w:color w:val="F8F8F8"/>
                <w:sz w:val="18"/>
                <w:szCs w:val="18"/>
              </w:rPr>
            </w:pPr>
            <w:r>
              <w:rPr>
                <w:rFonts w:eastAsia="Arial"/>
                <w:b/>
                <w:bCs/>
                <w:color w:val="F8F8F8"/>
                <w:sz w:val="18"/>
                <w:szCs w:val="18"/>
              </w:rPr>
              <w:t>CY30P</w:t>
            </w:r>
          </w:p>
        </w:tc>
        <w:tc>
          <w:tcPr>
            <w:tcW w:w="609" w:type="pct"/>
            <w:shd w:val="clear" w:color="auto" w:fill="005B72"/>
            <w:vAlign w:val="center"/>
          </w:tcPr>
          <w:p w14:paraId="6A8A2754" w14:textId="1EB8A461" w:rsidR="00C166A0" w:rsidRPr="00ED34E3" w:rsidRDefault="00C166A0" w:rsidP="00662938">
            <w:pPr>
              <w:spacing w:before="40" w:after="40" w:line="240" w:lineRule="auto"/>
              <w:ind w:right="-119"/>
              <w:jc w:val="center"/>
              <w:rPr>
                <w:rFonts w:eastAsia="Arial"/>
                <w:b/>
                <w:bCs/>
                <w:color w:val="F8F8F8"/>
                <w:sz w:val="18"/>
                <w:szCs w:val="18"/>
              </w:rPr>
            </w:pPr>
            <w:r w:rsidRPr="00ED34E3">
              <w:rPr>
                <w:rFonts w:eastAsia="Arial"/>
                <w:b/>
                <w:bCs/>
                <w:color w:val="F8F8F8"/>
                <w:sz w:val="18"/>
                <w:szCs w:val="18"/>
              </w:rPr>
              <w:t>5Y CAGR</w:t>
            </w:r>
          </w:p>
        </w:tc>
      </w:tr>
      <w:tr w:rsidR="00C166A0" w:rsidRPr="00ED34E3" w14:paraId="4EE6D91E" w14:textId="77777777" w:rsidTr="00662938">
        <w:trPr>
          <w:trHeight w:val="408"/>
        </w:trPr>
        <w:tc>
          <w:tcPr>
            <w:tcW w:w="740" w:type="pct"/>
            <w:noWrap/>
            <w:vAlign w:val="center"/>
            <w:hideMark/>
          </w:tcPr>
          <w:p w14:paraId="7E37DECC" w14:textId="77777777" w:rsidR="00C166A0" w:rsidRPr="00ED34E3" w:rsidRDefault="00C166A0" w:rsidP="00662938">
            <w:pPr>
              <w:spacing w:before="40" w:after="40" w:line="240" w:lineRule="auto"/>
              <w:ind w:right="432"/>
              <w:jc w:val="left"/>
              <w:rPr>
                <w:sz w:val="18"/>
                <w:szCs w:val="18"/>
              </w:rPr>
            </w:pPr>
            <w:r w:rsidRPr="00ED34E3">
              <w:rPr>
                <w:sz w:val="18"/>
                <w:szCs w:val="18"/>
              </w:rPr>
              <w:t>World</w:t>
            </w:r>
          </w:p>
        </w:tc>
        <w:tc>
          <w:tcPr>
            <w:tcW w:w="608" w:type="pct"/>
            <w:vAlign w:val="center"/>
          </w:tcPr>
          <w:p w14:paraId="406B2E0C" w14:textId="1BA40F28" w:rsidR="00C166A0" w:rsidRPr="00ED34E3" w:rsidRDefault="00C166A0" w:rsidP="00662938">
            <w:pPr>
              <w:spacing w:before="40" w:after="40" w:line="240" w:lineRule="auto"/>
              <w:ind w:right="-120"/>
              <w:jc w:val="center"/>
              <w:rPr>
                <w:rFonts w:eastAsia="Arial"/>
                <w:sz w:val="18"/>
                <w:szCs w:val="18"/>
              </w:rPr>
            </w:pPr>
            <w:r w:rsidRPr="00C166A0">
              <w:rPr>
                <w:rFonts w:eastAsia="Arial"/>
                <w:sz w:val="18"/>
                <w:szCs w:val="18"/>
              </w:rPr>
              <w:t>2.8%</w:t>
            </w:r>
          </w:p>
        </w:tc>
        <w:tc>
          <w:tcPr>
            <w:tcW w:w="608" w:type="pct"/>
            <w:vAlign w:val="center"/>
          </w:tcPr>
          <w:p w14:paraId="6AD25899" w14:textId="3CDE5B9D" w:rsidR="00C166A0" w:rsidRPr="00ED34E3" w:rsidRDefault="00C166A0" w:rsidP="00662938">
            <w:pPr>
              <w:spacing w:before="40" w:after="40" w:line="240" w:lineRule="auto"/>
              <w:ind w:right="-75"/>
              <w:jc w:val="center"/>
              <w:rPr>
                <w:rFonts w:eastAsia="Arial"/>
                <w:sz w:val="18"/>
                <w:szCs w:val="18"/>
              </w:rPr>
            </w:pPr>
            <w:r w:rsidRPr="00C166A0">
              <w:rPr>
                <w:rFonts w:eastAsia="Arial"/>
                <w:sz w:val="18"/>
                <w:szCs w:val="18"/>
              </w:rPr>
              <w:t>3.0%</w:t>
            </w:r>
          </w:p>
        </w:tc>
        <w:tc>
          <w:tcPr>
            <w:tcW w:w="608" w:type="pct"/>
            <w:noWrap/>
            <w:vAlign w:val="center"/>
            <w:hideMark/>
          </w:tcPr>
          <w:p w14:paraId="229DE869" w14:textId="33DA5389" w:rsidR="00C166A0" w:rsidRPr="00ED34E3" w:rsidRDefault="00C166A0" w:rsidP="00662938">
            <w:pPr>
              <w:spacing w:before="40" w:after="40" w:line="240" w:lineRule="auto"/>
              <w:ind w:right="-105"/>
              <w:jc w:val="center"/>
              <w:rPr>
                <w:rFonts w:eastAsia="Arial"/>
                <w:sz w:val="18"/>
                <w:szCs w:val="18"/>
              </w:rPr>
            </w:pPr>
            <w:r w:rsidRPr="00C166A0">
              <w:rPr>
                <w:rFonts w:eastAsia="Arial"/>
                <w:sz w:val="18"/>
                <w:szCs w:val="18"/>
              </w:rPr>
              <w:t>3.2%</w:t>
            </w:r>
          </w:p>
        </w:tc>
        <w:tc>
          <w:tcPr>
            <w:tcW w:w="609" w:type="pct"/>
            <w:noWrap/>
            <w:vAlign w:val="center"/>
            <w:hideMark/>
          </w:tcPr>
          <w:p w14:paraId="1EE9BD51" w14:textId="3A5FFCBF" w:rsidR="00C166A0" w:rsidRPr="00ED34E3" w:rsidRDefault="00C166A0" w:rsidP="00662938">
            <w:pPr>
              <w:spacing w:before="40" w:after="40" w:line="240" w:lineRule="auto"/>
              <w:ind w:right="-150"/>
              <w:jc w:val="center"/>
              <w:rPr>
                <w:rFonts w:eastAsia="Arial"/>
                <w:sz w:val="18"/>
                <w:szCs w:val="18"/>
              </w:rPr>
            </w:pPr>
            <w:r w:rsidRPr="00C166A0">
              <w:rPr>
                <w:rFonts w:eastAsia="Arial"/>
                <w:sz w:val="18"/>
                <w:szCs w:val="18"/>
              </w:rPr>
              <w:t>3.2%</w:t>
            </w:r>
          </w:p>
        </w:tc>
        <w:tc>
          <w:tcPr>
            <w:tcW w:w="608" w:type="pct"/>
            <w:noWrap/>
            <w:vAlign w:val="center"/>
            <w:hideMark/>
          </w:tcPr>
          <w:p w14:paraId="0810969C" w14:textId="550170B6" w:rsidR="00C166A0" w:rsidRPr="00ED34E3" w:rsidRDefault="00C166A0" w:rsidP="00662938">
            <w:pPr>
              <w:spacing w:before="40" w:after="40" w:line="240" w:lineRule="auto"/>
              <w:ind w:right="-105"/>
              <w:jc w:val="center"/>
              <w:rPr>
                <w:rFonts w:eastAsia="Arial"/>
                <w:sz w:val="18"/>
                <w:szCs w:val="18"/>
              </w:rPr>
            </w:pPr>
            <w:r w:rsidRPr="00C166A0">
              <w:rPr>
                <w:rFonts w:eastAsia="Arial"/>
                <w:sz w:val="18"/>
                <w:szCs w:val="18"/>
              </w:rPr>
              <w:t>3.2%</w:t>
            </w:r>
          </w:p>
        </w:tc>
        <w:tc>
          <w:tcPr>
            <w:tcW w:w="608" w:type="pct"/>
            <w:vAlign w:val="center"/>
          </w:tcPr>
          <w:p w14:paraId="46F63187" w14:textId="334DD1E8" w:rsidR="00C166A0" w:rsidRPr="00ED34E3" w:rsidRDefault="00C166A0" w:rsidP="00662938">
            <w:pPr>
              <w:spacing w:before="40" w:after="40" w:line="240" w:lineRule="auto"/>
              <w:ind w:right="-105"/>
              <w:jc w:val="center"/>
              <w:rPr>
                <w:rFonts w:eastAsia="Arial"/>
                <w:sz w:val="18"/>
                <w:szCs w:val="18"/>
              </w:rPr>
            </w:pPr>
            <w:r w:rsidRPr="00C166A0">
              <w:rPr>
                <w:rFonts w:eastAsia="Arial"/>
                <w:sz w:val="18"/>
                <w:szCs w:val="18"/>
              </w:rPr>
              <w:t>3.1%</w:t>
            </w:r>
          </w:p>
        </w:tc>
        <w:tc>
          <w:tcPr>
            <w:tcW w:w="609" w:type="pct"/>
            <w:vAlign w:val="center"/>
          </w:tcPr>
          <w:p w14:paraId="7F6E8B67" w14:textId="021A5331" w:rsidR="00C166A0" w:rsidRPr="00ED34E3" w:rsidRDefault="00C166A0" w:rsidP="00662938">
            <w:pPr>
              <w:spacing w:before="40" w:after="40" w:line="240" w:lineRule="auto"/>
              <w:ind w:right="-119"/>
              <w:jc w:val="center"/>
              <w:rPr>
                <w:rFonts w:eastAsia="Arial"/>
                <w:sz w:val="18"/>
                <w:szCs w:val="18"/>
              </w:rPr>
            </w:pPr>
            <w:r w:rsidRPr="00ED34E3">
              <w:rPr>
                <w:rFonts w:eastAsia="Arial"/>
                <w:sz w:val="18"/>
                <w:szCs w:val="18"/>
              </w:rPr>
              <w:t>3.</w:t>
            </w:r>
            <w:r>
              <w:rPr>
                <w:rFonts w:eastAsia="Arial"/>
                <w:sz w:val="18"/>
                <w:szCs w:val="18"/>
              </w:rPr>
              <w:t>1</w:t>
            </w:r>
            <w:r w:rsidRPr="00ED34E3">
              <w:rPr>
                <w:rFonts w:eastAsia="Arial"/>
                <w:sz w:val="18"/>
                <w:szCs w:val="18"/>
              </w:rPr>
              <w:t>%</w:t>
            </w:r>
          </w:p>
        </w:tc>
      </w:tr>
      <w:tr w:rsidR="00E02CC8" w:rsidRPr="00ED34E3" w14:paraId="4CBE5E71" w14:textId="77777777" w:rsidTr="00662938">
        <w:trPr>
          <w:trHeight w:val="408"/>
        </w:trPr>
        <w:tc>
          <w:tcPr>
            <w:tcW w:w="740" w:type="pct"/>
            <w:noWrap/>
            <w:vAlign w:val="center"/>
            <w:hideMark/>
          </w:tcPr>
          <w:p w14:paraId="0924208E" w14:textId="77777777" w:rsidR="00E02CC8" w:rsidRPr="00ED34E3" w:rsidRDefault="00E02CC8" w:rsidP="00662938">
            <w:pPr>
              <w:spacing w:before="40" w:after="40" w:line="240" w:lineRule="auto"/>
              <w:ind w:right="432"/>
              <w:jc w:val="left"/>
              <w:rPr>
                <w:sz w:val="18"/>
                <w:szCs w:val="18"/>
              </w:rPr>
            </w:pPr>
            <w:r w:rsidRPr="00ED34E3">
              <w:rPr>
                <w:sz w:val="18"/>
                <w:szCs w:val="18"/>
              </w:rPr>
              <w:t>US</w:t>
            </w:r>
          </w:p>
        </w:tc>
        <w:tc>
          <w:tcPr>
            <w:tcW w:w="608" w:type="pct"/>
            <w:vAlign w:val="center"/>
          </w:tcPr>
          <w:p w14:paraId="4A019418" w14:textId="4F2C0C97" w:rsidR="00E02CC8" w:rsidRPr="00ED34E3" w:rsidRDefault="00E02CC8" w:rsidP="00662938">
            <w:pPr>
              <w:spacing w:before="40" w:after="40" w:line="240" w:lineRule="auto"/>
              <w:ind w:right="-120"/>
              <w:jc w:val="center"/>
              <w:rPr>
                <w:rFonts w:eastAsia="Arial"/>
                <w:sz w:val="18"/>
                <w:szCs w:val="18"/>
              </w:rPr>
            </w:pPr>
            <w:r w:rsidRPr="00881A56">
              <w:rPr>
                <w:rFonts w:eastAsia="Arial"/>
                <w:sz w:val="18"/>
                <w:szCs w:val="18"/>
              </w:rPr>
              <w:t>1.8%</w:t>
            </w:r>
          </w:p>
        </w:tc>
        <w:tc>
          <w:tcPr>
            <w:tcW w:w="608" w:type="pct"/>
            <w:vAlign w:val="center"/>
          </w:tcPr>
          <w:p w14:paraId="399B3283" w14:textId="5F4768EF" w:rsidR="00E02CC8" w:rsidRPr="00ED34E3" w:rsidRDefault="00E02CC8" w:rsidP="00662938">
            <w:pPr>
              <w:spacing w:before="40" w:after="40" w:line="240" w:lineRule="auto"/>
              <w:ind w:right="-75"/>
              <w:jc w:val="center"/>
              <w:rPr>
                <w:rFonts w:eastAsia="Arial"/>
                <w:sz w:val="18"/>
                <w:szCs w:val="18"/>
              </w:rPr>
            </w:pPr>
            <w:r w:rsidRPr="00881A56">
              <w:rPr>
                <w:rFonts w:eastAsia="Arial"/>
                <w:sz w:val="18"/>
                <w:szCs w:val="18"/>
              </w:rPr>
              <w:t>1.7%</w:t>
            </w:r>
          </w:p>
        </w:tc>
        <w:tc>
          <w:tcPr>
            <w:tcW w:w="608" w:type="pct"/>
            <w:noWrap/>
            <w:vAlign w:val="center"/>
            <w:hideMark/>
          </w:tcPr>
          <w:p w14:paraId="11EDA49C" w14:textId="58F07B7E" w:rsidR="00E02CC8" w:rsidRPr="00ED34E3" w:rsidRDefault="00E02CC8" w:rsidP="00662938">
            <w:pPr>
              <w:spacing w:before="40" w:after="40" w:line="240" w:lineRule="auto"/>
              <w:ind w:right="-105"/>
              <w:jc w:val="center"/>
              <w:rPr>
                <w:rFonts w:eastAsia="Arial"/>
                <w:sz w:val="18"/>
                <w:szCs w:val="18"/>
              </w:rPr>
            </w:pPr>
            <w:r w:rsidRPr="00881A56">
              <w:rPr>
                <w:rFonts w:eastAsia="Arial"/>
                <w:sz w:val="18"/>
                <w:szCs w:val="18"/>
              </w:rPr>
              <w:t>2.0%</w:t>
            </w:r>
          </w:p>
        </w:tc>
        <w:tc>
          <w:tcPr>
            <w:tcW w:w="609" w:type="pct"/>
            <w:noWrap/>
            <w:vAlign w:val="center"/>
            <w:hideMark/>
          </w:tcPr>
          <w:p w14:paraId="64D0A00E" w14:textId="4F43A3C2" w:rsidR="00E02CC8" w:rsidRPr="00ED34E3" w:rsidRDefault="00E02CC8" w:rsidP="00662938">
            <w:pPr>
              <w:spacing w:before="40" w:after="40" w:line="240" w:lineRule="auto"/>
              <w:ind w:right="-150"/>
              <w:jc w:val="center"/>
              <w:rPr>
                <w:rFonts w:eastAsia="Arial"/>
                <w:sz w:val="18"/>
                <w:szCs w:val="18"/>
              </w:rPr>
            </w:pPr>
            <w:r w:rsidRPr="00881A56">
              <w:rPr>
                <w:rFonts w:eastAsia="Arial"/>
                <w:sz w:val="18"/>
                <w:szCs w:val="18"/>
              </w:rPr>
              <w:t>2.1%</w:t>
            </w:r>
          </w:p>
        </w:tc>
        <w:tc>
          <w:tcPr>
            <w:tcW w:w="608" w:type="pct"/>
            <w:noWrap/>
            <w:vAlign w:val="center"/>
            <w:hideMark/>
          </w:tcPr>
          <w:p w14:paraId="32991972" w14:textId="7DB90A78" w:rsidR="00E02CC8" w:rsidRPr="00ED34E3" w:rsidRDefault="00E02CC8" w:rsidP="00662938">
            <w:pPr>
              <w:spacing w:before="40" w:after="40" w:line="240" w:lineRule="auto"/>
              <w:ind w:right="-105"/>
              <w:jc w:val="center"/>
              <w:rPr>
                <w:rFonts w:eastAsia="Arial"/>
                <w:sz w:val="18"/>
                <w:szCs w:val="18"/>
              </w:rPr>
            </w:pPr>
            <w:r w:rsidRPr="00881A56">
              <w:rPr>
                <w:rFonts w:eastAsia="Arial"/>
                <w:sz w:val="18"/>
                <w:szCs w:val="18"/>
              </w:rPr>
              <w:t>2.1%</w:t>
            </w:r>
          </w:p>
        </w:tc>
        <w:tc>
          <w:tcPr>
            <w:tcW w:w="608" w:type="pct"/>
            <w:vAlign w:val="center"/>
          </w:tcPr>
          <w:p w14:paraId="2E1C3E26" w14:textId="3ED3A032" w:rsidR="00E02CC8" w:rsidRPr="00ED34E3" w:rsidRDefault="00E02CC8" w:rsidP="00662938">
            <w:pPr>
              <w:spacing w:before="40" w:after="40" w:line="240" w:lineRule="auto"/>
              <w:ind w:right="-105"/>
              <w:jc w:val="center"/>
              <w:rPr>
                <w:rFonts w:eastAsia="Arial"/>
                <w:sz w:val="18"/>
                <w:szCs w:val="18"/>
              </w:rPr>
            </w:pPr>
            <w:r w:rsidRPr="00881A56">
              <w:rPr>
                <w:rFonts w:eastAsia="Arial"/>
                <w:sz w:val="18"/>
                <w:szCs w:val="18"/>
              </w:rPr>
              <w:t>2.1%</w:t>
            </w:r>
          </w:p>
        </w:tc>
        <w:tc>
          <w:tcPr>
            <w:tcW w:w="609" w:type="pct"/>
            <w:vAlign w:val="center"/>
          </w:tcPr>
          <w:p w14:paraId="3671F485" w14:textId="26A31344" w:rsidR="00E02CC8" w:rsidRPr="00ED34E3" w:rsidRDefault="00E02CC8" w:rsidP="00662938">
            <w:pPr>
              <w:spacing w:before="40" w:after="40" w:line="240" w:lineRule="auto"/>
              <w:ind w:right="-119"/>
              <w:jc w:val="center"/>
              <w:rPr>
                <w:rFonts w:eastAsia="Arial"/>
                <w:sz w:val="18"/>
                <w:szCs w:val="18"/>
              </w:rPr>
            </w:pPr>
            <w:r w:rsidRPr="00ED34E3">
              <w:rPr>
                <w:rFonts w:eastAsia="Arial"/>
                <w:sz w:val="18"/>
                <w:szCs w:val="18"/>
              </w:rPr>
              <w:t>2.</w:t>
            </w:r>
            <w:r>
              <w:rPr>
                <w:rFonts w:eastAsia="Arial"/>
                <w:sz w:val="18"/>
                <w:szCs w:val="18"/>
              </w:rPr>
              <w:t>0</w:t>
            </w:r>
            <w:r w:rsidRPr="00ED34E3">
              <w:rPr>
                <w:rFonts w:eastAsia="Arial"/>
                <w:sz w:val="18"/>
                <w:szCs w:val="18"/>
              </w:rPr>
              <w:t>%</w:t>
            </w:r>
          </w:p>
        </w:tc>
      </w:tr>
      <w:tr w:rsidR="004927FD" w:rsidRPr="00ED34E3" w14:paraId="664780D6" w14:textId="77777777" w:rsidTr="00662938">
        <w:trPr>
          <w:trHeight w:val="408"/>
        </w:trPr>
        <w:tc>
          <w:tcPr>
            <w:tcW w:w="740" w:type="pct"/>
            <w:noWrap/>
            <w:vAlign w:val="center"/>
          </w:tcPr>
          <w:p w14:paraId="3E3A03DF" w14:textId="77777777" w:rsidR="004927FD" w:rsidRPr="00ED34E3" w:rsidRDefault="004927FD" w:rsidP="00662938">
            <w:pPr>
              <w:spacing w:before="40" w:after="40" w:line="240" w:lineRule="auto"/>
              <w:ind w:right="432"/>
              <w:jc w:val="left"/>
              <w:rPr>
                <w:sz w:val="18"/>
                <w:szCs w:val="18"/>
              </w:rPr>
            </w:pPr>
            <w:r w:rsidRPr="00ED34E3">
              <w:rPr>
                <w:sz w:val="18"/>
                <w:szCs w:val="18"/>
              </w:rPr>
              <w:t>China*</w:t>
            </w:r>
          </w:p>
        </w:tc>
        <w:tc>
          <w:tcPr>
            <w:tcW w:w="608" w:type="pct"/>
            <w:vAlign w:val="center"/>
          </w:tcPr>
          <w:p w14:paraId="52B34E4A" w14:textId="1D26E3A2" w:rsidR="004927FD" w:rsidRPr="00ED34E3" w:rsidRDefault="004927FD" w:rsidP="00662938">
            <w:pPr>
              <w:spacing w:before="40" w:after="40" w:line="240" w:lineRule="auto"/>
              <w:ind w:right="-120"/>
              <w:jc w:val="center"/>
              <w:rPr>
                <w:rFonts w:eastAsia="Arial"/>
                <w:sz w:val="18"/>
                <w:szCs w:val="18"/>
              </w:rPr>
            </w:pPr>
            <w:r w:rsidRPr="00881A56">
              <w:rPr>
                <w:rFonts w:eastAsia="Arial"/>
                <w:sz w:val="18"/>
                <w:szCs w:val="18"/>
              </w:rPr>
              <w:t>4.0%</w:t>
            </w:r>
          </w:p>
        </w:tc>
        <w:tc>
          <w:tcPr>
            <w:tcW w:w="608" w:type="pct"/>
            <w:vAlign w:val="center"/>
          </w:tcPr>
          <w:p w14:paraId="43CF4346" w14:textId="6BF4277A" w:rsidR="004927FD" w:rsidRPr="00ED34E3" w:rsidRDefault="004927FD" w:rsidP="00662938">
            <w:pPr>
              <w:spacing w:before="40" w:after="40" w:line="240" w:lineRule="auto"/>
              <w:ind w:right="-75"/>
              <w:jc w:val="center"/>
              <w:rPr>
                <w:rFonts w:eastAsia="Arial"/>
                <w:sz w:val="18"/>
                <w:szCs w:val="18"/>
              </w:rPr>
            </w:pPr>
            <w:r w:rsidRPr="00881A56">
              <w:rPr>
                <w:rFonts w:eastAsia="Arial"/>
                <w:sz w:val="18"/>
                <w:szCs w:val="18"/>
              </w:rPr>
              <w:t>4.0%</w:t>
            </w:r>
          </w:p>
        </w:tc>
        <w:tc>
          <w:tcPr>
            <w:tcW w:w="608" w:type="pct"/>
            <w:noWrap/>
            <w:vAlign w:val="center"/>
          </w:tcPr>
          <w:p w14:paraId="0154BED5" w14:textId="346147CF" w:rsidR="004927FD" w:rsidRPr="00ED34E3" w:rsidRDefault="004927FD" w:rsidP="00662938">
            <w:pPr>
              <w:spacing w:before="40" w:after="40" w:line="240" w:lineRule="auto"/>
              <w:ind w:right="-105"/>
              <w:jc w:val="center"/>
              <w:rPr>
                <w:rFonts w:eastAsia="Arial"/>
                <w:sz w:val="18"/>
                <w:szCs w:val="18"/>
              </w:rPr>
            </w:pPr>
            <w:r w:rsidRPr="00881A56">
              <w:rPr>
                <w:rFonts w:eastAsia="Arial"/>
                <w:sz w:val="18"/>
                <w:szCs w:val="18"/>
              </w:rPr>
              <w:t>4.2%</w:t>
            </w:r>
          </w:p>
        </w:tc>
        <w:tc>
          <w:tcPr>
            <w:tcW w:w="609" w:type="pct"/>
            <w:noWrap/>
            <w:vAlign w:val="center"/>
          </w:tcPr>
          <w:p w14:paraId="2B29A229" w14:textId="685FADBE" w:rsidR="004927FD" w:rsidRPr="00ED34E3" w:rsidRDefault="004927FD" w:rsidP="00662938">
            <w:pPr>
              <w:spacing w:before="40" w:after="40" w:line="240" w:lineRule="auto"/>
              <w:ind w:right="-150"/>
              <w:jc w:val="center"/>
              <w:rPr>
                <w:rFonts w:eastAsia="Arial"/>
                <w:sz w:val="18"/>
                <w:szCs w:val="18"/>
              </w:rPr>
            </w:pPr>
            <w:r w:rsidRPr="00881A56">
              <w:rPr>
                <w:rFonts w:eastAsia="Arial"/>
                <w:sz w:val="18"/>
                <w:szCs w:val="18"/>
              </w:rPr>
              <w:t>4.1%</w:t>
            </w:r>
          </w:p>
        </w:tc>
        <w:tc>
          <w:tcPr>
            <w:tcW w:w="608" w:type="pct"/>
            <w:noWrap/>
            <w:vAlign w:val="center"/>
          </w:tcPr>
          <w:p w14:paraId="773EBBE2" w14:textId="4653D684" w:rsidR="004927FD" w:rsidRPr="00ED34E3" w:rsidRDefault="004927FD" w:rsidP="00662938">
            <w:pPr>
              <w:spacing w:before="40" w:after="40" w:line="240" w:lineRule="auto"/>
              <w:ind w:right="-105"/>
              <w:jc w:val="center"/>
              <w:rPr>
                <w:rFonts w:eastAsia="Arial"/>
                <w:sz w:val="18"/>
                <w:szCs w:val="18"/>
              </w:rPr>
            </w:pPr>
            <w:r w:rsidRPr="00881A56">
              <w:rPr>
                <w:rFonts w:eastAsia="Arial"/>
                <w:sz w:val="18"/>
                <w:szCs w:val="18"/>
              </w:rPr>
              <w:t>3.7%</w:t>
            </w:r>
          </w:p>
        </w:tc>
        <w:tc>
          <w:tcPr>
            <w:tcW w:w="608" w:type="pct"/>
            <w:vAlign w:val="center"/>
          </w:tcPr>
          <w:p w14:paraId="14094656" w14:textId="195953BB" w:rsidR="004927FD" w:rsidRPr="00ED34E3" w:rsidRDefault="004927FD" w:rsidP="00662938">
            <w:pPr>
              <w:spacing w:before="40" w:after="40" w:line="240" w:lineRule="auto"/>
              <w:ind w:right="-105"/>
              <w:jc w:val="center"/>
              <w:rPr>
                <w:rFonts w:eastAsia="Arial"/>
                <w:sz w:val="18"/>
                <w:szCs w:val="18"/>
              </w:rPr>
            </w:pPr>
            <w:r w:rsidRPr="00881A56">
              <w:rPr>
                <w:rFonts w:eastAsia="Arial"/>
                <w:sz w:val="18"/>
                <w:szCs w:val="18"/>
              </w:rPr>
              <w:t>3.4%</w:t>
            </w:r>
          </w:p>
        </w:tc>
        <w:tc>
          <w:tcPr>
            <w:tcW w:w="609" w:type="pct"/>
            <w:vAlign w:val="center"/>
          </w:tcPr>
          <w:p w14:paraId="3CBAD343" w14:textId="7D7DEA15" w:rsidR="004927FD" w:rsidRPr="00ED34E3" w:rsidRDefault="004927FD" w:rsidP="00662938">
            <w:pPr>
              <w:spacing w:before="40" w:after="40" w:line="240" w:lineRule="auto"/>
              <w:ind w:right="-119"/>
              <w:jc w:val="center"/>
              <w:rPr>
                <w:rFonts w:eastAsia="Arial"/>
                <w:sz w:val="18"/>
                <w:szCs w:val="18"/>
              </w:rPr>
            </w:pPr>
            <w:r w:rsidRPr="00ED34E3">
              <w:rPr>
                <w:rFonts w:eastAsia="Arial"/>
                <w:sz w:val="18"/>
                <w:szCs w:val="18"/>
              </w:rPr>
              <w:t>3.</w:t>
            </w:r>
            <w:r w:rsidR="00C65608">
              <w:rPr>
                <w:rFonts w:eastAsia="Arial"/>
                <w:sz w:val="18"/>
                <w:szCs w:val="18"/>
              </w:rPr>
              <w:t>9</w:t>
            </w:r>
            <w:r w:rsidRPr="00ED34E3">
              <w:rPr>
                <w:rFonts w:eastAsia="Arial"/>
                <w:sz w:val="18"/>
                <w:szCs w:val="18"/>
              </w:rPr>
              <w:t>%</w:t>
            </w:r>
          </w:p>
        </w:tc>
      </w:tr>
      <w:tr w:rsidR="002C79D0" w:rsidRPr="00ED34E3" w14:paraId="71623C40" w14:textId="77777777" w:rsidTr="00662938">
        <w:trPr>
          <w:trHeight w:val="408"/>
        </w:trPr>
        <w:tc>
          <w:tcPr>
            <w:tcW w:w="740" w:type="pct"/>
            <w:noWrap/>
            <w:vAlign w:val="center"/>
            <w:hideMark/>
          </w:tcPr>
          <w:p w14:paraId="6026873A" w14:textId="77777777" w:rsidR="002C79D0" w:rsidRPr="00ED34E3" w:rsidRDefault="002C79D0" w:rsidP="00662938">
            <w:pPr>
              <w:spacing w:before="40" w:after="40" w:line="240" w:lineRule="auto"/>
              <w:ind w:right="432"/>
              <w:jc w:val="left"/>
              <w:rPr>
                <w:sz w:val="18"/>
                <w:szCs w:val="18"/>
              </w:rPr>
            </w:pPr>
            <w:r w:rsidRPr="00ED34E3">
              <w:rPr>
                <w:sz w:val="18"/>
                <w:szCs w:val="18"/>
              </w:rPr>
              <w:t>Euro area</w:t>
            </w:r>
          </w:p>
        </w:tc>
        <w:tc>
          <w:tcPr>
            <w:tcW w:w="608" w:type="pct"/>
            <w:vAlign w:val="center"/>
          </w:tcPr>
          <w:p w14:paraId="411EB514" w14:textId="54918461" w:rsidR="002C79D0" w:rsidRPr="00ED34E3" w:rsidRDefault="002C79D0" w:rsidP="00662938">
            <w:pPr>
              <w:spacing w:before="40" w:after="40" w:line="240" w:lineRule="auto"/>
              <w:ind w:right="-120"/>
              <w:jc w:val="center"/>
              <w:rPr>
                <w:rFonts w:eastAsia="Arial"/>
                <w:sz w:val="18"/>
                <w:szCs w:val="18"/>
              </w:rPr>
            </w:pPr>
            <w:r w:rsidRPr="002C79D0">
              <w:rPr>
                <w:rFonts w:eastAsia="Arial"/>
                <w:sz w:val="18"/>
                <w:szCs w:val="18"/>
              </w:rPr>
              <w:t>0.8%</w:t>
            </w:r>
          </w:p>
        </w:tc>
        <w:tc>
          <w:tcPr>
            <w:tcW w:w="608" w:type="pct"/>
            <w:vAlign w:val="center"/>
          </w:tcPr>
          <w:p w14:paraId="5215A784" w14:textId="592980BE" w:rsidR="002C79D0" w:rsidRPr="00ED34E3" w:rsidRDefault="002C79D0" w:rsidP="00662938">
            <w:pPr>
              <w:spacing w:before="40" w:after="40" w:line="240" w:lineRule="auto"/>
              <w:ind w:right="-75"/>
              <w:jc w:val="center"/>
              <w:rPr>
                <w:rFonts w:eastAsia="Arial"/>
                <w:sz w:val="18"/>
                <w:szCs w:val="18"/>
              </w:rPr>
            </w:pPr>
            <w:r w:rsidRPr="002C79D0">
              <w:rPr>
                <w:rFonts w:eastAsia="Arial"/>
                <w:sz w:val="18"/>
                <w:szCs w:val="18"/>
              </w:rPr>
              <w:t>1.2%</w:t>
            </w:r>
          </w:p>
        </w:tc>
        <w:tc>
          <w:tcPr>
            <w:tcW w:w="608" w:type="pct"/>
            <w:noWrap/>
            <w:vAlign w:val="center"/>
            <w:hideMark/>
          </w:tcPr>
          <w:p w14:paraId="23C85855" w14:textId="411332B7" w:rsidR="002C79D0" w:rsidRPr="00ED34E3" w:rsidRDefault="002C79D0" w:rsidP="00662938">
            <w:pPr>
              <w:spacing w:before="40" w:after="40" w:line="240" w:lineRule="auto"/>
              <w:ind w:right="-105"/>
              <w:jc w:val="center"/>
              <w:rPr>
                <w:rFonts w:eastAsia="Arial"/>
                <w:sz w:val="18"/>
                <w:szCs w:val="18"/>
              </w:rPr>
            </w:pPr>
            <w:r w:rsidRPr="002C79D0">
              <w:rPr>
                <w:rFonts w:eastAsia="Arial"/>
                <w:sz w:val="18"/>
                <w:szCs w:val="18"/>
              </w:rPr>
              <w:t>1.3%</w:t>
            </w:r>
          </w:p>
        </w:tc>
        <w:tc>
          <w:tcPr>
            <w:tcW w:w="609" w:type="pct"/>
            <w:noWrap/>
            <w:vAlign w:val="center"/>
            <w:hideMark/>
          </w:tcPr>
          <w:p w14:paraId="57F18580" w14:textId="04F28D47" w:rsidR="002C79D0" w:rsidRPr="00ED34E3" w:rsidRDefault="002C79D0" w:rsidP="00662938">
            <w:pPr>
              <w:spacing w:before="40" w:after="40" w:line="240" w:lineRule="auto"/>
              <w:ind w:right="-150"/>
              <w:jc w:val="center"/>
              <w:rPr>
                <w:rFonts w:eastAsia="Arial"/>
                <w:sz w:val="18"/>
                <w:szCs w:val="18"/>
              </w:rPr>
            </w:pPr>
            <w:r w:rsidRPr="002C79D0">
              <w:rPr>
                <w:rFonts w:eastAsia="Arial"/>
                <w:sz w:val="18"/>
                <w:szCs w:val="18"/>
              </w:rPr>
              <w:t>1.3%</w:t>
            </w:r>
          </w:p>
        </w:tc>
        <w:tc>
          <w:tcPr>
            <w:tcW w:w="608" w:type="pct"/>
            <w:noWrap/>
            <w:vAlign w:val="center"/>
            <w:hideMark/>
          </w:tcPr>
          <w:p w14:paraId="679B6A6C" w14:textId="0E1A1A5E" w:rsidR="002C79D0" w:rsidRPr="00ED34E3" w:rsidRDefault="002C79D0" w:rsidP="00662938">
            <w:pPr>
              <w:spacing w:before="40" w:after="40" w:line="240" w:lineRule="auto"/>
              <w:ind w:right="-105"/>
              <w:jc w:val="center"/>
              <w:rPr>
                <w:rFonts w:eastAsia="Arial"/>
                <w:sz w:val="18"/>
                <w:szCs w:val="18"/>
              </w:rPr>
            </w:pPr>
            <w:r w:rsidRPr="002C79D0">
              <w:rPr>
                <w:rFonts w:eastAsia="Arial"/>
                <w:sz w:val="18"/>
                <w:szCs w:val="18"/>
              </w:rPr>
              <w:t>1.2%</w:t>
            </w:r>
          </w:p>
        </w:tc>
        <w:tc>
          <w:tcPr>
            <w:tcW w:w="608" w:type="pct"/>
            <w:vAlign w:val="center"/>
          </w:tcPr>
          <w:p w14:paraId="310CBBF1" w14:textId="1A72387B" w:rsidR="002C79D0" w:rsidRPr="00ED34E3" w:rsidRDefault="002C79D0" w:rsidP="00662938">
            <w:pPr>
              <w:spacing w:before="40" w:after="40" w:line="240" w:lineRule="auto"/>
              <w:ind w:right="-105"/>
              <w:jc w:val="center"/>
              <w:rPr>
                <w:rFonts w:eastAsia="Arial"/>
                <w:sz w:val="18"/>
                <w:szCs w:val="18"/>
              </w:rPr>
            </w:pPr>
            <w:r w:rsidRPr="002C79D0">
              <w:rPr>
                <w:rFonts w:eastAsia="Arial"/>
                <w:sz w:val="18"/>
                <w:szCs w:val="18"/>
              </w:rPr>
              <w:t>1.1%</w:t>
            </w:r>
          </w:p>
        </w:tc>
        <w:tc>
          <w:tcPr>
            <w:tcW w:w="609" w:type="pct"/>
            <w:vAlign w:val="center"/>
          </w:tcPr>
          <w:p w14:paraId="504E92CA" w14:textId="0CEB118B" w:rsidR="002C79D0" w:rsidRPr="00ED34E3" w:rsidRDefault="002C79D0" w:rsidP="00662938">
            <w:pPr>
              <w:spacing w:before="40" w:after="40" w:line="240" w:lineRule="auto"/>
              <w:ind w:right="-119"/>
              <w:jc w:val="center"/>
              <w:rPr>
                <w:rFonts w:eastAsia="Arial"/>
                <w:sz w:val="18"/>
                <w:szCs w:val="18"/>
              </w:rPr>
            </w:pPr>
            <w:r w:rsidRPr="00ED34E3">
              <w:rPr>
                <w:rFonts w:eastAsia="Arial"/>
                <w:sz w:val="18"/>
                <w:szCs w:val="18"/>
              </w:rPr>
              <w:t>1.</w:t>
            </w:r>
            <w:r>
              <w:rPr>
                <w:rFonts w:eastAsia="Arial"/>
                <w:sz w:val="18"/>
                <w:szCs w:val="18"/>
              </w:rPr>
              <w:t>2</w:t>
            </w:r>
            <w:r w:rsidRPr="00ED34E3">
              <w:rPr>
                <w:rFonts w:eastAsia="Arial"/>
                <w:sz w:val="18"/>
                <w:szCs w:val="18"/>
              </w:rPr>
              <w:t>%</w:t>
            </w:r>
          </w:p>
        </w:tc>
      </w:tr>
      <w:tr w:rsidR="00BF1B3B" w:rsidRPr="00ED34E3" w14:paraId="778BCA11" w14:textId="77777777" w:rsidTr="00662938">
        <w:trPr>
          <w:trHeight w:val="408"/>
        </w:trPr>
        <w:tc>
          <w:tcPr>
            <w:tcW w:w="740" w:type="pct"/>
            <w:noWrap/>
            <w:vAlign w:val="center"/>
            <w:hideMark/>
          </w:tcPr>
          <w:p w14:paraId="60AE6087" w14:textId="77777777" w:rsidR="00BF1B3B" w:rsidRPr="00ED34E3" w:rsidRDefault="00BF1B3B" w:rsidP="00662938">
            <w:pPr>
              <w:spacing w:before="40" w:after="40" w:line="240" w:lineRule="auto"/>
              <w:ind w:right="432"/>
              <w:jc w:val="left"/>
              <w:rPr>
                <w:sz w:val="18"/>
                <w:szCs w:val="18"/>
              </w:rPr>
            </w:pPr>
            <w:r w:rsidRPr="00ED34E3">
              <w:rPr>
                <w:sz w:val="18"/>
                <w:szCs w:val="18"/>
              </w:rPr>
              <w:t>Japan</w:t>
            </w:r>
          </w:p>
        </w:tc>
        <w:tc>
          <w:tcPr>
            <w:tcW w:w="608" w:type="pct"/>
            <w:vAlign w:val="center"/>
          </w:tcPr>
          <w:p w14:paraId="1CBA0FDC" w14:textId="6DE77BD2" w:rsidR="00BF1B3B" w:rsidRPr="00ED34E3" w:rsidRDefault="00BF1B3B" w:rsidP="00662938">
            <w:pPr>
              <w:spacing w:before="40" w:after="40" w:line="240" w:lineRule="auto"/>
              <w:ind w:right="-120"/>
              <w:jc w:val="center"/>
              <w:rPr>
                <w:rFonts w:eastAsia="Arial"/>
                <w:sz w:val="18"/>
                <w:szCs w:val="18"/>
              </w:rPr>
            </w:pPr>
            <w:r w:rsidRPr="00BF1B3B">
              <w:rPr>
                <w:rFonts w:eastAsia="Arial"/>
                <w:sz w:val="18"/>
                <w:szCs w:val="18"/>
              </w:rPr>
              <w:t>0.6%</w:t>
            </w:r>
          </w:p>
        </w:tc>
        <w:tc>
          <w:tcPr>
            <w:tcW w:w="608" w:type="pct"/>
            <w:vAlign w:val="center"/>
          </w:tcPr>
          <w:p w14:paraId="28FF2538" w14:textId="08E5471D" w:rsidR="00BF1B3B" w:rsidRPr="00ED34E3" w:rsidRDefault="00BF1B3B" w:rsidP="00662938">
            <w:pPr>
              <w:spacing w:before="40" w:after="40" w:line="240" w:lineRule="auto"/>
              <w:ind w:right="-75"/>
              <w:jc w:val="center"/>
              <w:rPr>
                <w:rFonts w:eastAsia="Arial"/>
                <w:sz w:val="18"/>
                <w:szCs w:val="18"/>
              </w:rPr>
            </w:pPr>
            <w:r w:rsidRPr="00BF1B3B">
              <w:rPr>
                <w:rFonts w:eastAsia="Arial"/>
                <w:sz w:val="18"/>
                <w:szCs w:val="18"/>
              </w:rPr>
              <w:t>0.6%</w:t>
            </w:r>
          </w:p>
        </w:tc>
        <w:tc>
          <w:tcPr>
            <w:tcW w:w="608" w:type="pct"/>
            <w:noWrap/>
            <w:vAlign w:val="center"/>
            <w:hideMark/>
          </w:tcPr>
          <w:p w14:paraId="5F4394F5" w14:textId="3387737A" w:rsidR="00BF1B3B" w:rsidRPr="00ED34E3" w:rsidRDefault="00BF1B3B" w:rsidP="00662938">
            <w:pPr>
              <w:spacing w:before="40" w:after="40" w:line="240" w:lineRule="auto"/>
              <w:ind w:right="-105"/>
              <w:jc w:val="center"/>
              <w:rPr>
                <w:rFonts w:eastAsia="Arial"/>
                <w:sz w:val="18"/>
                <w:szCs w:val="18"/>
              </w:rPr>
            </w:pPr>
            <w:r w:rsidRPr="00BF1B3B">
              <w:rPr>
                <w:rFonts w:eastAsia="Arial"/>
                <w:sz w:val="18"/>
                <w:szCs w:val="18"/>
              </w:rPr>
              <w:t>0.6%</w:t>
            </w:r>
          </w:p>
        </w:tc>
        <w:tc>
          <w:tcPr>
            <w:tcW w:w="609" w:type="pct"/>
            <w:noWrap/>
            <w:vAlign w:val="center"/>
            <w:hideMark/>
          </w:tcPr>
          <w:p w14:paraId="3EB65D03" w14:textId="556F89EC" w:rsidR="00BF1B3B" w:rsidRPr="00ED34E3" w:rsidRDefault="00BF1B3B" w:rsidP="00662938">
            <w:pPr>
              <w:spacing w:before="40" w:after="40" w:line="240" w:lineRule="auto"/>
              <w:ind w:right="-150"/>
              <w:jc w:val="center"/>
              <w:rPr>
                <w:rFonts w:eastAsia="Arial"/>
                <w:sz w:val="18"/>
                <w:szCs w:val="18"/>
              </w:rPr>
            </w:pPr>
            <w:r w:rsidRPr="00BF1B3B">
              <w:rPr>
                <w:rFonts w:eastAsia="Arial"/>
                <w:sz w:val="18"/>
                <w:szCs w:val="18"/>
              </w:rPr>
              <w:t>0.6%</w:t>
            </w:r>
          </w:p>
        </w:tc>
        <w:tc>
          <w:tcPr>
            <w:tcW w:w="608" w:type="pct"/>
            <w:noWrap/>
            <w:vAlign w:val="center"/>
            <w:hideMark/>
          </w:tcPr>
          <w:p w14:paraId="751B060B" w14:textId="4709EAC4" w:rsidR="00BF1B3B" w:rsidRPr="00ED34E3" w:rsidRDefault="00BF1B3B" w:rsidP="00662938">
            <w:pPr>
              <w:spacing w:before="40" w:after="40" w:line="240" w:lineRule="auto"/>
              <w:ind w:right="-105"/>
              <w:jc w:val="center"/>
              <w:rPr>
                <w:rFonts w:eastAsia="Arial"/>
                <w:sz w:val="18"/>
                <w:szCs w:val="18"/>
              </w:rPr>
            </w:pPr>
            <w:r w:rsidRPr="00BF1B3B">
              <w:rPr>
                <w:rFonts w:eastAsia="Arial"/>
                <w:sz w:val="18"/>
                <w:szCs w:val="18"/>
              </w:rPr>
              <w:t>0.5%</w:t>
            </w:r>
          </w:p>
        </w:tc>
        <w:tc>
          <w:tcPr>
            <w:tcW w:w="608" w:type="pct"/>
            <w:vAlign w:val="center"/>
          </w:tcPr>
          <w:p w14:paraId="24927A4D" w14:textId="6280301A" w:rsidR="00BF1B3B" w:rsidRPr="00ED34E3" w:rsidRDefault="00BF1B3B" w:rsidP="00662938">
            <w:pPr>
              <w:spacing w:before="40" w:after="40" w:line="240" w:lineRule="auto"/>
              <w:ind w:right="-105"/>
              <w:jc w:val="center"/>
              <w:rPr>
                <w:rFonts w:eastAsia="Arial"/>
                <w:sz w:val="18"/>
                <w:szCs w:val="18"/>
              </w:rPr>
            </w:pPr>
            <w:r w:rsidRPr="00BF1B3B">
              <w:rPr>
                <w:rFonts w:eastAsia="Arial"/>
                <w:sz w:val="18"/>
                <w:szCs w:val="18"/>
              </w:rPr>
              <w:t>0.5%</w:t>
            </w:r>
          </w:p>
        </w:tc>
        <w:tc>
          <w:tcPr>
            <w:tcW w:w="609" w:type="pct"/>
            <w:vAlign w:val="center"/>
          </w:tcPr>
          <w:p w14:paraId="28C3B88D" w14:textId="72D89DAE" w:rsidR="00BF1B3B" w:rsidRPr="00ED34E3" w:rsidRDefault="00BF1B3B" w:rsidP="00662938">
            <w:pPr>
              <w:spacing w:before="40" w:after="40" w:line="240" w:lineRule="auto"/>
              <w:ind w:right="-119"/>
              <w:jc w:val="center"/>
              <w:rPr>
                <w:rFonts w:eastAsia="Arial"/>
                <w:sz w:val="18"/>
                <w:szCs w:val="18"/>
              </w:rPr>
            </w:pPr>
            <w:r w:rsidRPr="00ED34E3">
              <w:rPr>
                <w:rFonts w:eastAsia="Arial"/>
                <w:sz w:val="18"/>
                <w:szCs w:val="18"/>
              </w:rPr>
              <w:t>0.</w:t>
            </w:r>
            <w:r w:rsidR="00143269">
              <w:rPr>
                <w:rFonts w:eastAsia="Arial"/>
                <w:sz w:val="18"/>
                <w:szCs w:val="18"/>
              </w:rPr>
              <w:t>6</w:t>
            </w:r>
            <w:r w:rsidRPr="00ED34E3">
              <w:rPr>
                <w:rFonts w:eastAsia="Arial"/>
                <w:sz w:val="18"/>
                <w:szCs w:val="18"/>
              </w:rPr>
              <w:t>%</w:t>
            </w:r>
          </w:p>
        </w:tc>
      </w:tr>
      <w:tr w:rsidR="00BF1B3B" w:rsidRPr="00ED34E3" w14:paraId="723DCA0E" w14:textId="77777777" w:rsidTr="00662938">
        <w:trPr>
          <w:trHeight w:val="408"/>
        </w:trPr>
        <w:tc>
          <w:tcPr>
            <w:tcW w:w="740" w:type="pct"/>
            <w:noWrap/>
            <w:vAlign w:val="center"/>
            <w:hideMark/>
          </w:tcPr>
          <w:p w14:paraId="48D3EE01" w14:textId="77777777" w:rsidR="00BF1B3B" w:rsidRPr="00ED34E3" w:rsidRDefault="00BF1B3B" w:rsidP="00662938">
            <w:pPr>
              <w:spacing w:before="40" w:after="40" w:line="240" w:lineRule="auto"/>
              <w:ind w:right="432"/>
              <w:jc w:val="left"/>
              <w:rPr>
                <w:sz w:val="18"/>
                <w:szCs w:val="18"/>
              </w:rPr>
            </w:pPr>
            <w:r w:rsidRPr="00ED34E3">
              <w:rPr>
                <w:sz w:val="18"/>
                <w:szCs w:val="18"/>
              </w:rPr>
              <w:t>UK</w:t>
            </w:r>
          </w:p>
        </w:tc>
        <w:tc>
          <w:tcPr>
            <w:tcW w:w="608" w:type="pct"/>
            <w:vAlign w:val="center"/>
          </w:tcPr>
          <w:p w14:paraId="055E71B6" w14:textId="3826A379" w:rsidR="00BF1B3B" w:rsidRPr="00ED34E3" w:rsidRDefault="00BF1B3B" w:rsidP="00662938">
            <w:pPr>
              <w:spacing w:before="40" w:after="40" w:line="240" w:lineRule="auto"/>
              <w:ind w:right="-120"/>
              <w:jc w:val="center"/>
              <w:rPr>
                <w:rFonts w:eastAsia="Arial"/>
                <w:sz w:val="18"/>
                <w:szCs w:val="18"/>
              </w:rPr>
            </w:pPr>
            <w:r w:rsidRPr="00BF1B3B">
              <w:rPr>
                <w:rFonts w:eastAsia="Arial"/>
                <w:sz w:val="18"/>
                <w:szCs w:val="18"/>
              </w:rPr>
              <w:t>1.1%</w:t>
            </w:r>
          </w:p>
        </w:tc>
        <w:tc>
          <w:tcPr>
            <w:tcW w:w="608" w:type="pct"/>
            <w:vAlign w:val="center"/>
          </w:tcPr>
          <w:p w14:paraId="133D0253" w14:textId="49EB1BCE" w:rsidR="00BF1B3B" w:rsidRPr="00ED34E3" w:rsidRDefault="00BF1B3B" w:rsidP="00662938">
            <w:pPr>
              <w:spacing w:before="40" w:after="40" w:line="240" w:lineRule="auto"/>
              <w:ind w:right="-75"/>
              <w:jc w:val="center"/>
              <w:rPr>
                <w:rFonts w:eastAsia="Arial"/>
                <w:sz w:val="18"/>
                <w:szCs w:val="18"/>
              </w:rPr>
            </w:pPr>
            <w:r w:rsidRPr="00BF1B3B">
              <w:rPr>
                <w:rFonts w:eastAsia="Arial"/>
                <w:sz w:val="18"/>
                <w:szCs w:val="18"/>
              </w:rPr>
              <w:t>1.4%</w:t>
            </w:r>
          </w:p>
        </w:tc>
        <w:tc>
          <w:tcPr>
            <w:tcW w:w="608" w:type="pct"/>
            <w:noWrap/>
            <w:vAlign w:val="center"/>
            <w:hideMark/>
          </w:tcPr>
          <w:p w14:paraId="268EEE44" w14:textId="393325C5" w:rsidR="00BF1B3B" w:rsidRPr="00ED34E3" w:rsidRDefault="00BF1B3B" w:rsidP="00662938">
            <w:pPr>
              <w:spacing w:before="40" w:after="40" w:line="240" w:lineRule="auto"/>
              <w:ind w:right="-105"/>
              <w:jc w:val="center"/>
              <w:rPr>
                <w:rFonts w:eastAsia="Arial"/>
                <w:sz w:val="18"/>
                <w:szCs w:val="18"/>
              </w:rPr>
            </w:pPr>
            <w:r w:rsidRPr="00BF1B3B">
              <w:rPr>
                <w:rFonts w:eastAsia="Arial"/>
                <w:sz w:val="18"/>
                <w:szCs w:val="18"/>
              </w:rPr>
              <w:t>1.5%</w:t>
            </w:r>
          </w:p>
        </w:tc>
        <w:tc>
          <w:tcPr>
            <w:tcW w:w="609" w:type="pct"/>
            <w:noWrap/>
            <w:vAlign w:val="center"/>
            <w:hideMark/>
          </w:tcPr>
          <w:p w14:paraId="54575E73" w14:textId="09591FDD" w:rsidR="00BF1B3B" w:rsidRPr="00ED34E3" w:rsidRDefault="00BF1B3B" w:rsidP="00662938">
            <w:pPr>
              <w:spacing w:before="40" w:after="40" w:line="240" w:lineRule="auto"/>
              <w:ind w:right="-150"/>
              <w:jc w:val="center"/>
              <w:rPr>
                <w:rFonts w:eastAsia="Arial"/>
                <w:sz w:val="18"/>
                <w:szCs w:val="18"/>
              </w:rPr>
            </w:pPr>
            <w:r w:rsidRPr="00BF1B3B">
              <w:rPr>
                <w:rFonts w:eastAsia="Arial"/>
                <w:sz w:val="18"/>
                <w:szCs w:val="18"/>
              </w:rPr>
              <w:t>1.5%</w:t>
            </w:r>
          </w:p>
        </w:tc>
        <w:tc>
          <w:tcPr>
            <w:tcW w:w="608" w:type="pct"/>
            <w:noWrap/>
            <w:vAlign w:val="center"/>
            <w:hideMark/>
          </w:tcPr>
          <w:p w14:paraId="36CF4103" w14:textId="0B891053" w:rsidR="00BF1B3B" w:rsidRPr="00ED34E3" w:rsidRDefault="00BF1B3B" w:rsidP="00662938">
            <w:pPr>
              <w:spacing w:before="40" w:after="40" w:line="240" w:lineRule="auto"/>
              <w:ind w:right="-105"/>
              <w:jc w:val="center"/>
              <w:rPr>
                <w:rFonts w:eastAsia="Arial"/>
                <w:sz w:val="18"/>
                <w:szCs w:val="18"/>
              </w:rPr>
            </w:pPr>
            <w:r w:rsidRPr="00BF1B3B">
              <w:rPr>
                <w:rFonts w:eastAsia="Arial"/>
                <w:sz w:val="18"/>
                <w:szCs w:val="18"/>
              </w:rPr>
              <w:t>1.4%</w:t>
            </w:r>
          </w:p>
        </w:tc>
        <w:tc>
          <w:tcPr>
            <w:tcW w:w="608" w:type="pct"/>
            <w:vAlign w:val="center"/>
          </w:tcPr>
          <w:p w14:paraId="6B0B284B" w14:textId="24440683" w:rsidR="00BF1B3B" w:rsidRPr="00ED34E3" w:rsidRDefault="00BF1B3B" w:rsidP="00662938">
            <w:pPr>
              <w:spacing w:before="40" w:after="40" w:line="240" w:lineRule="auto"/>
              <w:ind w:right="-105"/>
              <w:jc w:val="center"/>
              <w:rPr>
                <w:rFonts w:eastAsia="Arial"/>
                <w:sz w:val="18"/>
                <w:szCs w:val="18"/>
              </w:rPr>
            </w:pPr>
            <w:r w:rsidRPr="00BF1B3B">
              <w:rPr>
                <w:rFonts w:eastAsia="Arial"/>
                <w:sz w:val="18"/>
                <w:szCs w:val="18"/>
              </w:rPr>
              <w:t>1.4%</w:t>
            </w:r>
          </w:p>
        </w:tc>
        <w:tc>
          <w:tcPr>
            <w:tcW w:w="609" w:type="pct"/>
            <w:vAlign w:val="center"/>
          </w:tcPr>
          <w:p w14:paraId="47FDE4C2" w14:textId="7E9E9187" w:rsidR="00BF1B3B" w:rsidRPr="00ED34E3" w:rsidRDefault="00BF1B3B" w:rsidP="00662938">
            <w:pPr>
              <w:spacing w:before="40" w:after="40" w:line="240" w:lineRule="auto"/>
              <w:ind w:right="-119"/>
              <w:jc w:val="center"/>
              <w:rPr>
                <w:rFonts w:eastAsia="Arial"/>
                <w:sz w:val="18"/>
                <w:szCs w:val="18"/>
              </w:rPr>
            </w:pPr>
            <w:r w:rsidRPr="00ED34E3">
              <w:rPr>
                <w:rFonts w:eastAsia="Arial"/>
                <w:sz w:val="18"/>
                <w:szCs w:val="18"/>
              </w:rPr>
              <w:t>1.</w:t>
            </w:r>
            <w:r w:rsidR="00143269">
              <w:rPr>
                <w:rFonts w:eastAsia="Arial"/>
                <w:sz w:val="18"/>
                <w:szCs w:val="18"/>
              </w:rPr>
              <w:t>5</w:t>
            </w:r>
            <w:r w:rsidRPr="00ED34E3">
              <w:rPr>
                <w:rFonts w:eastAsia="Arial"/>
                <w:sz w:val="18"/>
                <w:szCs w:val="18"/>
              </w:rPr>
              <w:t>%</w:t>
            </w:r>
          </w:p>
        </w:tc>
      </w:tr>
      <w:tr w:rsidR="00143269" w:rsidRPr="00ED34E3" w14:paraId="6B7AC13B" w14:textId="77777777" w:rsidTr="00662938">
        <w:trPr>
          <w:trHeight w:val="408"/>
        </w:trPr>
        <w:tc>
          <w:tcPr>
            <w:tcW w:w="740" w:type="pct"/>
            <w:shd w:val="clear" w:color="auto" w:fill="D0D2D3"/>
            <w:noWrap/>
            <w:vAlign w:val="center"/>
            <w:hideMark/>
          </w:tcPr>
          <w:p w14:paraId="477D6449" w14:textId="77777777" w:rsidR="00143269" w:rsidRPr="00ED34E3" w:rsidRDefault="00143269" w:rsidP="00662938">
            <w:pPr>
              <w:spacing w:before="40" w:after="40" w:line="240" w:lineRule="auto"/>
              <w:ind w:right="432"/>
              <w:jc w:val="left"/>
              <w:rPr>
                <w:sz w:val="18"/>
                <w:szCs w:val="18"/>
              </w:rPr>
            </w:pPr>
            <w:r w:rsidRPr="00ED34E3">
              <w:rPr>
                <w:sz w:val="18"/>
                <w:szCs w:val="18"/>
              </w:rPr>
              <w:t>India*</w:t>
            </w:r>
          </w:p>
        </w:tc>
        <w:tc>
          <w:tcPr>
            <w:tcW w:w="608" w:type="pct"/>
            <w:shd w:val="clear" w:color="auto" w:fill="D0D2D3"/>
            <w:vAlign w:val="center"/>
          </w:tcPr>
          <w:p w14:paraId="307D1F42" w14:textId="5981837E" w:rsidR="00143269" w:rsidRPr="00ED34E3" w:rsidRDefault="00143269" w:rsidP="00662938">
            <w:pPr>
              <w:spacing w:before="40" w:after="40" w:line="240" w:lineRule="auto"/>
              <w:ind w:right="-120"/>
              <w:jc w:val="center"/>
              <w:rPr>
                <w:rFonts w:eastAsia="Arial"/>
                <w:b/>
                <w:bCs/>
                <w:sz w:val="18"/>
                <w:szCs w:val="18"/>
              </w:rPr>
            </w:pPr>
            <w:r w:rsidRPr="00143269">
              <w:rPr>
                <w:rFonts w:eastAsia="Arial"/>
                <w:b/>
                <w:bCs/>
                <w:sz w:val="18"/>
                <w:szCs w:val="18"/>
              </w:rPr>
              <w:t>6.2%</w:t>
            </w:r>
          </w:p>
        </w:tc>
        <w:tc>
          <w:tcPr>
            <w:tcW w:w="608" w:type="pct"/>
            <w:shd w:val="clear" w:color="auto" w:fill="D0D2D3"/>
            <w:vAlign w:val="center"/>
          </w:tcPr>
          <w:p w14:paraId="4B24FF8B" w14:textId="4E976E67" w:rsidR="00143269" w:rsidRPr="00ED34E3" w:rsidRDefault="00143269" w:rsidP="00662938">
            <w:pPr>
              <w:spacing w:before="40" w:after="40" w:line="240" w:lineRule="auto"/>
              <w:ind w:right="-75"/>
              <w:jc w:val="center"/>
              <w:rPr>
                <w:rFonts w:eastAsia="Arial"/>
                <w:b/>
                <w:bCs/>
                <w:sz w:val="18"/>
                <w:szCs w:val="18"/>
              </w:rPr>
            </w:pPr>
            <w:r w:rsidRPr="00143269">
              <w:rPr>
                <w:rFonts w:eastAsia="Arial"/>
                <w:b/>
                <w:bCs/>
                <w:sz w:val="18"/>
                <w:szCs w:val="18"/>
              </w:rPr>
              <w:t>6.3%</w:t>
            </w:r>
          </w:p>
        </w:tc>
        <w:tc>
          <w:tcPr>
            <w:tcW w:w="608" w:type="pct"/>
            <w:shd w:val="clear" w:color="auto" w:fill="D0D2D3"/>
            <w:noWrap/>
            <w:vAlign w:val="center"/>
            <w:hideMark/>
          </w:tcPr>
          <w:p w14:paraId="656C45CB" w14:textId="3B03B080" w:rsidR="00143269" w:rsidRPr="00ED34E3" w:rsidRDefault="00143269" w:rsidP="00662938">
            <w:pPr>
              <w:spacing w:before="40" w:after="40" w:line="240" w:lineRule="auto"/>
              <w:ind w:right="-105"/>
              <w:jc w:val="center"/>
              <w:rPr>
                <w:rFonts w:eastAsia="Arial"/>
                <w:b/>
                <w:bCs/>
                <w:sz w:val="18"/>
                <w:szCs w:val="18"/>
              </w:rPr>
            </w:pPr>
            <w:r w:rsidRPr="00143269">
              <w:rPr>
                <w:rFonts w:eastAsia="Arial"/>
                <w:b/>
                <w:bCs/>
                <w:sz w:val="18"/>
                <w:szCs w:val="18"/>
              </w:rPr>
              <w:t>6.5%</w:t>
            </w:r>
          </w:p>
        </w:tc>
        <w:tc>
          <w:tcPr>
            <w:tcW w:w="609" w:type="pct"/>
            <w:shd w:val="clear" w:color="auto" w:fill="D0D2D3"/>
            <w:noWrap/>
            <w:vAlign w:val="center"/>
            <w:hideMark/>
          </w:tcPr>
          <w:p w14:paraId="05BE75D6" w14:textId="1706C4AB" w:rsidR="00143269" w:rsidRPr="00ED34E3" w:rsidRDefault="00143269" w:rsidP="00662938">
            <w:pPr>
              <w:spacing w:before="40" w:after="40" w:line="240" w:lineRule="auto"/>
              <w:ind w:right="-150"/>
              <w:jc w:val="center"/>
              <w:rPr>
                <w:rFonts w:eastAsia="Arial"/>
                <w:b/>
                <w:bCs/>
                <w:sz w:val="18"/>
                <w:szCs w:val="18"/>
              </w:rPr>
            </w:pPr>
            <w:r w:rsidRPr="00143269">
              <w:rPr>
                <w:rFonts w:eastAsia="Arial"/>
                <w:b/>
                <w:bCs/>
                <w:sz w:val="18"/>
                <w:szCs w:val="18"/>
              </w:rPr>
              <w:t>6.5%</w:t>
            </w:r>
          </w:p>
        </w:tc>
        <w:tc>
          <w:tcPr>
            <w:tcW w:w="608" w:type="pct"/>
            <w:shd w:val="clear" w:color="auto" w:fill="D0D2D3"/>
            <w:noWrap/>
            <w:vAlign w:val="center"/>
            <w:hideMark/>
          </w:tcPr>
          <w:p w14:paraId="76BB343B" w14:textId="76887435" w:rsidR="00143269" w:rsidRPr="00ED34E3" w:rsidRDefault="00143269" w:rsidP="00662938">
            <w:pPr>
              <w:spacing w:before="40" w:after="40" w:line="240" w:lineRule="auto"/>
              <w:ind w:right="-105"/>
              <w:jc w:val="center"/>
              <w:rPr>
                <w:rFonts w:eastAsia="Arial"/>
                <w:b/>
                <w:bCs/>
                <w:sz w:val="18"/>
                <w:szCs w:val="18"/>
              </w:rPr>
            </w:pPr>
            <w:r w:rsidRPr="00143269">
              <w:rPr>
                <w:rFonts w:eastAsia="Arial"/>
                <w:b/>
                <w:bCs/>
                <w:sz w:val="18"/>
                <w:szCs w:val="18"/>
              </w:rPr>
              <w:t>6.5%</w:t>
            </w:r>
          </w:p>
        </w:tc>
        <w:tc>
          <w:tcPr>
            <w:tcW w:w="608" w:type="pct"/>
            <w:shd w:val="clear" w:color="auto" w:fill="D0D2D3"/>
            <w:vAlign w:val="center"/>
          </w:tcPr>
          <w:p w14:paraId="6133C53C" w14:textId="6BDF1F7F" w:rsidR="00143269" w:rsidRPr="00ED34E3" w:rsidRDefault="00143269" w:rsidP="00662938">
            <w:pPr>
              <w:spacing w:before="40" w:after="40" w:line="240" w:lineRule="auto"/>
              <w:ind w:right="-105"/>
              <w:jc w:val="center"/>
              <w:rPr>
                <w:rFonts w:eastAsia="Arial"/>
                <w:b/>
                <w:bCs/>
                <w:sz w:val="18"/>
                <w:szCs w:val="18"/>
              </w:rPr>
            </w:pPr>
            <w:r w:rsidRPr="00143269">
              <w:rPr>
                <w:rFonts w:eastAsia="Arial"/>
                <w:b/>
                <w:bCs/>
                <w:sz w:val="18"/>
                <w:szCs w:val="18"/>
              </w:rPr>
              <w:t>6.5%</w:t>
            </w:r>
          </w:p>
        </w:tc>
        <w:tc>
          <w:tcPr>
            <w:tcW w:w="609" w:type="pct"/>
            <w:shd w:val="clear" w:color="auto" w:fill="D0D2D3"/>
            <w:vAlign w:val="center"/>
          </w:tcPr>
          <w:p w14:paraId="06CFC30F" w14:textId="0D66A26F" w:rsidR="00143269" w:rsidRPr="00ED34E3" w:rsidRDefault="00143269" w:rsidP="00662938">
            <w:pPr>
              <w:spacing w:before="40" w:after="40" w:line="240" w:lineRule="auto"/>
              <w:ind w:right="-119"/>
              <w:jc w:val="center"/>
              <w:rPr>
                <w:rFonts w:eastAsia="Arial"/>
                <w:b/>
                <w:bCs/>
                <w:sz w:val="18"/>
                <w:szCs w:val="18"/>
              </w:rPr>
            </w:pPr>
            <w:r w:rsidRPr="00ED34E3">
              <w:rPr>
                <w:rFonts w:eastAsia="Arial"/>
                <w:b/>
                <w:bCs/>
                <w:sz w:val="18"/>
                <w:szCs w:val="18"/>
              </w:rPr>
              <w:t>6.</w:t>
            </w:r>
            <w:r>
              <w:rPr>
                <w:rFonts w:eastAsia="Arial"/>
                <w:b/>
                <w:bCs/>
                <w:sz w:val="18"/>
                <w:szCs w:val="18"/>
              </w:rPr>
              <w:t>4</w:t>
            </w:r>
            <w:r w:rsidRPr="00ED34E3">
              <w:rPr>
                <w:rFonts w:eastAsia="Arial"/>
                <w:b/>
                <w:bCs/>
                <w:sz w:val="18"/>
                <w:szCs w:val="18"/>
              </w:rPr>
              <w:t>%</w:t>
            </w:r>
          </w:p>
        </w:tc>
      </w:tr>
    </w:tbl>
    <w:p w14:paraId="5F53E9C5" w14:textId="77777777" w:rsidR="00C7511A" w:rsidRPr="007B7DFC" w:rsidRDefault="00C7511A" w:rsidP="00662938">
      <w:pPr>
        <w:tabs>
          <w:tab w:val="center" w:pos="4680"/>
          <w:tab w:val="right" w:pos="9720"/>
        </w:tabs>
        <w:spacing w:before="0" w:after="120" w:line="240" w:lineRule="auto"/>
        <w:ind w:right="432"/>
        <w:rPr>
          <w:rFonts w:eastAsiaTheme="minorEastAsia"/>
          <w:i/>
          <w:sz w:val="16"/>
          <w:szCs w:val="15"/>
        </w:rPr>
      </w:pPr>
      <w:r w:rsidRPr="007B7DFC">
        <w:rPr>
          <w:rFonts w:eastAsiaTheme="minorEastAsia"/>
          <w:i/>
          <w:sz w:val="16"/>
          <w:szCs w:val="15"/>
        </w:rPr>
        <w:t>Note: CY- Calendar Year</w:t>
      </w:r>
      <w:r>
        <w:rPr>
          <w:rFonts w:eastAsiaTheme="minorEastAsia"/>
          <w:i/>
          <w:sz w:val="16"/>
          <w:szCs w:val="15"/>
        </w:rPr>
        <w:t>, *Emerging Economies</w:t>
      </w:r>
    </w:p>
    <w:p w14:paraId="313C15CA" w14:textId="3ED09545" w:rsidR="00C7511A" w:rsidRDefault="00C7511A" w:rsidP="00C7511A">
      <w:pPr>
        <w:tabs>
          <w:tab w:val="center" w:pos="4680"/>
          <w:tab w:val="right" w:pos="9720"/>
        </w:tabs>
        <w:spacing w:before="160" w:after="120" w:line="240" w:lineRule="auto"/>
        <w:ind w:right="432"/>
        <w:rPr>
          <w:rFonts w:eastAsiaTheme="minorEastAsia"/>
          <w:i/>
          <w:sz w:val="16"/>
          <w:szCs w:val="15"/>
        </w:rPr>
      </w:pPr>
      <w:r w:rsidRPr="007B7DFC">
        <w:rPr>
          <w:rFonts w:eastAsiaTheme="minorEastAsia"/>
          <w:i/>
          <w:sz w:val="16"/>
          <w:szCs w:val="15"/>
        </w:rPr>
        <w:t>Source: IMF – World Economic Outlook (</w:t>
      </w:r>
      <w:r w:rsidR="00844294">
        <w:rPr>
          <w:rFonts w:eastAsiaTheme="minorEastAsia"/>
          <w:i/>
          <w:sz w:val="16"/>
          <w:szCs w:val="15"/>
        </w:rPr>
        <w:t>April</w:t>
      </w:r>
      <w:r w:rsidRPr="007B7DFC">
        <w:rPr>
          <w:rFonts w:eastAsiaTheme="minorEastAsia"/>
          <w:i/>
          <w:sz w:val="16"/>
          <w:szCs w:val="15"/>
        </w:rPr>
        <w:t xml:space="preserve"> 202</w:t>
      </w:r>
      <w:r w:rsidR="00844294">
        <w:rPr>
          <w:rFonts w:eastAsiaTheme="minorEastAsia"/>
          <w:i/>
          <w:sz w:val="16"/>
          <w:szCs w:val="15"/>
        </w:rPr>
        <w:t>5</w:t>
      </w:r>
      <w:r w:rsidRPr="007B7DFC">
        <w:rPr>
          <w:rFonts w:eastAsiaTheme="minorEastAsia"/>
          <w:i/>
          <w:sz w:val="16"/>
          <w:szCs w:val="15"/>
        </w:rPr>
        <w:t xml:space="preserve">) </w:t>
      </w:r>
    </w:p>
    <w:p w14:paraId="34C6A54C" w14:textId="6C182358" w:rsidR="00762FB1" w:rsidRPr="004132CA" w:rsidRDefault="00C7511A" w:rsidP="00762FB1">
      <w:pPr>
        <w:tabs>
          <w:tab w:val="center" w:pos="4680"/>
          <w:tab w:val="right" w:pos="9720"/>
        </w:tabs>
        <w:ind w:right="432"/>
        <w:rPr>
          <w:szCs w:val="20"/>
        </w:rPr>
      </w:pPr>
      <w:r w:rsidRPr="004132CA">
        <w:rPr>
          <w:szCs w:val="20"/>
        </w:rPr>
        <w:t xml:space="preserve">The IMF believes India will remain the fastest-growing major economy over the next five years, with a growth rate of </w:t>
      </w:r>
      <w:r w:rsidR="00C10461">
        <w:t xml:space="preserve">approximately </w:t>
      </w:r>
      <w:r w:rsidRPr="004132CA">
        <w:rPr>
          <w:szCs w:val="20"/>
        </w:rPr>
        <w:t>6.</w:t>
      </w:r>
      <w:r w:rsidR="00984B41" w:rsidRPr="004132CA">
        <w:rPr>
          <w:szCs w:val="20"/>
        </w:rPr>
        <w:t>4</w:t>
      </w:r>
      <w:r w:rsidRPr="004132CA">
        <w:rPr>
          <w:szCs w:val="20"/>
        </w:rPr>
        <w:t>% (CAGR) from CY202</w:t>
      </w:r>
      <w:r w:rsidR="00984B41" w:rsidRPr="004132CA">
        <w:rPr>
          <w:szCs w:val="20"/>
        </w:rPr>
        <w:t>5</w:t>
      </w:r>
      <w:r w:rsidRPr="004132CA">
        <w:rPr>
          <w:szCs w:val="20"/>
        </w:rPr>
        <w:t xml:space="preserve"> to CY20</w:t>
      </w:r>
      <w:r w:rsidR="00984B41" w:rsidRPr="004132CA">
        <w:rPr>
          <w:szCs w:val="20"/>
        </w:rPr>
        <w:t>30</w:t>
      </w:r>
      <w:r w:rsidRPr="004132CA">
        <w:rPr>
          <w:szCs w:val="20"/>
        </w:rPr>
        <w:t xml:space="preserve"> and subsequent years. </w:t>
      </w:r>
      <w:bookmarkStart w:id="40" w:name="_Toc192066814"/>
      <w:bookmarkStart w:id="41" w:name="_Toc192066815"/>
      <w:bookmarkStart w:id="42" w:name="_Toc192066816"/>
      <w:bookmarkStart w:id="43" w:name="_Toc192066817"/>
      <w:bookmarkStart w:id="44" w:name="_Toc192066818"/>
      <w:bookmarkStart w:id="45" w:name="_Toc192066883"/>
      <w:bookmarkStart w:id="46" w:name="_Toc192066884"/>
      <w:bookmarkStart w:id="47" w:name="_Toc192073604"/>
      <w:bookmarkStart w:id="48" w:name="_Toc192153625"/>
      <w:bookmarkStart w:id="49" w:name="_Toc192195227"/>
      <w:bookmarkStart w:id="50" w:name="_Toc189499559"/>
      <w:bookmarkEnd w:id="40"/>
      <w:bookmarkEnd w:id="41"/>
      <w:bookmarkEnd w:id="42"/>
      <w:bookmarkEnd w:id="43"/>
      <w:bookmarkEnd w:id="44"/>
      <w:bookmarkEnd w:id="45"/>
      <w:bookmarkEnd w:id="46"/>
    </w:p>
    <w:p w14:paraId="101B884F" w14:textId="43C0278E" w:rsidR="00762FB1" w:rsidRDefault="00762FB1" w:rsidP="00762FB1">
      <w:pPr>
        <w:pStyle w:val="Heading2"/>
      </w:pPr>
      <w:bookmarkStart w:id="51" w:name="_Toc198730338"/>
      <w:r>
        <w:t>Major Structural Reforms by the Indian Government to Assist Economic and Real Estate Growth</w:t>
      </w:r>
      <w:bookmarkEnd w:id="51"/>
    </w:p>
    <w:p w14:paraId="7373B543" w14:textId="7956D238" w:rsidR="00762FB1" w:rsidRDefault="00562C92" w:rsidP="00762FB1">
      <w:r w:rsidRPr="00562C92">
        <w:t xml:space="preserve">The Indian government has been actively working towards transforming the country's economy and real estate sector through a series of structural reforms. These reforms aim to improve the business environment, increase transparency, and attract foreign investment, ultimately driving </w:t>
      </w:r>
      <w:r w:rsidR="00170E87">
        <w:t xml:space="preserve">the </w:t>
      </w:r>
      <w:r w:rsidRPr="00562C92">
        <w:t>economic growth and development.</w:t>
      </w:r>
      <w:r w:rsidR="00553CFA">
        <w:t xml:space="preserve"> </w:t>
      </w:r>
    </w:p>
    <w:p w14:paraId="4B333C9A" w14:textId="7FB70802" w:rsidR="00107CCF" w:rsidRDefault="00107CCF" w:rsidP="00107CCF">
      <w:pPr>
        <w:pStyle w:val="Heading30"/>
      </w:pPr>
      <w:r w:rsidRPr="00107CCF">
        <w:t>Real Estate (Regulation and Development) Act, 2016 (RERA)</w:t>
      </w:r>
    </w:p>
    <w:p w14:paraId="16A158FD" w14:textId="6031B097" w:rsidR="00BA7378" w:rsidRDefault="00636E08" w:rsidP="00107CCF">
      <w:r w:rsidRPr="00636E08">
        <w:t>The Real Estate (Regulation and Development) Act, 2016 (RERA)</w:t>
      </w:r>
      <w:r w:rsidR="00853783">
        <w:rPr>
          <w:rStyle w:val="FootnoteReference"/>
        </w:rPr>
        <w:footnoteReference w:id="3"/>
      </w:r>
      <w:r w:rsidRPr="00636E08">
        <w:t xml:space="preserve"> is a significant reform that has brought transparency and accountability to the real estate sector</w:t>
      </w:r>
      <w:r w:rsidR="00A56308" w:rsidRPr="00A56308">
        <w:t>. The Act came into force on 1 May 2016 with 61 of 92 sections notified. The remaining provisions came into force on 1 May 2017.</w:t>
      </w:r>
      <w:r w:rsidR="00C04AEC">
        <w:t xml:space="preserve"> </w:t>
      </w:r>
      <w:r w:rsidR="00BA7378" w:rsidRPr="00BA7378">
        <w:t xml:space="preserve">It seeks to protect home-buyers as well as help </w:t>
      </w:r>
      <w:r w:rsidR="00170E87">
        <w:t xml:space="preserve">in </w:t>
      </w:r>
      <w:r w:rsidR="00BA7378" w:rsidRPr="00BA7378">
        <w:t>boost</w:t>
      </w:r>
      <w:r w:rsidR="00A1496F">
        <w:t>ing</w:t>
      </w:r>
      <w:r w:rsidR="00BA7378" w:rsidRPr="00BA7378">
        <w:t xml:space="preserve"> investments in the real estate sector by bringing efficiency and transparency in the sale/purchase of real estate.</w:t>
      </w:r>
      <w:r w:rsidR="00BA7378">
        <w:t xml:space="preserve"> </w:t>
      </w:r>
      <w:r w:rsidR="00BA7378" w:rsidRPr="00BA7378">
        <w:t>The Act establishes Real Estate Regulatory Authority (RERA) in each state for regulation of the real estate sector and also acts as an adjudicating body for speedy dispute resolution.</w:t>
      </w:r>
      <w:r w:rsidR="00A11F62">
        <w:t xml:space="preserve"> </w:t>
      </w:r>
    </w:p>
    <w:p w14:paraId="7023A16B" w14:textId="7FCD87BF" w:rsidR="0070316C" w:rsidRDefault="0070316C" w:rsidP="00462B9B">
      <w:pPr>
        <w:pStyle w:val="Heading30"/>
      </w:pPr>
      <w:r w:rsidRPr="0070316C">
        <w:t>Insolvency and Bankruptcy Code, 2016</w:t>
      </w:r>
    </w:p>
    <w:p w14:paraId="1BF5654A" w14:textId="6D507316" w:rsidR="003B6BBE" w:rsidRPr="003B6BBE" w:rsidRDefault="003B6BBE" w:rsidP="003B6BBE">
      <w:r w:rsidRPr="003B6BBE">
        <w:t>The Insolvency and Bankruptcy Code</w:t>
      </w:r>
      <w:r w:rsidR="0060689D">
        <w:t xml:space="preserve"> (IBC)</w:t>
      </w:r>
      <w:r w:rsidRPr="003B6BBE">
        <w:t>, 2016 is an Indian law which creates a consolidated framework that governs insolvency and bankruptcy proceedings for companies, partnership firms, and individuals.</w:t>
      </w:r>
      <w:r w:rsidR="00977DB5">
        <w:t xml:space="preserve"> For the real estate sector, where delays, fund diversion, and incomplete projects were common, </w:t>
      </w:r>
      <w:r w:rsidR="00977DB5" w:rsidRPr="003B6BBE">
        <w:t xml:space="preserve">Insolvency and Bankruptcy </w:t>
      </w:r>
      <w:r w:rsidR="00420940" w:rsidRPr="003B6BBE">
        <w:t>Code</w:t>
      </w:r>
      <w:r w:rsidR="00420940">
        <w:t xml:space="preserve"> created a structural framework for resolution, protecting the interest of homebuyers, lenders and developers alike.</w:t>
      </w:r>
      <w:r w:rsidR="0060689D">
        <w:t xml:space="preserve"> </w:t>
      </w:r>
      <w:r w:rsidR="0060689D" w:rsidRPr="0060689D">
        <w:t xml:space="preserve">Homebuyers are considered financial creditors under the IBC, enabling them to initiate Corporate Insolvency Resolution Process (CIRP) against a defaulting developer. </w:t>
      </w:r>
    </w:p>
    <w:p w14:paraId="76368565" w14:textId="6286902A" w:rsidR="0070316C" w:rsidRDefault="0070316C" w:rsidP="00462B9B">
      <w:pPr>
        <w:pStyle w:val="Heading30"/>
      </w:pPr>
      <w:r w:rsidRPr="0070316C">
        <w:t>Special Economic Zones (Fifth Amendment) Rules, 2023</w:t>
      </w:r>
    </w:p>
    <w:p w14:paraId="33CEBBB8" w14:textId="425BF1DA" w:rsidR="00950017" w:rsidRPr="00950017" w:rsidRDefault="00950017" w:rsidP="00950017">
      <w:r>
        <w:t>T</w:t>
      </w:r>
      <w:r w:rsidRPr="00950017">
        <w:t>he Special Economic Zones Act, 2005, is a law that provides a framework for establishing, developing, and managing Special Economic Zones (SEZs) in India to promote exports and related activities.</w:t>
      </w:r>
      <w:r w:rsidR="00403904">
        <w:t xml:space="preserve"> The </w:t>
      </w:r>
      <w:r w:rsidR="00403904" w:rsidRPr="00403904">
        <w:t xml:space="preserve">Special Economic Zone (SEZ) </w:t>
      </w:r>
      <w:r w:rsidR="00403904">
        <w:t>R</w:t>
      </w:r>
      <w:r w:rsidR="00403904" w:rsidRPr="00403904">
        <w:t>ules</w:t>
      </w:r>
      <w:r w:rsidR="00335E23">
        <w:t>, 2006,</w:t>
      </w:r>
      <w:r w:rsidR="00403904" w:rsidRPr="00403904">
        <w:t xml:space="preserve"> define the framework for establishing and operating SEZs</w:t>
      </w:r>
      <w:r w:rsidR="00335E23">
        <w:t xml:space="preserve"> </w:t>
      </w:r>
      <w:r w:rsidR="00335E23" w:rsidRPr="00403904">
        <w:t>in India</w:t>
      </w:r>
      <w:r w:rsidR="00403904" w:rsidRPr="00403904">
        <w:t>, which are designated areas offering incentives and streamlined regulations to attract foreign investment and boost economic growth. The SEZ Act, 2005 and the SEZ Rules, 2006 form the legal basis, specifying procedures for approval, administrative setup, and operational guidelines. These rules aim to simplify processes for developers and units, ensuring a conducive environment for businesses to thrive.</w:t>
      </w:r>
      <w:r w:rsidR="00FD2C2E">
        <w:t xml:space="preserve"> </w:t>
      </w:r>
    </w:p>
    <w:p w14:paraId="0FBF6BF8" w14:textId="0ADDB35C" w:rsidR="0070316C" w:rsidRDefault="0070316C" w:rsidP="00462B9B">
      <w:pPr>
        <w:pStyle w:val="Heading30"/>
      </w:pPr>
      <w:r w:rsidRPr="0070316C">
        <w:t>Goods and Services Tax</w:t>
      </w:r>
    </w:p>
    <w:p w14:paraId="54D6B97A" w14:textId="77777777" w:rsidR="00615F26" w:rsidRDefault="00D55F29" w:rsidP="0070316C">
      <w:r w:rsidRPr="00D55F29">
        <w:t>The Indian real estate sector, contributing about 7</w:t>
      </w:r>
      <w:r w:rsidR="00A50A89">
        <w:t>.3</w:t>
      </w:r>
      <w:r w:rsidRPr="00D55F29">
        <w:t>%</w:t>
      </w:r>
      <w:r w:rsidR="00A50A89">
        <w:rPr>
          <w:rStyle w:val="FootnoteReference"/>
        </w:rPr>
        <w:footnoteReference w:id="4"/>
      </w:r>
      <w:r w:rsidRPr="00D55F29">
        <w:t xml:space="preserve"> to GDP, has traditionally been riddled with complex taxation including VAT, service tax, excise duty, stamp duty, and registration charges. The implementation of Goods and Services Tax (GST) on 1st July 2017 replaced many indirect taxes and brought about structural changes. The GST reform aimed to improve transparency, reduce tax cascading, and improve compliance in real estate, which had often been informal and fragmented.</w:t>
      </w:r>
    </w:p>
    <w:p w14:paraId="76AA2FB2" w14:textId="270541F0" w:rsidR="0079241E" w:rsidRDefault="00B70E82" w:rsidP="00462B9B">
      <w:pPr>
        <w:pStyle w:val="Heading30"/>
      </w:pPr>
      <w:r w:rsidRPr="00B70E82">
        <w:t>Pradhan Mantri Awas Yojana (PMAY)</w:t>
      </w:r>
    </w:p>
    <w:p w14:paraId="1647C5B2" w14:textId="5C141520" w:rsidR="00462B9B" w:rsidRDefault="007B048E" w:rsidP="007B048E">
      <w:r>
        <w:t>Pradhan Mantri Awas Yojana (Urban) Mission</w:t>
      </w:r>
      <w:r w:rsidR="00266046">
        <w:rPr>
          <w:rStyle w:val="FootnoteReference"/>
        </w:rPr>
        <w:footnoteReference w:id="5"/>
      </w:r>
      <w:r>
        <w:t xml:space="preserve"> launched on 25th June 2015 which intends to provide housing for all in urban areas by year 2022. The Mission provides Central Assistance to the implementing agencies through States/Union Territories (UTs) and Central Nodal Agencies (CNAs) for providing houses to all eligible families/ beneficiaries against the validated demand for houses for about 1.12 cr</w:t>
      </w:r>
      <w:r w:rsidR="00EE2087">
        <w:t>ore</w:t>
      </w:r>
      <w:r>
        <w:t xml:space="preserve">. </w:t>
      </w:r>
    </w:p>
    <w:p w14:paraId="48D2D64D" w14:textId="0A55A353" w:rsidR="00760F8C" w:rsidRDefault="00760F8C" w:rsidP="00760F8C">
      <w:pPr>
        <w:pStyle w:val="Heading30"/>
      </w:pPr>
      <w:r w:rsidRPr="00760F8C">
        <w:t>National Infrastructure Pipeline (NIP)</w:t>
      </w:r>
    </w:p>
    <w:p w14:paraId="217DCAA9" w14:textId="103C656E" w:rsidR="00BA39BF" w:rsidRDefault="00BA39BF" w:rsidP="00BA39BF">
      <w:r>
        <w:t>The National Infrastructure Pipeline</w:t>
      </w:r>
      <w:r w:rsidR="001C5F9D">
        <w:rPr>
          <w:rStyle w:val="FootnoteReference"/>
        </w:rPr>
        <w:footnoteReference w:id="6"/>
      </w:r>
      <w:r>
        <w:t xml:space="preserve"> (NIP) for FY 2019-25 is a first-of-its-kind, whole-of-government exercise to provide world-class infrastructure to citizens and improving their quality of life. It aims to improve project preparation and attract investments into infrastructure. To draw up the NIP, a High-Level Task Force was constituted under the chairmanship of the Secretary, Department of Economic Affairs (DEA), Ministry of Finance. The NIP has been made on a best effort basis by aggregating the information provided by various stakeholders including line ministries, departments, state governments and private sector across infrastructure sub-sectors, as identified in the </w:t>
      </w:r>
      <w:r w:rsidR="00F831B1">
        <w:t>Harmonized</w:t>
      </w:r>
      <w:r>
        <w:t xml:space="preserve"> Master List of Infrastructure. All projects (Greenfield or Brownfield, under conceptualization or under implementation or under Development) of project cost greater than Rs. 100</w:t>
      </w:r>
      <w:r w:rsidR="00EE2087">
        <w:t>0</w:t>
      </w:r>
      <w:r>
        <w:t xml:space="preserve"> </w:t>
      </w:r>
      <w:r w:rsidR="00EE2087">
        <w:t xml:space="preserve">million </w:t>
      </w:r>
      <w:r>
        <w:t xml:space="preserve">per project were sought to be captured. </w:t>
      </w:r>
    </w:p>
    <w:p w14:paraId="734792C2" w14:textId="12330B52" w:rsidR="004212AB" w:rsidRDefault="004212AB" w:rsidP="004212AB">
      <w:pPr>
        <w:pStyle w:val="Heading30"/>
      </w:pPr>
      <w:r w:rsidRPr="00760F8C">
        <w:t xml:space="preserve">National </w:t>
      </w:r>
      <w:r>
        <w:t>Logistics Policy</w:t>
      </w:r>
      <w:r w:rsidRPr="00760F8C">
        <w:t xml:space="preserve"> (N</w:t>
      </w:r>
      <w:r>
        <w:t>L</w:t>
      </w:r>
      <w:r w:rsidRPr="00760F8C">
        <w:t>P)</w:t>
      </w:r>
    </w:p>
    <w:p w14:paraId="28BB3BAD" w14:textId="0DC66C7B" w:rsidR="004212AB" w:rsidRPr="00BA39BF" w:rsidRDefault="00502444" w:rsidP="00BA39BF">
      <w:r w:rsidRPr="00502444">
        <w:t>The National Logistics Policy (NLP) was launched by the Prime Minister of India on September 17, 2022, to drive economic growth and business competitiveness through an integrated, seamless, efficient, reliable, green, sustainable, and cost-effective logistics network. The policy aims to reduce logistics costs, improve the Logistics Performance Index (LPI) ranking, and create a data-driven decision-support mechanism for an efficient logistics ecosystem.</w:t>
      </w:r>
      <w:r w:rsidR="00554298">
        <w:t xml:space="preserve"> </w:t>
      </w:r>
      <w:r w:rsidR="00554298" w:rsidRPr="00554298">
        <w:t>The policy has set targets to reduce logistics costs, improve the Logistics Performance Index ranking, and create a data-driven decision support mechanism for an efficient logistics ecosystem.</w:t>
      </w:r>
      <w:r w:rsidR="009D0D34">
        <w:t xml:space="preserve"> </w:t>
      </w:r>
    </w:p>
    <w:p w14:paraId="2C197E24" w14:textId="77777777" w:rsidR="00BD4622" w:rsidRPr="00850186" w:rsidRDefault="00BD4622" w:rsidP="00BD4622">
      <w:pPr>
        <w:pStyle w:val="Heading2"/>
        <w:ind w:right="450"/>
      </w:pPr>
      <w:bookmarkStart w:id="52" w:name="_Toc192195237"/>
      <w:bookmarkStart w:id="53" w:name="_Toc198730339"/>
      <w:r>
        <w:t>Economic survey and Union Budget analysis</w:t>
      </w:r>
      <w:bookmarkEnd w:id="52"/>
      <w:bookmarkEnd w:id="53"/>
    </w:p>
    <w:p w14:paraId="3E7F1370" w14:textId="40A3306C" w:rsidR="00BD4622" w:rsidRPr="00BD4622" w:rsidRDefault="00BD4622" w:rsidP="00662938">
      <w:pPr>
        <w:spacing w:before="160" w:after="120"/>
        <w:rPr>
          <w:szCs w:val="20"/>
        </w:rPr>
      </w:pPr>
      <w:r w:rsidRPr="007F6A94">
        <w:rPr>
          <w:color w:val="auto"/>
          <w:szCs w:val="20"/>
        </w:rPr>
        <w:t xml:space="preserve"> </w:t>
      </w:r>
      <w:bookmarkStart w:id="54" w:name="_Toc192066905"/>
      <w:bookmarkStart w:id="55" w:name="_Toc192066906"/>
      <w:bookmarkStart w:id="56" w:name="_Toc192066907"/>
      <w:bookmarkStart w:id="57" w:name="_Toc192066908"/>
      <w:bookmarkStart w:id="58" w:name="_Toc192066909"/>
      <w:bookmarkStart w:id="59" w:name="_Toc192066910"/>
      <w:bookmarkStart w:id="60" w:name="_Toc192066911"/>
      <w:bookmarkStart w:id="61" w:name="_Toc192066912"/>
      <w:bookmarkStart w:id="62" w:name="_Toc192066913"/>
      <w:bookmarkStart w:id="63" w:name="_Toc192066914"/>
      <w:bookmarkStart w:id="64" w:name="_Toc192066915"/>
      <w:bookmarkStart w:id="65" w:name="_Toc192066916"/>
      <w:bookmarkStart w:id="66" w:name="_Toc192066917"/>
      <w:bookmarkStart w:id="67" w:name="_Toc192066918"/>
      <w:bookmarkStart w:id="68" w:name="_Toc192066919"/>
      <w:bookmarkStart w:id="69" w:name="_Toc192066920"/>
      <w:bookmarkStart w:id="70" w:name="_Toc192066921"/>
      <w:bookmarkStart w:id="71" w:name="_Toc19206697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7F6A94">
        <w:rPr>
          <w:color w:val="auto"/>
          <w:szCs w:val="18"/>
        </w:rPr>
        <w:t xml:space="preserve">The </w:t>
      </w:r>
      <w:r w:rsidRPr="007F6A94">
        <w:rPr>
          <w:i/>
          <w:iCs/>
          <w:color w:val="auto"/>
          <w:szCs w:val="18"/>
        </w:rPr>
        <w:t>Economic Survey 2024</w:t>
      </w:r>
      <w:r w:rsidRPr="007F6A94">
        <w:rPr>
          <w:color w:val="auto"/>
          <w:szCs w:val="18"/>
        </w:rPr>
        <w:t xml:space="preserve"> suggested </w:t>
      </w:r>
      <w:r w:rsidR="0089362B">
        <w:rPr>
          <w:color w:val="auto"/>
          <w:szCs w:val="18"/>
        </w:rPr>
        <w:t>ado</w:t>
      </w:r>
      <w:r w:rsidR="00FB1985">
        <w:rPr>
          <w:color w:val="auto"/>
          <w:szCs w:val="18"/>
        </w:rPr>
        <w:t>pti</w:t>
      </w:r>
      <w:r w:rsidR="003E7CBE">
        <w:rPr>
          <w:color w:val="auto"/>
          <w:szCs w:val="18"/>
        </w:rPr>
        <w:t>on</w:t>
      </w:r>
      <w:r w:rsidR="00FB1985">
        <w:rPr>
          <w:color w:val="auto"/>
          <w:szCs w:val="18"/>
        </w:rPr>
        <w:t xml:space="preserve"> of </w:t>
      </w:r>
      <w:r w:rsidRPr="004521AB">
        <w:rPr>
          <w:color w:val="auto"/>
          <w:szCs w:val="18"/>
        </w:rPr>
        <w:t xml:space="preserve">gasification technology in India </w:t>
      </w:r>
      <w:r w:rsidR="003E7CBE">
        <w:rPr>
          <w:color w:val="auto"/>
          <w:szCs w:val="18"/>
        </w:rPr>
        <w:t xml:space="preserve">which </w:t>
      </w:r>
      <w:r w:rsidRPr="004521AB">
        <w:rPr>
          <w:color w:val="auto"/>
          <w:szCs w:val="18"/>
        </w:rPr>
        <w:t>can revolutionize the coal sector. This will reduce the dependence on imports for various resources made with the help of coal, such as natural gas, methanol, ammonia and other products</w:t>
      </w:r>
      <w:r w:rsidR="003E7CBE">
        <w:rPr>
          <w:color w:val="auto"/>
          <w:szCs w:val="18"/>
        </w:rPr>
        <w:t xml:space="preserve">. This </w:t>
      </w:r>
      <w:r w:rsidRPr="004521AB">
        <w:rPr>
          <w:color w:val="auto"/>
          <w:szCs w:val="18"/>
        </w:rPr>
        <w:t xml:space="preserve">will help India in meeting its net zero carbon emissions goal. Additionally, the government has launched several coal initiatives, such as </w:t>
      </w:r>
      <w:r w:rsidRPr="004521AB">
        <w:rPr>
          <w:i/>
          <w:iCs/>
          <w:color w:val="auto"/>
          <w:szCs w:val="18"/>
        </w:rPr>
        <w:t>Coal Gasification Mission</w:t>
      </w:r>
      <w:r w:rsidRPr="004521AB">
        <w:rPr>
          <w:color w:val="auto"/>
          <w:szCs w:val="18"/>
        </w:rPr>
        <w:t xml:space="preserve">, to gasify 100 MMT of coal by 2030 through surface coal or </w:t>
      </w:r>
      <w:r w:rsidR="003E7CBE" w:rsidRPr="004521AB">
        <w:rPr>
          <w:color w:val="auto"/>
          <w:szCs w:val="18"/>
        </w:rPr>
        <w:t>Lignite Gasification</w:t>
      </w:r>
      <w:r w:rsidRPr="004521AB">
        <w:rPr>
          <w:color w:val="auto"/>
          <w:szCs w:val="18"/>
        </w:rPr>
        <w:t xml:space="preserve"> projects.</w:t>
      </w:r>
      <w:r w:rsidR="003E7CBE">
        <w:rPr>
          <w:color w:val="auto"/>
          <w:szCs w:val="18"/>
        </w:rPr>
        <w:t xml:space="preserve"> </w:t>
      </w:r>
      <w:r w:rsidRPr="004521AB">
        <w:rPr>
          <w:szCs w:val="20"/>
        </w:rPr>
        <w:t>The Union Budget 2025-26 has identified mining as one of the six key domain areas</w:t>
      </w:r>
      <w:r w:rsidR="003E7CBE">
        <w:rPr>
          <w:szCs w:val="20"/>
        </w:rPr>
        <w:t xml:space="preserve"> thereby </w:t>
      </w:r>
      <w:r w:rsidRPr="004521AB">
        <w:rPr>
          <w:szCs w:val="20"/>
        </w:rPr>
        <w:t>recogn</w:t>
      </w:r>
      <w:r w:rsidR="003E7CBE">
        <w:rPr>
          <w:szCs w:val="20"/>
        </w:rPr>
        <w:t>izing</w:t>
      </w:r>
      <w:r w:rsidRPr="004521AB">
        <w:rPr>
          <w:szCs w:val="20"/>
        </w:rPr>
        <w:t xml:space="preserve"> the mining sector's importance </w:t>
      </w:r>
      <w:r w:rsidR="003E7CBE">
        <w:rPr>
          <w:szCs w:val="20"/>
        </w:rPr>
        <w:t xml:space="preserve">which </w:t>
      </w:r>
      <w:r w:rsidRPr="004521AB">
        <w:rPr>
          <w:szCs w:val="20"/>
        </w:rPr>
        <w:t>is a significant development</w:t>
      </w:r>
      <w:r>
        <w:rPr>
          <w:szCs w:val="20"/>
        </w:rPr>
        <w:t xml:space="preserve"> </w:t>
      </w:r>
      <w:r w:rsidRPr="004521AB">
        <w:rPr>
          <w:szCs w:val="20"/>
        </w:rPr>
        <w:t xml:space="preserve">as it acknowledges the sector's potential to contribute to India's economic growth and development. The Indian government's budget for the next fiscal year aims to support economic growth through a combination of steady capital expenditure and consumption boost, while tightening the fiscal belt. Fiscal deficit is budgeted to reduce to 4.4% of GDP, down from 4.8% in the current fiscal, with a focus on reducing revenue expenditure. Capital expenditure remains at 3.1% of GDP, while the effective capital expenditure, including budgetary and internal and extra-budgetary resources, increases to 5.5% of GDP to lift the domestic economy and crowd-in private capex. At Rs 11.2 lakh crore the allocation for capital expenditure in fiscal 2026 marks a 10% increase </w:t>
      </w:r>
      <w:r w:rsidR="007D7DCA" w:rsidRPr="004521AB">
        <w:rPr>
          <w:szCs w:val="20"/>
        </w:rPr>
        <w:t>on year</w:t>
      </w:r>
      <w:r w:rsidRPr="004521AB">
        <w:rPr>
          <w:szCs w:val="20"/>
        </w:rPr>
        <w:t xml:space="preserve">. This is expected to support the growth of infrastructure sectors such as roads, railways, and urban development. </w:t>
      </w:r>
    </w:p>
    <w:p w14:paraId="0E9CC12B" w14:textId="5A77BC49" w:rsidR="00C7511A" w:rsidRPr="00CD0657" w:rsidRDefault="00C7511A" w:rsidP="00C7511A">
      <w:pPr>
        <w:pStyle w:val="Heading2"/>
      </w:pPr>
      <w:bookmarkStart w:id="72" w:name="_Toc198730340"/>
      <w:r w:rsidRPr="00CD0657">
        <w:t xml:space="preserve">India GDP </w:t>
      </w:r>
      <w:r w:rsidR="00D556C1">
        <w:t>trend</w:t>
      </w:r>
      <w:r w:rsidRPr="00CD0657">
        <w:t>s</w:t>
      </w:r>
      <w:bookmarkEnd w:id="47"/>
      <w:bookmarkEnd w:id="48"/>
      <w:bookmarkEnd w:id="49"/>
      <w:bookmarkEnd w:id="72"/>
      <w:r w:rsidRPr="00CD0657">
        <w:t xml:space="preserve"> </w:t>
      </w:r>
      <w:bookmarkEnd w:id="50"/>
    </w:p>
    <w:p w14:paraId="7ADCED35" w14:textId="28800719" w:rsidR="00C7511A" w:rsidRDefault="00C7511A" w:rsidP="00C7511A">
      <w:pPr>
        <w:ind w:right="115"/>
        <w:rPr>
          <w:szCs w:val="20"/>
        </w:rPr>
      </w:pPr>
      <w:r w:rsidRPr="003B66F1">
        <w:rPr>
          <w:szCs w:val="20"/>
        </w:rPr>
        <w:t>The fastest growing among major economies, India became the fifth largest economy in the world in 202</w:t>
      </w:r>
      <w:r w:rsidR="003B2FBB">
        <w:rPr>
          <w:szCs w:val="20"/>
        </w:rPr>
        <w:t>2</w:t>
      </w:r>
      <w:r w:rsidRPr="003B66F1">
        <w:rPr>
          <w:szCs w:val="20"/>
          <w:vertAlign w:val="superscript"/>
        </w:rPr>
        <w:footnoteReference w:id="7"/>
      </w:r>
      <w:r w:rsidRPr="003B66F1">
        <w:rPr>
          <w:szCs w:val="20"/>
        </w:rPr>
        <w:t xml:space="preserve">.  As per data published by the National Statistical Office (NSO), the Indian economy logged 4.4% CAGR </w:t>
      </w:r>
      <w:r>
        <w:rPr>
          <w:szCs w:val="20"/>
        </w:rPr>
        <w:t xml:space="preserve">(Real) </w:t>
      </w:r>
      <w:r w:rsidRPr="003B66F1">
        <w:rPr>
          <w:szCs w:val="20"/>
        </w:rPr>
        <w:t>between fiscal 2019 and 2024</w:t>
      </w:r>
      <w:r w:rsidRPr="003B66F1">
        <w:rPr>
          <w:szCs w:val="20"/>
          <w:vertAlign w:val="superscript"/>
        </w:rPr>
        <w:footnoteReference w:id="8"/>
      </w:r>
      <w:r w:rsidRPr="003B66F1">
        <w:rPr>
          <w:szCs w:val="20"/>
        </w:rPr>
        <w:t>. Economic growth was supported by crude oil prices, soft interest rates and low current account deficit. GDP declined</w:t>
      </w:r>
      <w:r w:rsidR="00535C9A">
        <w:rPr>
          <w:szCs w:val="20"/>
        </w:rPr>
        <w:t xml:space="preserve"> to -</w:t>
      </w:r>
      <w:r w:rsidRPr="003B66F1">
        <w:rPr>
          <w:szCs w:val="20"/>
        </w:rPr>
        <w:t>5.8% year-on-year in fiscal 2021 on account of the pandemic- induced lockdowns. However,</w:t>
      </w:r>
      <w:r>
        <w:rPr>
          <w:szCs w:val="20"/>
        </w:rPr>
        <w:t xml:space="preserve"> </w:t>
      </w:r>
      <w:r w:rsidRPr="003B66F1">
        <w:rPr>
          <w:szCs w:val="20"/>
        </w:rPr>
        <w:t>post-pandemic</w:t>
      </w:r>
      <w:r>
        <w:rPr>
          <w:szCs w:val="20"/>
        </w:rPr>
        <w:t>,</w:t>
      </w:r>
      <w:r w:rsidRPr="003B66F1">
        <w:rPr>
          <w:szCs w:val="20"/>
        </w:rPr>
        <w:t xml:space="preserve"> period turned out to be positive for India</w:t>
      </w:r>
      <w:r>
        <w:rPr>
          <w:szCs w:val="20"/>
        </w:rPr>
        <w:t>,</w:t>
      </w:r>
      <w:r w:rsidRPr="003B66F1">
        <w:rPr>
          <w:szCs w:val="20"/>
        </w:rPr>
        <w:t xml:space="preserve"> since GDP of India grew 9.7% and 7.</w:t>
      </w:r>
      <w:r w:rsidR="00E15217">
        <w:rPr>
          <w:szCs w:val="20"/>
        </w:rPr>
        <w:t>6</w:t>
      </w:r>
      <w:r w:rsidRPr="003B66F1">
        <w:rPr>
          <w:szCs w:val="20"/>
        </w:rPr>
        <w:t>% year-on-year in fiscal 2022 and fiscal 2023, respectively. The growth was on the back of strong pent-up demand across</w:t>
      </w:r>
      <w:r>
        <w:rPr>
          <w:szCs w:val="20"/>
        </w:rPr>
        <w:t xml:space="preserve"> the</w:t>
      </w:r>
      <w:r w:rsidRPr="003B66F1">
        <w:rPr>
          <w:szCs w:val="20"/>
        </w:rPr>
        <w:t xml:space="preserve"> sectors,</w:t>
      </w:r>
      <w:r>
        <w:rPr>
          <w:szCs w:val="20"/>
        </w:rPr>
        <w:t xml:space="preserve"> driven</w:t>
      </w:r>
      <w:r w:rsidRPr="003B66F1">
        <w:rPr>
          <w:szCs w:val="20"/>
        </w:rPr>
        <w:t xml:space="preserve"> primarily by manufacturing and construction sectors.</w:t>
      </w:r>
    </w:p>
    <w:p w14:paraId="731A1A62" w14:textId="690704D1" w:rsidR="00C7511A" w:rsidRPr="00081C1F" w:rsidRDefault="008C6FC8" w:rsidP="00081C1F">
      <w:pPr>
        <w:spacing w:before="160" w:after="120" w:line="280" w:lineRule="exact"/>
        <w:ind w:right="432"/>
        <w:rPr>
          <w:rFonts w:eastAsia="Calibri"/>
          <w:b/>
          <w:bCs/>
          <w:color w:val="434242"/>
          <w:kern w:val="0"/>
          <w:szCs w:val="20"/>
          <w:lang w:val="en-GB"/>
          <w14:ligatures w14:val="none"/>
        </w:rPr>
      </w:pPr>
      <w:bookmarkStart w:id="73" w:name="_Toc189499637"/>
      <w:bookmarkStart w:id="74" w:name="_Toc192073650"/>
      <w:bookmarkStart w:id="75" w:name="_Toc192153669"/>
      <w:bookmarkStart w:id="76" w:name="_Toc192195335"/>
      <w:bookmarkStart w:id="77" w:name="_Toc198731486"/>
      <w:r>
        <w:rPr>
          <w:rFonts w:eastAsia="Calibri"/>
          <w:b/>
          <w:bCs/>
          <w:noProof/>
          <w:color w:val="434242"/>
          <w:kern w:val="0"/>
          <w:szCs w:val="20"/>
          <w:lang w:val="en-GB"/>
          <w14:ligatures w14:val="none"/>
        </w:rPr>
        <w:drawing>
          <wp:anchor distT="0" distB="0" distL="114300" distR="114300" simplePos="0" relativeHeight="251658243" behindDoc="0" locked="0" layoutInCell="1" allowOverlap="1" wp14:anchorId="24BA3AED" wp14:editId="531BF53D">
            <wp:simplePos x="0" y="0"/>
            <wp:positionH relativeFrom="margin">
              <wp:posOffset>-224790</wp:posOffset>
            </wp:positionH>
            <wp:positionV relativeFrom="paragraph">
              <wp:posOffset>219710</wp:posOffset>
            </wp:positionV>
            <wp:extent cx="6652260" cy="2907665"/>
            <wp:effectExtent l="0" t="0" r="0" b="0"/>
            <wp:wrapTopAndBottom/>
            <wp:docPr id="18414188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260" cy="2907665"/>
                    </a:xfrm>
                    <a:prstGeom prst="rect">
                      <a:avLst/>
                    </a:prstGeom>
                    <a:noFill/>
                  </pic:spPr>
                </pic:pic>
              </a:graphicData>
            </a:graphic>
            <wp14:sizeRelH relativeFrom="margin">
              <wp14:pctWidth>0</wp14:pctWidth>
            </wp14:sizeRelH>
            <wp14:sizeRelV relativeFrom="margin">
              <wp14:pctHeight>0</wp14:pctHeight>
            </wp14:sizeRelV>
          </wp:anchor>
        </w:drawing>
      </w:r>
      <w:r w:rsidR="00C7511A" w:rsidRPr="00515446">
        <w:rPr>
          <w:rFonts w:eastAsia="Calibri" w:cs="Book Antiqua"/>
          <w:b/>
          <w:bCs/>
          <w:color w:val="000000"/>
          <w:kern w:val="0"/>
          <w:szCs w:val="18"/>
          <w:lang w:val="en-GB" w:eastAsia="en-IN"/>
          <w14:ligatures w14:val="none"/>
        </w:rPr>
        <w:t xml:space="preserve">Figure </w:t>
      </w:r>
      <w:r w:rsidR="00C7511A" w:rsidRPr="00515446">
        <w:rPr>
          <w:rFonts w:eastAsia="Calibri" w:cs="Book Antiqua"/>
          <w:b/>
          <w:bCs/>
          <w:color w:val="000000"/>
          <w:kern w:val="0"/>
          <w:szCs w:val="18"/>
          <w:lang w:val="en-GB" w:eastAsia="en-IN"/>
          <w14:ligatures w14:val="none"/>
        </w:rPr>
        <w:fldChar w:fldCharType="begin"/>
      </w:r>
      <w:r w:rsidR="00C7511A" w:rsidRPr="00515446">
        <w:rPr>
          <w:rFonts w:eastAsia="Calibri" w:cs="Book Antiqua"/>
          <w:b/>
          <w:bCs/>
          <w:color w:val="000000"/>
          <w:kern w:val="0"/>
          <w:szCs w:val="18"/>
          <w:lang w:val="en-GB" w:eastAsia="en-IN"/>
          <w14:ligatures w14:val="none"/>
        </w:rPr>
        <w:instrText xml:space="preserve"> STYLEREF 1 \s </w:instrText>
      </w:r>
      <w:r w:rsidR="00C7511A" w:rsidRPr="00515446">
        <w:rPr>
          <w:rFonts w:eastAsia="Calibri" w:cs="Book Antiqua"/>
          <w:b/>
          <w:bCs/>
          <w:color w:val="000000"/>
          <w:kern w:val="0"/>
          <w:szCs w:val="18"/>
          <w:lang w:val="en-GB" w:eastAsia="en-IN"/>
          <w14:ligatures w14:val="none"/>
        </w:rPr>
        <w:fldChar w:fldCharType="separate"/>
      </w:r>
      <w:r w:rsidR="002142B9">
        <w:rPr>
          <w:rFonts w:eastAsia="Calibri" w:cs="Book Antiqua"/>
          <w:b/>
          <w:bCs/>
          <w:noProof/>
          <w:color w:val="000000"/>
          <w:kern w:val="0"/>
          <w:szCs w:val="18"/>
          <w:lang w:val="en-GB" w:eastAsia="en-IN"/>
          <w14:ligatures w14:val="none"/>
        </w:rPr>
        <w:t>1</w:t>
      </w:r>
      <w:r w:rsidR="00C7511A" w:rsidRPr="00515446">
        <w:rPr>
          <w:rFonts w:eastAsia="Calibri" w:cs="Book Antiqua"/>
          <w:b/>
          <w:bCs/>
          <w:color w:val="000000"/>
          <w:kern w:val="0"/>
          <w:szCs w:val="18"/>
          <w:lang w:val="en-GB" w:eastAsia="en-IN"/>
          <w14:ligatures w14:val="none"/>
        </w:rPr>
        <w:fldChar w:fldCharType="end"/>
      </w:r>
      <w:r w:rsidR="00C7511A" w:rsidRPr="00515446">
        <w:rPr>
          <w:rFonts w:eastAsia="Calibri" w:cs="Book Antiqua"/>
          <w:b/>
          <w:bCs/>
          <w:color w:val="000000"/>
          <w:kern w:val="0"/>
          <w:szCs w:val="18"/>
          <w:lang w:val="en-GB" w:eastAsia="en-IN"/>
          <w14:ligatures w14:val="none"/>
        </w:rPr>
        <w:t>.</w:t>
      </w:r>
      <w:r w:rsidR="00C7511A" w:rsidRPr="00515446">
        <w:rPr>
          <w:rFonts w:eastAsia="Calibri" w:cs="Book Antiqua"/>
          <w:b/>
          <w:bCs/>
          <w:color w:val="000000"/>
          <w:kern w:val="0"/>
          <w:szCs w:val="18"/>
          <w:lang w:val="en-GB" w:eastAsia="en-IN"/>
          <w14:ligatures w14:val="none"/>
        </w:rPr>
        <w:fldChar w:fldCharType="begin"/>
      </w:r>
      <w:r w:rsidR="00C7511A" w:rsidRPr="00515446">
        <w:rPr>
          <w:rFonts w:eastAsia="Calibri" w:cs="Book Antiqua"/>
          <w:b/>
          <w:bCs/>
          <w:color w:val="000000"/>
          <w:kern w:val="0"/>
          <w:szCs w:val="18"/>
          <w:lang w:val="en-GB" w:eastAsia="en-IN"/>
          <w14:ligatures w14:val="none"/>
        </w:rPr>
        <w:instrText xml:space="preserve"> SEQ Figure \* ARABIC \s 1 </w:instrText>
      </w:r>
      <w:r w:rsidR="00C7511A" w:rsidRPr="00515446">
        <w:rPr>
          <w:rFonts w:eastAsia="Calibri" w:cs="Book Antiqua"/>
          <w:b/>
          <w:bCs/>
          <w:color w:val="000000"/>
          <w:kern w:val="0"/>
          <w:szCs w:val="18"/>
          <w:lang w:val="en-GB" w:eastAsia="en-IN"/>
          <w14:ligatures w14:val="none"/>
        </w:rPr>
        <w:fldChar w:fldCharType="separate"/>
      </w:r>
      <w:r w:rsidR="002142B9">
        <w:rPr>
          <w:rFonts w:eastAsia="Calibri" w:cs="Book Antiqua"/>
          <w:b/>
          <w:bCs/>
          <w:noProof/>
          <w:color w:val="000000"/>
          <w:kern w:val="0"/>
          <w:szCs w:val="18"/>
          <w:lang w:val="en-GB" w:eastAsia="en-IN"/>
          <w14:ligatures w14:val="none"/>
        </w:rPr>
        <w:t>3</w:t>
      </w:r>
      <w:r w:rsidR="00C7511A" w:rsidRPr="00515446">
        <w:rPr>
          <w:rFonts w:eastAsia="Calibri" w:cs="Book Antiqua"/>
          <w:b/>
          <w:bCs/>
          <w:color w:val="000000"/>
          <w:kern w:val="0"/>
          <w:szCs w:val="18"/>
          <w:lang w:val="en-GB" w:eastAsia="en-IN"/>
          <w14:ligatures w14:val="none"/>
        </w:rPr>
        <w:fldChar w:fldCharType="end"/>
      </w:r>
      <w:r w:rsidR="00C7511A" w:rsidRPr="00515446">
        <w:rPr>
          <w:rFonts w:eastAsia="Calibri" w:cs="Book Antiqua"/>
          <w:b/>
          <w:bCs/>
          <w:color w:val="000000"/>
          <w:kern w:val="0"/>
          <w:szCs w:val="18"/>
          <w:lang w:val="en-GB" w:eastAsia="en-IN"/>
          <w14:ligatures w14:val="none"/>
        </w:rPr>
        <w:t>: India’s real GDP</w:t>
      </w:r>
      <w:r w:rsidR="00A061FC">
        <w:rPr>
          <w:rFonts w:eastAsia="Calibri" w:cs="Book Antiqua"/>
          <w:b/>
          <w:bCs/>
          <w:color w:val="000000"/>
          <w:kern w:val="0"/>
          <w:szCs w:val="18"/>
          <w:lang w:val="en-GB" w:eastAsia="en-IN"/>
          <w14:ligatures w14:val="none"/>
        </w:rPr>
        <w:t xml:space="preserve"> (in Rs. Trillion)</w:t>
      </w:r>
      <w:r w:rsidR="00C7511A" w:rsidRPr="00515446">
        <w:rPr>
          <w:rFonts w:eastAsia="Calibri" w:cs="Book Antiqua"/>
          <w:b/>
          <w:bCs/>
          <w:color w:val="000000"/>
          <w:kern w:val="0"/>
          <w:szCs w:val="18"/>
          <w:lang w:val="en-GB" w:eastAsia="en-IN"/>
          <w14:ligatures w14:val="none"/>
        </w:rPr>
        <w:t xml:space="preserve"> trend and outlook</w:t>
      </w:r>
      <w:r w:rsidR="00C7511A" w:rsidRPr="00515446">
        <w:rPr>
          <w:rFonts w:eastAsia="Calibri"/>
          <w:b/>
          <w:bCs/>
          <w:color w:val="434242"/>
          <w:kern w:val="0"/>
          <w:szCs w:val="20"/>
          <w:lang w:val="en-GB"/>
          <w14:ligatures w14:val="none"/>
        </w:rPr>
        <w:t xml:space="preserve"> (at constant 2011-12 prices)</w:t>
      </w:r>
      <w:bookmarkEnd w:id="73"/>
      <w:bookmarkEnd w:id="74"/>
      <w:bookmarkEnd w:id="75"/>
      <w:bookmarkEnd w:id="76"/>
      <w:bookmarkEnd w:id="77"/>
    </w:p>
    <w:p w14:paraId="4B7317D7" w14:textId="2512FDBF" w:rsidR="00C7511A" w:rsidRPr="00515446" w:rsidRDefault="00C7511A" w:rsidP="00C7511A">
      <w:pPr>
        <w:spacing w:before="160" w:after="120" w:line="240" w:lineRule="auto"/>
        <w:ind w:right="432"/>
        <w:rPr>
          <w:rFonts w:eastAsia="Calibri"/>
          <w:color w:val="434242"/>
          <w:kern w:val="0"/>
          <w:szCs w:val="20"/>
          <w:lang w:val="en-GB"/>
          <w14:ligatures w14:val="none"/>
        </w:rPr>
      </w:pPr>
      <w:r w:rsidRPr="00515446">
        <w:rPr>
          <w:rFonts w:eastAsia="Calibri"/>
          <w:i/>
          <w:iCs/>
          <w:color w:val="434242"/>
          <w:kern w:val="0"/>
          <w:sz w:val="16"/>
          <w:szCs w:val="16"/>
          <w:lang w:val="en-GB"/>
          <w14:ligatures w14:val="none"/>
        </w:rPr>
        <w:t xml:space="preserve">Source: National Statistical Office (NSO), Crisil Intelligence </w:t>
      </w:r>
      <w:r w:rsidR="0002459A">
        <w:rPr>
          <w:rFonts w:eastAsia="Calibri"/>
          <w:i/>
          <w:iCs/>
          <w:color w:val="434242"/>
          <w:kern w:val="0"/>
          <w:sz w:val="16"/>
          <w:szCs w:val="16"/>
          <w:lang w:val="en-GB"/>
          <w14:ligatures w14:val="none"/>
        </w:rPr>
        <w:t>-</w:t>
      </w:r>
    </w:p>
    <w:p w14:paraId="19665EDC" w14:textId="7323E1D1" w:rsidR="00C7511A" w:rsidRDefault="00C7511A" w:rsidP="00C7511A">
      <w:pPr>
        <w:ind w:right="115"/>
        <w:rPr>
          <w:szCs w:val="20"/>
        </w:rPr>
      </w:pPr>
      <w:r w:rsidRPr="003B66F1">
        <w:rPr>
          <w:szCs w:val="20"/>
        </w:rPr>
        <w:t xml:space="preserve">According to the </w:t>
      </w:r>
      <w:r w:rsidRPr="003B66F1">
        <w:rPr>
          <w:i/>
          <w:iCs/>
          <w:szCs w:val="20"/>
        </w:rPr>
        <w:t>NSO</w:t>
      </w:r>
      <w:r w:rsidRPr="003B66F1">
        <w:rPr>
          <w:szCs w:val="20"/>
        </w:rPr>
        <w:t xml:space="preserve">, real GDP </w:t>
      </w:r>
      <w:r w:rsidR="00D97D11">
        <w:rPr>
          <w:szCs w:val="20"/>
        </w:rPr>
        <w:t xml:space="preserve">growth reached </w:t>
      </w:r>
      <w:r w:rsidRPr="003B66F1">
        <w:rPr>
          <w:szCs w:val="20"/>
        </w:rPr>
        <w:t xml:space="preserve">to </w:t>
      </w:r>
      <w:r w:rsidR="00D97D11">
        <w:rPr>
          <w:szCs w:val="20"/>
        </w:rPr>
        <w:t>6.5</w:t>
      </w:r>
      <w:r w:rsidRPr="003B66F1">
        <w:rPr>
          <w:szCs w:val="20"/>
        </w:rPr>
        <w:t>% on-year in fiscal 202</w:t>
      </w:r>
      <w:r w:rsidR="00D97D11">
        <w:rPr>
          <w:szCs w:val="20"/>
        </w:rPr>
        <w:t>5</w:t>
      </w:r>
      <w:r w:rsidRPr="003B66F1">
        <w:rPr>
          <w:szCs w:val="20"/>
        </w:rPr>
        <w:t xml:space="preserve"> from </w:t>
      </w:r>
      <w:r w:rsidR="00D97D11">
        <w:rPr>
          <w:szCs w:val="20"/>
        </w:rPr>
        <w:t>9.2</w:t>
      </w:r>
      <w:r w:rsidRPr="003B66F1">
        <w:rPr>
          <w:szCs w:val="20"/>
        </w:rPr>
        <w:t>% in fiscal 202</w:t>
      </w:r>
      <w:r w:rsidR="00D97D11">
        <w:rPr>
          <w:szCs w:val="20"/>
        </w:rPr>
        <w:t>4</w:t>
      </w:r>
      <w:r w:rsidRPr="003B66F1">
        <w:rPr>
          <w:szCs w:val="20"/>
        </w:rPr>
        <w:t>. In absolute terms, India’s GDP reached Rs 1</w:t>
      </w:r>
      <w:r w:rsidR="00A204FF">
        <w:rPr>
          <w:szCs w:val="20"/>
        </w:rPr>
        <w:t>88</w:t>
      </w:r>
      <w:r w:rsidRPr="003B66F1">
        <w:rPr>
          <w:szCs w:val="20"/>
        </w:rPr>
        <w:t xml:space="preserve"> trillion in fiscal 202</w:t>
      </w:r>
      <w:r w:rsidR="00A204FF">
        <w:rPr>
          <w:szCs w:val="20"/>
        </w:rPr>
        <w:t>5</w:t>
      </w:r>
      <w:r w:rsidRPr="003B66F1">
        <w:rPr>
          <w:szCs w:val="20"/>
        </w:rPr>
        <w:t xml:space="preserve"> compared with Rs 1</w:t>
      </w:r>
      <w:r w:rsidR="00A204FF">
        <w:rPr>
          <w:szCs w:val="20"/>
        </w:rPr>
        <w:t>77</w:t>
      </w:r>
      <w:r w:rsidRPr="003B66F1">
        <w:rPr>
          <w:szCs w:val="20"/>
        </w:rPr>
        <w:t xml:space="preserve"> trillion in fiscal 202</w:t>
      </w:r>
      <w:r w:rsidR="00A204FF">
        <w:rPr>
          <w:szCs w:val="20"/>
        </w:rPr>
        <w:t>4</w:t>
      </w:r>
      <w:r w:rsidRPr="003B66F1">
        <w:rPr>
          <w:szCs w:val="20"/>
        </w:rPr>
        <w:t xml:space="preserve">. </w:t>
      </w:r>
    </w:p>
    <w:p w14:paraId="0751E9E7" w14:textId="77777777" w:rsidR="00C7511A" w:rsidRDefault="00C7511A" w:rsidP="00C7511A">
      <w:pPr>
        <w:pStyle w:val="Heading2"/>
      </w:pPr>
      <w:bookmarkStart w:id="78" w:name="_Toc192073605"/>
      <w:bookmarkStart w:id="79" w:name="_Toc192153626"/>
      <w:bookmarkStart w:id="80" w:name="_Toc192195228"/>
      <w:bookmarkStart w:id="81" w:name="_Toc198730341"/>
      <w:bookmarkStart w:id="82" w:name="_Toc189499560"/>
      <w:r w:rsidRPr="00CD0657">
        <w:t>Sector wise contribution to GVA for last 5 years from fiscal 2020</w:t>
      </w:r>
      <w:bookmarkEnd w:id="78"/>
      <w:bookmarkEnd w:id="79"/>
      <w:bookmarkEnd w:id="80"/>
      <w:bookmarkEnd w:id="81"/>
    </w:p>
    <w:p w14:paraId="6C86FD6F" w14:textId="77777777" w:rsidR="00C7511A" w:rsidRPr="00CD0657" w:rsidRDefault="00C7511A" w:rsidP="00C7511A">
      <w:pPr>
        <w:pStyle w:val="Heading30"/>
      </w:pPr>
      <w:bookmarkStart w:id="83" w:name="_Toc176969937"/>
      <w:bookmarkStart w:id="84" w:name="_Toc177037013"/>
      <w:bookmarkStart w:id="85" w:name="_Toc177730271"/>
      <w:bookmarkStart w:id="86" w:name="_Toc178256979"/>
      <w:bookmarkStart w:id="87" w:name="_Toc186146893"/>
      <w:r w:rsidRPr="00CD0657">
        <w:t>GVA share</w:t>
      </w:r>
      <w:bookmarkEnd w:id="83"/>
      <w:bookmarkEnd w:id="84"/>
      <w:bookmarkEnd w:id="85"/>
      <w:bookmarkEnd w:id="86"/>
      <w:bookmarkEnd w:id="87"/>
      <w:r>
        <w:t xml:space="preserve"> of sectors in India</w:t>
      </w:r>
    </w:p>
    <w:bookmarkEnd w:id="82"/>
    <w:p w14:paraId="6C9366A1" w14:textId="3F98B907" w:rsidR="00C7511A" w:rsidRPr="00CD0657" w:rsidRDefault="00C7511A" w:rsidP="00662938">
      <w:pPr>
        <w:ind w:right="115"/>
        <w:rPr>
          <w:rFonts w:eastAsia="Times New Roman" w:cs="Book Antiqua"/>
          <w:b/>
          <w:bCs/>
          <w:kern w:val="0"/>
          <w:szCs w:val="18"/>
          <w:lang w:val="en-GB" w:eastAsia="en-IN"/>
          <w14:ligatures w14:val="none"/>
        </w:rPr>
      </w:pPr>
      <w:r w:rsidRPr="001533B4">
        <w:rPr>
          <w:szCs w:val="20"/>
        </w:rPr>
        <w:t>Gross Value Added (GVA) is a measure of the total value of goods and services produced within a country or region, minus the cost of intermediate inputs. It represents the contribution of each sector to the overall economy and is a key indicator of economic growth and development.</w:t>
      </w:r>
    </w:p>
    <w:p w14:paraId="2380A07D" w14:textId="23C3C31F" w:rsidR="00395B85" w:rsidRDefault="00395B85" w:rsidP="00C7511A">
      <w:pPr>
        <w:ind w:right="115"/>
        <w:rPr>
          <w:szCs w:val="20"/>
        </w:rPr>
      </w:pPr>
      <w:r w:rsidRPr="00C409C5">
        <w:rPr>
          <w:szCs w:val="20"/>
        </w:rPr>
        <w:t xml:space="preserve">The Indian economy is broadly classified into three sectors: Primary, Secondary, and Tertiary. The Primary Sector, which includes agriculture, animal husbandry, forestry, and mining, is the foundation of the Indian economy, contributing around 16% to the country's GDP. The Secondary Sector, comprising manufacturing, construction, and energy generation, contributes around 29% to the GDP and has been growing rapidly, with significant investments in industries such as automotive, pharmaceutical, and IT hardware. The Tertiary Sector, which includes financial services, </w:t>
      </w:r>
      <w:r>
        <w:rPr>
          <w:szCs w:val="20"/>
        </w:rPr>
        <w:t xml:space="preserve">professional services, </w:t>
      </w:r>
      <w:r w:rsidRPr="00C409C5">
        <w:rPr>
          <w:szCs w:val="20"/>
        </w:rPr>
        <w:t>transportation, communication</w:t>
      </w:r>
      <w:r>
        <w:rPr>
          <w:szCs w:val="20"/>
        </w:rPr>
        <w:t xml:space="preserve"> etc.</w:t>
      </w:r>
      <w:r w:rsidRPr="00C409C5">
        <w:rPr>
          <w:szCs w:val="20"/>
        </w:rPr>
        <w:t xml:space="preserve"> is the fastest-growing sector, contributing around 55% to the GDP and driving the country's economic growth.</w:t>
      </w:r>
    </w:p>
    <w:p w14:paraId="300AD7C4" w14:textId="5A1E17F9" w:rsidR="00C7511A" w:rsidRPr="00C409C5" w:rsidRDefault="00C7511A" w:rsidP="00C7511A">
      <w:pPr>
        <w:keepNext/>
        <w:keepLines/>
        <w:spacing w:before="160" w:line="276" w:lineRule="auto"/>
        <w:ind w:right="112"/>
        <w:rPr>
          <w:rFonts w:eastAsia="Times New Roman" w:cs="Book Antiqua"/>
          <w:b/>
          <w:bCs/>
          <w:kern w:val="0"/>
          <w:szCs w:val="20"/>
          <w:lang w:val="en-GB" w:eastAsia="en-IN"/>
          <w14:ligatures w14:val="none"/>
        </w:rPr>
      </w:pPr>
      <w:bookmarkStart w:id="88" w:name="_Toc189499617"/>
      <w:bookmarkStart w:id="89" w:name="_Toc192073629"/>
      <w:bookmarkStart w:id="90" w:name="_Toc192153653"/>
      <w:bookmarkStart w:id="91" w:name="_Toc192195280"/>
      <w:bookmarkStart w:id="92" w:name="_Toc198731453"/>
      <w:r w:rsidRPr="00C409C5">
        <w:rPr>
          <w:rFonts w:eastAsia="Times New Roman" w:cs="Book Antiqua"/>
          <w:b/>
          <w:bCs/>
          <w:kern w:val="0"/>
          <w:szCs w:val="20"/>
          <w:lang w:val="en-GB" w:eastAsia="en-IN"/>
          <w14:ligatures w14:val="none"/>
        </w:rPr>
        <w:t xml:space="preserve">Table </w:t>
      </w:r>
      <w:r w:rsidRPr="00C409C5">
        <w:rPr>
          <w:rFonts w:eastAsia="Times New Roman" w:cs="Book Antiqua"/>
          <w:b/>
          <w:bCs/>
          <w:kern w:val="0"/>
          <w:szCs w:val="20"/>
          <w:lang w:val="en-GB" w:eastAsia="en-IN"/>
          <w14:ligatures w14:val="none"/>
        </w:rPr>
        <w:fldChar w:fldCharType="begin"/>
      </w:r>
      <w:r w:rsidRPr="00C409C5">
        <w:rPr>
          <w:rFonts w:eastAsia="Times New Roman" w:cs="Book Antiqua"/>
          <w:b/>
          <w:bCs/>
          <w:kern w:val="0"/>
          <w:szCs w:val="20"/>
          <w:lang w:val="en-GB" w:eastAsia="en-IN"/>
          <w14:ligatures w14:val="none"/>
        </w:rPr>
        <w:instrText xml:space="preserve"> STYLEREF 1 \s </w:instrText>
      </w:r>
      <w:r w:rsidRPr="00C409C5">
        <w:rPr>
          <w:rFonts w:eastAsia="Times New Roman" w:cs="Book Antiqua"/>
          <w:b/>
          <w:bCs/>
          <w:kern w:val="0"/>
          <w:szCs w:val="20"/>
          <w:lang w:val="en-GB" w:eastAsia="en-IN"/>
          <w14:ligatures w14:val="none"/>
        </w:rPr>
        <w:fldChar w:fldCharType="separate"/>
      </w:r>
      <w:r w:rsidR="002142B9">
        <w:rPr>
          <w:rFonts w:eastAsia="Times New Roman" w:cs="Book Antiqua"/>
          <w:b/>
          <w:bCs/>
          <w:noProof/>
          <w:kern w:val="0"/>
          <w:szCs w:val="20"/>
          <w:lang w:val="en-GB" w:eastAsia="en-IN"/>
          <w14:ligatures w14:val="none"/>
        </w:rPr>
        <w:t>1</w:t>
      </w:r>
      <w:r w:rsidRPr="00C409C5">
        <w:rPr>
          <w:rFonts w:eastAsia="Times New Roman" w:cs="Book Antiqua"/>
          <w:b/>
          <w:bCs/>
          <w:kern w:val="0"/>
          <w:szCs w:val="20"/>
          <w:lang w:val="en-GB" w:eastAsia="en-IN"/>
          <w14:ligatures w14:val="none"/>
        </w:rPr>
        <w:fldChar w:fldCharType="end"/>
      </w:r>
      <w:r w:rsidRPr="00C409C5">
        <w:rPr>
          <w:rFonts w:eastAsia="Times New Roman" w:cs="Book Antiqua"/>
          <w:b/>
          <w:bCs/>
          <w:kern w:val="0"/>
          <w:szCs w:val="20"/>
          <w:lang w:val="en-GB" w:eastAsia="en-IN"/>
          <w14:ligatures w14:val="none"/>
        </w:rPr>
        <w:t>.</w:t>
      </w:r>
      <w:r w:rsidRPr="00C409C5">
        <w:rPr>
          <w:rFonts w:eastAsia="Times New Roman" w:cs="Book Antiqua"/>
          <w:b/>
          <w:bCs/>
          <w:kern w:val="0"/>
          <w:szCs w:val="20"/>
          <w:lang w:val="en-GB" w:eastAsia="en-IN"/>
          <w14:ligatures w14:val="none"/>
        </w:rPr>
        <w:fldChar w:fldCharType="begin"/>
      </w:r>
      <w:r w:rsidRPr="00C409C5">
        <w:rPr>
          <w:rFonts w:eastAsia="Times New Roman" w:cs="Book Antiqua"/>
          <w:b/>
          <w:bCs/>
          <w:kern w:val="0"/>
          <w:szCs w:val="20"/>
          <w:lang w:val="en-GB" w:eastAsia="en-IN"/>
          <w14:ligatures w14:val="none"/>
        </w:rPr>
        <w:instrText xml:space="preserve"> SEQ Table \* ARABIC \s 1 </w:instrText>
      </w:r>
      <w:r w:rsidRPr="00C409C5">
        <w:rPr>
          <w:rFonts w:eastAsia="Times New Roman" w:cs="Book Antiqua"/>
          <w:b/>
          <w:bCs/>
          <w:kern w:val="0"/>
          <w:szCs w:val="20"/>
          <w:lang w:val="en-GB" w:eastAsia="en-IN"/>
          <w14:ligatures w14:val="none"/>
        </w:rPr>
        <w:fldChar w:fldCharType="separate"/>
      </w:r>
      <w:r w:rsidR="002142B9">
        <w:rPr>
          <w:rFonts w:eastAsia="Times New Roman" w:cs="Book Antiqua"/>
          <w:b/>
          <w:bCs/>
          <w:noProof/>
          <w:kern w:val="0"/>
          <w:szCs w:val="20"/>
          <w:lang w:val="en-GB" w:eastAsia="en-IN"/>
          <w14:ligatures w14:val="none"/>
        </w:rPr>
        <w:t>5</w:t>
      </w:r>
      <w:r w:rsidRPr="00C409C5">
        <w:rPr>
          <w:rFonts w:eastAsia="Times New Roman" w:cs="Book Antiqua"/>
          <w:b/>
          <w:bCs/>
          <w:kern w:val="0"/>
          <w:szCs w:val="20"/>
          <w:lang w:val="en-GB" w:eastAsia="en-IN"/>
          <w14:ligatures w14:val="none"/>
        </w:rPr>
        <w:fldChar w:fldCharType="end"/>
      </w:r>
      <w:r w:rsidRPr="00C409C5">
        <w:rPr>
          <w:rFonts w:eastAsia="Times New Roman" w:cs="Book Antiqua"/>
          <w:b/>
          <w:bCs/>
          <w:kern w:val="0"/>
          <w:szCs w:val="20"/>
          <w:lang w:val="en-GB" w:eastAsia="en-IN"/>
          <w14:ligatures w14:val="none"/>
        </w:rPr>
        <w:t>: Gross value added (GVA) at basic prices (base year: fiscal 2012) constant prices (Rs trillion)</w:t>
      </w:r>
      <w:bookmarkEnd w:id="88"/>
      <w:bookmarkEnd w:id="89"/>
      <w:bookmarkEnd w:id="90"/>
      <w:bookmarkEnd w:id="91"/>
      <w:bookmarkEnd w:id="92"/>
    </w:p>
    <w:tbl>
      <w:tblPr>
        <w:tblStyle w:val="TableGrid"/>
        <w:tblW w:w="4947" w:type="pct"/>
        <w:tblLayout w:type="fixed"/>
        <w:tblLook w:val="04A0" w:firstRow="1" w:lastRow="0" w:firstColumn="1" w:lastColumn="0" w:noHBand="0" w:noVBand="1"/>
      </w:tblPr>
      <w:tblGrid>
        <w:gridCol w:w="5576"/>
        <w:gridCol w:w="899"/>
        <w:gridCol w:w="989"/>
        <w:gridCol w:w="991"/>
        <w:gridCol w:w="989"/>
        <w:gridCol w:w="964"/>
      </w:tblGrid>
      <w:tr w:rsidR="00B220EF" w:rsidRPr="00ED34E3" w14:paraId="0D1E4F3B" w14:textId="77777777" w:rsidTr="00B220EF">
        <w:trPr>
          <w:trHeight w:val="348"/>
          <w:tblHeader/>
        </w:trPr>
        <w:tc>
          <w:tcPr>
            <w:tcW w:w="2678" w:type="pct"/>
            <w:vMerge w:val="restart"/>
            <w:shd w:val="clear" w:color="auto" w:fill="005B72"/>
            <w:noWrap/>
            <w:vAlign w:val="center"/>
          </w:tcPr>
          <w:p w14:paraId="2B043E64" w14:textId="77777777" w:rsidR="00C7511A" w:rsidRPr="00ED34E3" w:rsidRDefault="00C7511A" w:rsidP="002F7E18">
            <w:pPr>
              <w:spacing w:line="240" w:lineRule="auto"/>
              <w:ind w:right="432"/>
              <w:rPr>
                <w:rFonts w:eastAsia="Arial"/>
                <w:b/>
                <w:bCs/>
                <w:color w:val="F8F8F8"/>
                <w:sz w:val="18"/>
                <w:szCs w:val="18"/>
              </w:rPr>
            </w:pPr>
            <w:r w:rsidRPr="00ED34E3">
              <w:rPr>
                <w:rFonts w:eastAsia="Arial"/>
                <w:b/>
                <w:bCs/>
                <w:color w:val="F8F8F8"/>
                <w:sz w:val="18"/>
                <w:szCs w:val="18"/>
              </w:rPr>
              <w:t>Industry</w:t>
            </w:r>
          </w:p>
        </w:tc>
        <w:tc>
          <w:tcPr>
            <w:tcW w:w="432" w:type="pct"/>
            <w:vMerge w:val="restart"/>
            <w:shd w:val="clear" w:color="auto" w:fill="005B72"/>
            <w:noWrap/>
            <w:vAlign w:val="center"/>
          </w:tcPr>
          <w:p w14:paraId="5CDA410B" w14:textId="77777777" w:rsidR="00C7511A" w:rsidRPr="00ED34E3" w:rsidRDefault="00C7511A" w:rsidP="00662938">
            <w:pPr>
              <w:spacing w:line="240" w:lineRule="auto"/>
              <w:ind w:right="-105"/>
              <w:jc w:val="center"/>
              <w:rPr>
                <w:rFonts w:eastAsia="Arial"/>
                <w:b/>
                <w:bCs/>
                <w:color w:val="F8F8F8"/>
                <w:sz w:val="18"/>
                <w:szCs w:val="18"/>
              </w:rPr>
            </w:pPr>
            <w:r w:rsidRPr="00ED34E3">
              <w:rPr>
                <w:rFonts w:eastAsia="Arial"/>
                <w:b/>
                <w:bCs/>
                <w:color w:val="F8F8F8"/>
                <w:sz w:val="18"/>
                <w:szCs w:val="18"/>
              </w:rPr>
              <w:t>2023</w:t>
            </w:r>
          </w:p>
        </w:tc>
        <w:tc>
          <w:tcPr>
            <w:tcW w:w="475" w:type="pct"/>
            <w:vMerge w:val="restart"/>
            <w:shd w:val="clear" w:color="auto" w:fill="005B72"/>
            <w:noWrap/>
            <w:vAlign w:val="center"/>
          </w:tcPr>
          <w:p w14:paraId="3BFE1E1C" w14:textId="77777777" w:rsidR="00C7511A" w:rsidRPr="00ED34E3" w:rsidRDefault="00C7511A" w:rsidP="00662938">
            <w:pPr>
              <w:spacing w:line="240" w:lineRule="auto"/>
              <w:ind w:right="-105"/>
              <w:jc w:val="center"/>
              <w:rPr>
                <w:rFonts w:eastAsia="Arial"/>
                <w:b/>
                <w:bCs/>
                <w:color w:val="F8F8F8"/>
                <w:sz w:val="18"/>
                <w:szCs w:val="18"/>
              </w:rPr>
            </w:pPr>
            <w:r w:rsidRPr="00ED34E3">
              <w:rPr>
                <w:rFonts w:eastAsia="Arial"/>
                <w:b/>
                <w:bCs/>
                <w:color w:val="F8F8F8"/>
                <w:sz w:val="18"/>
                <w:szCs w:val="18"/>
              </w:rPr>
              <w:t>2024</w:t>
            </w:r>
          </w:p>
        </w:tc>
        <w:tc>
          <w:tcPr>
            <w:tcW w:w="476" w:type="pct"/>
            <w:vMerge w:val="restart"/>
            <w:shd w:val="clear" w:color="auto" w:fill="005B72"/>
            <w:noWrap/>
            <w:vAlign w:val="center"/>
          </w:tcPr>
          <w:p w14:paraId="1ED5ED38" w14:textId="77777777" w:rsidR="00C7511A" w:rsidRPr="00ED34E3" w:rsidRDefault="00C7511A" w:rsidP="00662938">
            <w:pPr>
              <w:spacing w:line="240" w:lineRule="auto"/>
              <w:ind w:right="-105"/>
              <w:jc w:val="center"/>
              <w:rPr>
                <w:rFonts w:eastAsia="Arial"/>
                <w:b/>
                <w:bCs/>
                <w:color w:val="F8F8F8"/>
                <w:sz w:val="18"/>
                <w:szCs w:val="18"/>
              </w:rPr>
            </w:pPr>
            <w:r w:rsidRPr="00ED34E3">
              <w:rPr>
                <w:rFonts w:eastAsia="Arial"/>
                <w:b/>
                <w:bCs/>
                <w:color w:val="F8F8F8"/>
                <w:sz w:val="18"/>
                <w:szCs w:val="18"/>
              </w:rPr>
              <w:t>2025(F)</w:t>
            </w:r>
          </w:p>
        </w:tc>
        <w:tc>
          <w:tcPr>
            <w:tcW w:w="938" w:type="pct"/>
            <w:gridSpan w:val="2"/>
            <w:shd w:val="clear" w:color="auto" w:fill="005B72"/>
          </w:tcPr>
          <w:p w14:paraId="0FFA370B" w14:textId="77777777" w:rsidR="00C7511A" w:rsidRPr="00ED34E3" w:rsidRDefault="00C7511A" w:rsidP="00662938">
            <w:pPr>
              <w:spacing w:line="240" w:lineRule="auto"/>
              <w:ind w:left="-104" w:right="-134"/>
              <w:jc w:val="center"/>
              <w:rPr>
                <w:rFonts w:eastAsia="Arial"/>
                <w:b/>
                <w:bCs/>
                <w:color w:val="F8F8F8"/>
                <w:sz w:val="18"/>
                <w:szCs w:val="18"/>
              </w:rPr>
            </w:pPr>
            <w:r w:rsidRPr="00ED34E3">
              <w:rPr>
                <w:rFonts w:eastAsia="Arial"/>
                <w:b/>
                <w:bCs/>
                <w:color w:val="F8F8F8"/>
                <w:sz w:val="18"/>
                <w:szCs w:val="18"/>
              </w:rPr>
              <w:t>Growth in the real GVA</w:t>
            </w:r>
          </w:p>
        </w:tc>
      </w:tr>
      <w:tr w:rsidR="00B220EF" w:rsidRPr="00ED34E3" w14:paraId="60B529B6" w14:textId="77777777" w:rsidTr="00B220EF">
        <w:trPr>
          <w:trHeight w:val="348"/>
          <w:tblHeader/>
        </w:trPr>
        <w:tc>
          <w:tcPr>
            <w:tcW w:w="2678" w:type="pct"/>
            <w:vMerge/>
            <w:shd w:val="clear" w:color="auto" w:fill="005B72"/>
            <w:noWrap/>
            <w:vAlign w:val="bottom"/>
          </w:tcPr>
          <w:p w14:paraId="5ED240AE" w14:textId="77777777" w:rsidR="00C7511A" w:rsidRPr="00ED34E3" w:rsidRDefault="00C7511A" w:rsidP="002F7E18">
            <w:pPr>
              <w:spacing w:line="240" w:lineRule="auto"/>
              <w:ind w:right="432"/>
              <w:rPr>
                <w:rFonts w:eastAsia="Arial"/>
                <w:b/>
                <w:bCs/>
                <w:color w:val="F8F8F8"/>
                <w:sz w:val="18"/>
                <w:szCs w:val="18"/>
              </w:rPr>
            </w:pPr>
          </w:p>
        </w:tc>
        <w:tc>
          <w:tcPr>
            <w:tcW w:w="432" w:type="pct"/>
            <w:vMerge/>
            <w:shd w:val="clear" w:color="auto" w:fill="005B72"/>
            <w:noWrap/>
            <w:vAlign w:val="bottom"/>
          </w:tcPr>
          <w:p w14:paraId="43084088" w14:textId="77777777" w:rsidR="00C7511A" w:rsidRPr="00ED34E3" w:rsidRDefault="00C7511A" w:rsidP="00662938">
            <w:pPr>
              <w:spacing w:line="240" w:lineRule="auto"/>
              <w:ind w:right="-105"/>
              <w:jc w:val="center"/>
              <w:rPr>
                <w:rFonts w:eastAsia="Arial"/>
                <w:b/>
                <w:bCs/>
                <w:color w:val="F8F8F8"/>
                <w:sz w:val="18"/>
                <w:szCs w:val="18"/>
              </w:rPr>
            </w:pPr>
          </w:p>
        </w:tc>
        <w:tc>
          <w:tcPr>
            <w:tcW w:w="475" w:type="pct"/>
            <w:vMerge/>
            <w:shd w:val="clear" w:color="auto" w:fill="005B72"/>
            <w:noWrap/>
            <w:vAlign w:val="bottom"/>
          </w:tcPr>
          <w:p w14:paraId="2EA07BC5" w14:textId="77777777" w:rsidR="00C7511A" w:rsidRPr="00ED34E3" w:rsidRDefault="00C7511A" w:rsidP="00662938">
            <w:pPr>
              <w:spacing w:line="240" w:lineRule="auto"/>
              <w:ind w:right="-105"/>
              <w:jc w:val="center"/>
              <w:rPr>
                <w:rFonts w:eastAsia="Arial"/>
                <w:b/>
                <w:bCs/>
                <w:color w:val="F8F8F8"/>
                <w:sz w:val="18"/>
                <w:szCs w:val="18"/>
              </w:rPr>
            </w:pPr>
          </w:p>
        </w:tc>
        <w:tc>
          <w:tcPr>
            <w:tcW w:w="476" w:type="pct"/>
            <w:vMerge/>
            <w:shd w:val="clear" w:color="auto" w:fill="005B72"/>
            <w:noWrap/>
            <w:vAlign w:val="bottom"/>
          </w:tcPr>
          <w:p w14:paraId="5DB910A7" w14:textId="77777777" w:rsidR="00C7511A" w:rsidRPr="00ED34E3" w:rsidRDefault="00C7511A" w:rsidP="00662938">
            <w:pPr>
              <w:spacing w:line="240" w:lineRule="auto"/>
              <w:ind w:right="-105"/>
              <w:jc w:val="center"/>
              <w:rPr>
                <w:rFonts w:eastAsia="Arial"/>
                <w:b/>
                <w:bCs/>
                <w:color w:val="F8F8F8"/>
                <w:sz w:val="18"/>
                <w:szCs w:val="18"/>
              </w:rPr>
            </w:pPr>
          </w:p>
        </w:tc>
        <w:tc>
          <w:tcPr>
            <w:tcW w:w="475" w:type="pct"/>
            <w:shd w:val="clear" w:color="auto" w:fill="005B72"/>
          </w:tcPr>
          <w:p w14:paraId="1FC0B993" w14:textId="77777777" w:rsidR="00C7511A" w:rsidRPr="00ED34E3" w:rsidRDefault="00C7511A" w:rsidP="00662938">
            <w:pPr>
              <w:spacing w:line="240" w:lineRule="auto"/>
              <w:ind w:left="-104" w:right="-134"/>
              <w:jc w:val="center"/>
              <w:rPr>
                <w:rFonts w:eastAsia="Arial"/>
                <w:b/>
                <w:bCs/>
                <w:color w:val="F8F8F8"/>
                <w:sz w:val="18"/>
                <w:szCs w:val="18"/>
              </w:rPr>
            </w:pPr>
            <w:r w:rsidRPr="00ED34E3">
              <w:rPr>
                <w:rFonts w:eastAsia="Arial"/>
                <w:b/>
                <w:bCs/>
                <w:color w:val="F8F8F8"/>
                <w:sz w:val="18"/>
                <w:szCs w:val="18"/>
              </w:rPr>
              <w:t>2024</w:t>
            </w:r>
          </w:p>
        </w:tc>
        <w:tc>
          <w:tcPr>
            <w:tcW w:w="463" w:type="pct"/>
            <w:shd w:val="clear" w:color="auto" w:fill="005B72"/>
          </w:tcPr>
          <w:p w14:paraId="3F9C0D40" w14:textId="77777777" w:rsidR="00C7511A" w:rsidRPr="00ED34E3" w:rsidRDefault="00C7511A" w:rsidP="00662938">
            <w:pPr>
              <w:spacing w:line="240" w:lineRule="auto"/>
              <w:ind w:left="-104" w:right="-134"/>
              <w:jc w:val="center"/>
              <w:rPr>
                <w:rFonts w:eastAsia="Arial"/>
                <w:b/>
                <w:bCs/>
                <w:color w:val="F8F8F8"/>
                <w:sz w:val="18"/>
                <w:szCs w:val="18"/>
              </w:rPr>
            </w:pPr>
            <w:r w:rsidRPr="00ED34E3">
              <w:rPr>
                <w:rFonts w:eastAsia="Arial"/>
                <w:b/>
                <w:bCs/>
                <w:color w:val="F8F8F8"/>
                <w:sz w:val="18"/>
                <w:szCs w:val="18"/>
              </w:rPr>
              <w:t>2025</w:t>
            </w:r>
          </w:p>
        </w:tc>
      </w:tr>
      <w:tr w:rsidR="00B220EF" w:rsidRPr="00ED34E3" w14:paraId="50882D9C" w14:textId="77777777" w:rsidTr="00B220EF">
        <w:trPr>
          <w:trHeight w:val="348"/>
        </w:trPr>
        <w:tc>
          <w:tcPr>
            <w:tcW w:w="2678" w:type="pct"/>
            <w:shd w:val="clear" w:color="auto" w:fill="C9D8E1"/>
            <w:noWrap/>
            <w:vAlign w:val="bottom"/>
          </w:tcPr>
          <w:p w14:paraId="210E26AD" w14:textId="77777777" w:rsidR="00C7511A" w:rsidRPr="00ED34E3" w:rsidRDefault="00C7511A" w:rsidP="002F7E18">
            <w:pPr>
              <w:spacing w:line="240" w:lineRule="auto"/>
              <w:ind w:right="432"/>
              <w:rPr>
                <w:rFonts w:eastAsia="Arial"/>
                <w:b/>
                <w:bCs/>
                <w:sz w:val="18"/>
                <w:szCs w:val="18"/>
                <w:lang w:eastAsia="en-GB"/>
              </w:rPr>
            </w:pPr>
            <w:r w:rsidRPr="00ED34E3">
              <w:rPr>
                <w:b/>
                <w:bCs/>
                <w:color w:val="000000"/>
                <w:sz w:val="18"/>
                <w:szCs w:val="18"/>
              </w:rPr>
              <w:t>Primary Sector</w:t>
            </w:r>
          </w:p>
        </w:tc>
        <w:tc>
          <w:tcPr>
            <w:tcW w:w="432" w:type="pct"/>
            <w:shd w:val="clear" w:color="auto" w:fill="C9D8E1"/>
            <w:noWrap/>
          </w:tcPr>
          <w:p w14:paraId="36EE827B"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25.88</w:t>
            </w:r>
          </w:p>
        </w:tc>
        <w:tc>
          <w:tcPr>
            <w:tcW w:w="475" w:type="pct"/>
            <w:shd w:val="clear" w:color="auto" w:fill="C9D8E1"/>
            <w:noWrap/>
          </w:tcPr>
          <w:p w14:paraId="77107508"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26.43</w:t>
            </w:r>
          </w:p>
        </w:tc>
        <w:tc>
          <w:tcPr>
            <w:tcW w:w="476" w:type="pct"/>
            <w:shd w:val="clear" w:color="auto" w:fill="C9D8E1"/>
            <w:noWrap/>
          </w:tcPr>
          <w:p w14:paraId="4D66B7A1"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27.39</w:t>
            </w:r>
          </w:p>
        </w:tc>
        <w:tc>
          <w:tcPr>
            <w:tcW w:w="475" w:type="pct"/>
            <w:shd w:val="clear" w:color="auto" w:fill="C9D8E1"/>
          </w:tcPr>
          <w:p w14:paraId="789F81EA"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2.13%</w:t>
            </w:r>
          </w:p>
        </w:tc>
        <w:tc>
          <w:tcPr>
            <w:tcW w:w="463" w:type="pct"/>
            <w:shd w:val="clear" w:color="auto" w:fill="C9D8E1"/>
          </w:tcPr>
          <w:p w14:paraId="1A47D377"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3.65%</w:t>
            </w:r>
          </w:p>
        </w:tc>
      </w:tr>
      <w:tr w:rsidR="00B220EF" w:rsidRPr="00ED34E3" w14:paraId="1D9E0869" w14:textId="77777777" w:rsidTr="00B220EF">
        <w:trPr>
          <w:trHeight w:val="348"/>
        </w:trPr>
        <w:tc>
          <w:tcPr>
            <w:tcW w:w="2678" w:type="pct"/>
            <w:noWrap/>
            <w:vAlign w:val="bottom"/>
          </w:tcPr>
          <w:p w14:paraId="134A880D" w14:textId="77777777" w:rsidR="00C7511A" w:rsidRPr="00ED34E3" w:rsidRDefault="00C7511A" w:rsidP="002F7E18">
            <w:pPr>
              <w:spacing w:line="240" w:lineRule="auto"/>
              <w:ind w:right="432"/>
              <w:rPr>
                <w:rFonts w:eastAsia="Arial"/>
                <w:b/>
                <w:bCs/>
                <w:i/>
                <w:iCs/>
                <w:sz w:val="18"/>
                <w:szCs w:val="18"/>
                <w:lang w:eastAsia="en-GB"/>
              </w:rPr>
            </w:pPr>
            <w:r w:rsidRPr="00ED34E3">
              <w:rPr>
                <w:i/>
                <w:iCs/>
                <w:color w:val="000000"/>
                <w:sz w:val="18"/>
                <w:szCs w:val="18"/>
              </w:rPr>
              <w:t>Agriculture, Livestock, Forestry &amp; Fishing</w:t>
            </w:r>
          </w:p>
        </w:tc>
        <w:tc>
          <w:tcPr>
            <w:tcW w:w="432" w:type="pct"/>
            <w:noWrap/>
          </w:tcPr>
          <w:p w14:paraId="2D520E0D"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22.72</w:t>
            </w:r>
          </w:p>
        </w:tc>
        <w:tc>
          <w:tcPr>
            <w:tcW w:w="475" w:type="pct"/>
            <w:noWrap/>
          </w:tcPr>
          <w:p w14:paraId="3FF1CC75"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23.05</w:t>
            </w:r>
          </w:p>
        </w:tc>
        <w:tc>
          <w:tcPr>
            <w:tcW w:w="476" w:type="pct"/>
            <w:noWrap/>
          </w:tcPr>
          <w:p w14:paraId="3A3D8623"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23.92</w:t>
            </w:r>
          </w:p>
        </w:tc>
        <w:tc>
          <w:tcPr>
            <w:tcW w:w="475" w:type="pct"/>
          </w:tcPr>
          <w:p w14:paraId="654FBA30"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1.44%</w:t>
            </w:r>
          </w:p>
        </w:tc>
        <w:tc>
          <w:tcPr>
            <w:tcW w:w="463" w:type="pct"/>
          </w:tcPr>
          <w:p w14:paraId="3EA6BC99"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3.76%</w:t>
            </w:r>
          </w:p>
        </w:tc>
      </w:tr>
      <w:tr w:rsidR="00B220EF" w:rsidRPr="00ED34E3" w14:paraId="77E5CDB7" w14:textId="77777777" w:rsidTr="00B220EF">
        <w:trPr>
          <w:trHeight w:val="348"/>
        </w:trPr>
        <w:tc>
          <w:tcPr>
            <w:tcW w:w="2678" w:type="pct"/>
            <w:noWrap/>
            <w:vAlign w:val="bottom"/>
          </w:tcPr>
          <w:p w14:paraId="52B55AEB" w14:textId="77777777" w:rsidR="00C7511A" w:rsidRPr="00ED34E3" w:rsidRDefault="00C7511A" w:rsidP="002F7E18">
            <w:pPr>
              <w:spacing w:line="240" w:lineRule="auto"/>
              <w:ind w:right="432"/>
              <w:rPr>
                <w:rFonts w:eastAsia="Arial"/>
                <w:i/>
                <w:iCs/>
                <w:sz w:val="18"/>
                <w:szCs w:val="18"/>
                <w:lang w:eastAsia="en-GB"/>
              </w:rPr>
            </w:pPr>
            <w:r w:rsidRPr="00ED34E3">
              <w:rPr>
                <w:i/>
                <w:iCs/>
                <w:color w:val="000000"/>
                <w:sz w:val="18"/>
                <w:szCs w:val="18"/>
              </w:rPr>
              <w:t>Mining &amp; Quarrying</w:t>
            </w:r>
          </w:p>
        </w:tc>
        <w:tc>
          <w:tcPr>
            <w:tcW w:w="432" w:type="pct"/>
            <w:noWrap/>
          </w:tcPr>
          <w:p w14:paraId="126DBABF"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3.15</w:t>
            </w:r>
          </w:p>
        </w:tc>
        <w:tc>
          <w:tcPr>
            <w:tcW w:w="475" w:type="pct"/>
            <w:noWrap/>
          </w:tcPr>
          <w:p w14:paraId="16A1EEE8"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3.38</w:t>
            </w:r>
          </w:p>
        </w:tc>
        <w:tc>
          <w:tcPr>
            <w:tcW w:w="476" w:type="pct"/>
            <w:noWrap/>
          </w:tcPr>
          <w:p w14:paraId="5D56F2A0"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3.47</w:t>
            </w:r>
          </w:p>
        </w:tc>
        <w:tc>
          <w:tcPr>
            <w:tcW w:w="475" w:type="pct"/>
          </w:tcPr>
          <w:p w14:paraId="6BA6D4BD"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7.09%</w:t>
            </w:r>
          </w:p>
        </w:tc>
        <w:tc>
          <w:tcPr>
            <w:tcW w:w="463" w:type="pct"/>
          </w:tcPr>
          <w:p w14:paraId="7A3C5716"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2.86%</w:t>
            </w:r>
          </w:p>
        </w:tc>
      </w:tr>
      <w:tr w:rsidR="00B220EF" w:rsidRPr="00ED34E3" w14:paraId="4FCDEBCA" w14:textId="77777777" w:rsidTr="00B220EF">
        <w:trPr>
          <w:trHeight w:val="348"/>
        </w:trPr>
        <w:tc>
          <w:tcPr>
            <w:tcW w:w="2678" w:type="pct"/>
            <w:shd w:val="clear" w:color="auto" w:fill="C9D8E1"/>
            <w:noWrap/>
            <w:vAlign w:val="bottom"/>
          </w:tcPr>
          <w:p w14:paraId="4611E6E2" w14:textId="77777777" w:rsidR="00C7511A" w:rsidRPr="00ED34E3" w:rsidRDefault="00C7511A" w:rsidP="002F7E18">
            <w:pPr>
              <w:spacing w:line="240" w:lineRule="auto"/>
              <w:ind w:right="432"/>
              <w:rPr>
                <w:rFonts w:eastAsia="Arial"/>
                <w:i/>
                <w:iCs/>
                <w:sz w:val="18"/>
                <w:szCs w:val="18"/>
                <w:lang w:eastAsia="en-GB"/>
              </w:rPr>
            </w:pPr>
            <w:r w:rsidRPr="00ED34E3">
              <w:rPr>
                <w:b/>
                <w:bCs/>
                <w:color w:val="000000"/>
                <w:sz w:val="18"/>
                <w:szCs w:val="18"/>
              </w:rPr>
              <w:t>Secondary Sector</w:t>
            </w:r>
          </w:p>
        </w:tc>
        <w:tc>
          <w:tcPr>
            <w:tcW w:w="432" w:type="pct"/>
            <w:shd w:val="clear" w:color="auto" w:fill="C9D8E1"/>
            <w:noWrap/>
          </w:tcPr>
          <w:p w14:paraId="37D33A41"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41.59</w:t>
            </w:r>
          </w:p>
        </w:tc>
        <w:tc>
          <w:tcPr>
            <w:tcW w:w="475" w:type="pct"/>
            <w:shd w:val="clear" w:color="auto" w:fill="C9D8E1"/>
            <w:noWrap/>
          </w:tcPr>
          <w:p w14:paraId="3D6E9466"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45.62</w:t>
            </w:r>
          </w:p>
        </w:tc>
        <w:tc>
          <w:tcPr>
            <w:tcW w:w="476" w:type="pct"/>
            <w:shd w:val="clear" w:color="auto" w:fill="C9D8E1"/>
            <w:noWrap/>
          </w:tcPr>
          <w:p w14:paraId="563FDD27"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48.57</w:t>
            </w:r>
          </w:p>
        </w:tc>
        <w:tc>
          <w:tcPr>
            <w:tcW w:w="475" w:type="pct"/>
            <w:shd w:val="clear" w:color="auto" w:fill="C9D8E1"/>
          </w:tcPr>
          <w:p w14:paraId="6B1401AC"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9.69%</w:t>
            </w:r>
          </w:p>
        </w:tc>
        <w:tc>
          <w:tcPr>
            <w:tcW w:w="463" w:type="pct"/>
            <w:shd w:val="clear" w:color="auto" w:fill="C9D8E1"/>
          </w:tcPr>
          <w:p w14:paraId="799121E3"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6.47%</w:t>
            </w:r>
          </w:p>
        </w:tc>
      </w:tr>
      <w:tr w:rsidR="00B220EF" w:rsidRPr="00ED34E3" w14:paraId="0E0D980B" w14:textId="77777777" w:rsidTr="00B220EF">
        <w:trPr>
          <w:trHeight w:val="348"/>
        </w:trPr>
        <w:tc>
          <w:tcPr>
            <w:tcW w:w="2678" w:type="pct"/>
            <w:noWrap/>
            <w:vAlign w:val="bottom"/>
          </w:tcPr>
          <w:p w14:paraId="29DB74A2"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Manufacturing</w:t>
            </w:r>
          </w:p>
        </w:tc>
        <w:tc>
          <w:tcPr>
            <w:tcW w:w="432" w:type="pct"/>
            <w:noWrap/>
          </w:tcPr>
          <w:p w14:paraId="631632EE"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25.05</w:t>
            </w:r>
          </w:p>
        </w:tc>
        <w:tc>
          <w:tcPr>
            <w:tcW w:w="475" w:type="pct"/>
            <w:noWrap/>
          </w:tcPr>
          <w:p w14:paraId="65ACCA9F"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27.52</w:t>
            </w:r>
          </w:p>
        </w:tc>
        <w:tc>
          <w:tcPr>
            <w:tcW w:w="476" w:type="pct"/>
            <w:noWrap/>
          </w:tcPr>
          <w:p w14:paraId="30E620C3"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28.98</w:t>
            </w:r>
          </w:p>
        </w:tc>
        <w:tc>
          <w:tcPr>
            <w:tcW w:w="475" w:type="pct"/>
          </w:tcPr>
          <w:p w14:paraId="07839B01"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9.86%</w:t>
            </w:r>
          </w:p>
        </w:tc>
        <w:tc>
          <w:tcPr>
            <w:tcW w:w="463" w:type="pct"/>
          </w:tcPr>
          <w:p w14:paraId="5EDE37C0"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5.32%</w:t>
            </w:r>
          </w:p>
        </w:tc>
      </w:tr>
      <w:tr w:rsidR="00B220EF" w:rsidRPr="00ED34E3" w14:paraId="362D7D68" w14:textId="77777777" w:rsidTr="00B220EF">
        <w:trPr>
          <w:trHeight w:val="348"/>
        </w:trPr>
        <w:tc>
          <w:tcPr>
            <w:tcW w:w="2678" w:type="pct"/>
            <w:noWrap/>
            <w:vAlign w:val="bottom"/>
          </w:tcPr>
          <w:p w14:paraId="3A8EA8ED" w14:textId="77777777" w:rsidR="00C7511A" w:rsidRPr="00ED34E3" w:rsidRDefault="00C7511A" w:rsidP="002F7E18">
            <w:pPr>
              <w:spacing w:line="240" w:lineRule="auto"/>
              <w:ind w:right="432"/>
              <w:rPr>
                <w:rFonts w:eastAsia="Arial"/>
                <w:b/>
                <w:bCs/>
                <w:i/>
                <w:iCs/>
                <w:sz w:val="18"/>
                <w:szCs w:val="18"/>
              </w:rPr>
            </w:pPr>
            <w:r w:rsidRPr="00ED34E3">
              <w:rPr>
                <w:i/>
                <w:iCs/>
                <w:color w:val="000000"/>
                <w:sz w:val="18"/>
                <w:szCs w:val="18"/>
              </w:rPr>
              <w:t>Electricity, Gas, Water Supply &amp; Other Utility Services</w:t>
            </w:r>
          </w:p>
        </w:tc>
        <w:tc>
          <w:tcPr>
            <w:tcW w:w="432" w:type="pct"/>
            <w:noWrap/>
          </w:tcPr>
          <w:p w14:paraId="0DF35827"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3.48</w:t>
            </w:r>
          </w:p>
        </w:tc>
        <w:tc>
          <w:tcPr>
            <w:tcW w:w="475" w:type="pct"/>
            <w:noWrap/>
          </w:tcPr>
          <w:p w14:paraId="4B8991A8"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3.74</w:t>
            </w:r>
          </w:p>
        </w:tc>
        <w:tc>
          <w:tcPr>
            <w:tcW w:w="476" w:type="pct"/>
            <w:noWrap/>
          </w:tcPr>
          <w:p w14:paraId="77A5AA6D"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4.00</w:t>
            </w:r>
          </w:p>
        </w:tc>
        <w:tc>
          <w:tcPr>
            <w:tcW w:w="475" w:type="pct"/>
          </w:tcPr>
          <w:p w14:paraId="298813FB"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7.53%</w:t>
            </w:r>
          </w:p>
        </w:tc>
        <w:tc>
          <w:tcPr>
            <w:tcW w:w="463" w:type="pct"/>
          </w:tcPr>
          <w:p w14:paraId="64734BBD"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6.84%</w:t>
            </w:r>
          </w:p>
        </w:tc>
      </w:tr>
      <w:tr w:rsidR="00B220EF" w:rsidRPr="00ED34E3" w14:paraId="23790686" w14:textId="77777777" w:rsidTr="00B220EF">
        <w:trPr>
          <w:trHeight w:val="348"/>
        </w:trPr>
        <w:tc>
          <w:tcPr>
            <w:tcW w:w="2678" w:type="pct"/>
            <w:noWrap/>
            <w:vAlign w:val="bottom"/>
          </w:tcPr>
          <w:p w14:paraId="0A30E044"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Construction</w:t>
            </w:r>
          </w:p>
        </w:tc>
        <w:tc>
          <w:tcPr>
            <w:tcW w:w="432" w:type="pct"/>
            <w:noWrap/>
          </w:tcPr>
          <w:p w14:paraId="1018503F"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13.06</w:t>
            </w:r>
          </w:p>
        </w:tc>
        <w:tc>
          <w:tcPr>
            <w:tcW w:w="475" w:type="pct"/>
            <w:noWrap/>
          </w:tcPr>
          <w:p w14:paraId="0FCB3591"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14.36</w:t>
            </w:r>
          </w:p>
        </w:tc>
        <w:tc>
          <w:tcPr>
            <w:tcW w:w="476" w:type="pct"/>
            <w:noWrap/>
          </w:tcPr>
          <w:p w14:paraId="01D2A364"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15.59</w:t>
            </w:r>
          </w:p>
        </w:tc>
        <w:tc>
          <w:tcPr>
            <w:tcW w:w="475" w:type="pct"/>
          </w:tcPr>
          <w:p w14:paraId="08D2F126"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9.94%</w:t>
            </w:r>
          </w:p>
        </w:tc>
        <w:tc>
          <w:tcPr>
            <w:tcW w:w="463" w:type="pct"/>
          </w:tcPr>
          <w:p w14:paraId="1F79ECAA"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8.57%</w:t>
            </w:r>
          </w:p>
        </w:tc>
      </w:tr>
      <w:tr w:rsidR="00B220EF" w:rsidRPr="00ED34E3" w14:paraId="51B7D5B8" w14:textId="77777777" w:rsidTr="00B220EF">
        <w:trPr>
          <w:trHeight w:val="348"/>
        </w:trPr>
        <w:tc>
          <w:tcPr>
            <w:tcW w:w="2678" w:type="pct"/>
            <w:shd w:val="clear" w:color="auto" w:fill="C9D8E1"/>
            <w:noWrap/>
            <w:vAlign w:val="bottom"/>
          </w:tcPr>
          <w:p w14:paraId="74FC05ED" w14:textId="77777777" w:rsidR="00C7511A" w:rsidRPr="00ED34E3" w:rsidRDefault="00C7511A" w:rsidP="002F7E18">
            <w:pPr>
              <w:spacing w:line="240" w:lineRule="auto"/>
              <w:ind w:right="432"/>
              <w:rPr>
                <w:rFonts w:eastAsia="Arial"/>
                <w:i/>
                <w:iCs/>
                <w:sz w:val="18"/>
                <w:szCs w:val="18"/>
              </w:rPr>
            </w:pPr>
            <w:r w:rsidRPr="00ED34E3">
              <w:rPr>
                <w:b/>
                <w:bCs/>
                <w:color w:val="000000"/>
                <w:sz w:val="18"/>
                <w:szCs w:val="18"/>
              </w:rPr>
              <w:t>Tertiary Sector</w:t>
            </w:r>
          </w:p>
        </w:tc>
        <w:tc>
          <w:tcPr>
            <w:tcW w:w="432" w:type="pct"/>
            <w:shd w:val="clear" w:color="auto" w:fill="C9D8E1"/>
            <w:noWrap/>
          </w:tcPr>
          <w:p w14:paraId="037C42FC"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80.59</w:t>
            </w:r>
          </w:p>
        </w:tc>
        <w:tc>
          <w:tcPr>
            <w:tcW w:w="475" w:type="pct"/>
            <w:shd w:val="clear" w:color="auto" w:fill="C9D8E1"/>
            <w:noWrap/>
          </w:tcPr>
          <w:p w14:paraId="51226C60"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86.69</w:t>
            </w:r>
          </w:p>
        </w:tc>
        <w:tc>
          <w:tcPr>
            <w:tcW w:w="476" w:type="pct"/>
            <w:shd w:val="clear" w:color="auto" w:fill="C9D8E1"/>
            <w:noWrap/>
          </w:tcPr>
          <w:p w14:paraId="30A48CDF" w14:textId="77777777" w:rsidR="00C7511A" w:rsidRPr="00ED34E3" w:rsidRDefault="00C7511A" w:rsidP="00662938">
            <w:pPr>
              <w:spacing w:line="240" w:lineRule="auto"/>
              <w:ind w:right="-105"/>
              <w:jc w:val="center"/>
              <w:rPr>
                <w:rFonts w:eastAsia="Arial"/>
                <w:b/>
                <w:bCs/>
                <w:color w:val="000000"/>
                <w:sz w:val="18"/>
                <w:szCs w:val="18"/>
              </w:rPr>
            </w:pPr>
            <w:r w:rsidRPr="00ED34E3">
              <w:rPr>
                <w:rFonts w:eastAsia="Arial"/>
                <w:b/>
                <w:bCs/>
                <w:color w:val="000000"/>
                <w:sz w:val="18"/>
                <w:szCs w:val="18"/>
              </w:rPr>
              <w:t>92.95</w:t>
            </w:r>
          </w:p>
        </w:tc>
        <w:tc>
          <w:tcPr>
            <w:tcW w:w="475" w:type="pct"/>
            <w:shd w:val="clear" w:color="auto" w:fill="C9D8E1"/>
          </w:tcPr>
          <w:p w14:paraId="33BD135D"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7.58%</w:t>
            </w:r>
          </w:p>
        </w:tc>
        <w:tc>
          <w:tcPr>
            <w:tcW w:w="463" w:type="pct"/>
            <w:shd w:val="clear" w:color="auto" w:fill="C9D8E1"/>
          </w:tcPr>
          <w:p w14:paraId="779CB425"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7.22%</w:t>
            </w:r>
          </w:p>
        </w:tc>
      </w:tr>
      <w:tr w:rsidR="00B220EF" w:rsidRPr="00ED34E3" w14:paraId="185FC9B4" w14:textId="77777777" w:rsidTr="00B220EF">
        <w:trPr>
          <w:trHeight w:val="348"/>
        </w:trPr>
        <w:tc>
          <w:tcPr>
            <w:tcW w:w="2678" w:type="pct"/>
            <w:noWrap/>
            <w:vAlign w:val="bottom"/>
          </w:tcPr>
          <w:p w14:paraId="148ECB70"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Trade, Hotel, Transport, Communication &amp; Service related to Broadcasting</w:t>
            </w:r>
          </w:p>
        </w:tc>
        <w:tc>
          <w:tcPr>
            <w:tcW w:w="432" w:type="pct"/>
            <w:noWrap/>
          </w:tcPr>
          <w:p w14:paraId="451F4820"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27.78</w:t>
            </w:r>
          </w:p>
        </w:tc>
        <w:tc>
          <w:tcPr>
            <w:tcW w:w="475" w:type="pct"/>
            <w:noWrap/>
          </w:tcPr>
          <w:p w14:paraId="5C1ED58E"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29.56</w:t>
            </w:r>
          </w:p>
        </w:tc>
        <w:tc>
          <w:tcPr>
            <w:tcW w:w="476" w:type="pct"/>
            <w:noWrap/>
          </w:tcPr>
          <w:p w14:paraId="25F391F0"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31.29</w:t>
            </w:r>
          </w:p>
        </w:tc>
        <w:tc>
          <w:tcPr>
            <w:tcW w:w="475" w:type="pct"/>
          </w:tcPr>
          <w:p w14:paraId="0C326681"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6.41%</w:t>
            </w:r>
          </w:p>
        </w:tc>
        <w:tc>
          <w:tcPr>
            <w:tcW w:w="463" w:type="pct"/>
          </w:tcPr>
          <w:p w14:paraId="04930CD4"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5.85%</w:t>
            </w:r>
          </w:p>
        </w:tc>
      </w:tr>
      <w:tr w:rsidR="00B220EF" w:rsidRPr="00ED34E3" w14:paraId="2093F88F" w14:textId="77777777" w:rsidTr="00B220EF">
        <w:trPr>
          <w:trHeight w:val="348"/>
        </w:trPr>
        <w:tc>
          <w:tcPr>
            <w:tcW w:w="2678" w:type="pct"/>
            <w:noWrap/>
            <w:vAlign w:val="bottom"/>
          </w:tcPr>
          <w:p w14:paraId="2DC9CA12"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Financial, Real Estate &amp; Professional Services</w:t>
            </w:r>
          </w:p>
        </w:tc>
        <w:tc>
          <w:tcPr>
            <w:tcW w:w="432" w:type="pct"/>
            <w:noWrap/>
          </w:tcPr>
          <w:p w14:paraId="3159D98D"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34.05</w:t>
            </w:r>
          </w:p>
        </w:tc>
        <w:tc>
          <w:tcPr>
            <w:tcW w:w="475" w:type="pct"/>
            <w:noWrap/>
          </w:tcPr>
          <w:p w14:paraId="5EFBB4DC"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36.92</w:t>
            </w:r>
          </w:p>
        </w:tc>
        <w:tc>
          <w:tcPr>
            <w:tcW w:w="476" w:type="pct"/>
            <w:noWrap/>
          </w:tcPr>
          <w:p w14:paraId="7956566D"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39.60</w:t>
            </w:r>
          </w:p>
        </w:tc>
        <w:tc>
          <w:tcPr>
            <w:tcW w:w="475" w:type="pct"/>
          </w:tcPr>
          <w:p w14:paraId="003E9321"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8.40%</w:t>
            </w:r>
          </w:p>
        </w:tc>
        <w:tc>
          <w:tcPr>
            <w:tcW w:w="463" w:type="pct"/>
          </w:tcPr>
          <w:p w14:paraId="7B9F1274"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7.28%</w:t>
            </w:r>
          </w:p>
        </w:tc>
      </w:tr>
      <w:tr w:rsidR="00B220EF" w:rsidRPr="00ED34E3" w14:paraId="0A8CF0C0" w14:textId="77777777" w:rsidTr="00B220EF">
        <w:trPr>
          <w:trHeight w:val="348"/>
        </w:trPr>
        <w:tc>
          <w:tcPr>
            <w:tcW w:w="2678" w:type="pct"/>
            <w:shd w:val="clear" w:color="auto" w:fill="auto"/>
            <w:noWrap/>
            <w:vAlign w:val="bottom"/>
          </w:tcPr>
          <w:p w14:paraId="67B356F2"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Public Administration, Defence &amp; Other Services*</w:t>
            </w:r>
          </w:p>
        </w:tc>
        <w:tc>
          <w:tcPr>
            <w:tcW w:w="432" w:type="pct"/>
            <w:shd w:val="clear" w:color="auto" w:fill="auto"/>
            <w:noWrap/>
          </w:tcPr>
          <w:p w14:paraId="661B6950"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18.75</w:t>
            </w:r>
          </w:p>
        </w:tc>
        <w:tc>
          <w:tcPr>
            <w:tcW w:w="475" w:type="pct"/>
            <w:shd w:val="clear" w:color="auto" w:fill="auto"/>
            <w:noWrap/>
          </w:tcPr>
          <w:p w14:paraId="44A41561"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20.22</w:t>
            </w:r>
          </w:p>
        </w:tc>
        <w:tc>
          <w:tcPr>
            <w:tcW w:w="476" w:type="pct"/>
            <w:shd w:val="clear" w:color="auto" w:fill="auto"/>
            <w:noWrap/>
          </w:tcPr>
          <w:p w14:paraId="65D4F29E" w14:textId="77777777" w:rsidR="00C7511A" w:rsidRPr="00ED34E3" w:rsidRDefault="00C7511A" w:rsidP="00662938">
            <w:pPr>
              <w:spacing w:line="240" w:lineRule="auto"/>
              <w:ind w:right="-105"/>
              <w:jc w:val="center"/>
              <w:rPr>
                <w:rFonts w:eastAsia="Arial"/>
                <w:i/>
                <w:iCs/>
                <w:color w:val="000000"/>
                <w:sz w:val="18"/>
                <w:szCs w:val="18"/>
              </w:rPr>
            </w:pPr>
            <w:r w:rsidRPr="00ED34E3">
              <w:rPr>
                <w:rFonts w:eastAsia="Arial"/>
                <w:i/>
                <w:iCs/>
                <w:color w:val="000000"/>
                <w:sz w:val="18"/>
                <w:szCs w:val="18"/>
              </w:rPr>
              <w:t>22.06</w:t>
            </w:r>
          </w:p>
        </w:tc>
        <w:tc>
          <w:tcPr>
            <w:tcW w:w="475" w:type="pct"/>
          </w:tcPr>
          <w:p w14:paraId="356C8312"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7.81%</w:t>
            </w:r>
          </w:p>
        </w:tc>
        <w:tc>
          <w:tcPr>
            <w:tcW w:w="463" w:type="pct"/>
          </w:tcPr>
          <w:p w14:paraId="1EED240E" w14:textId="77777777" w:rsidR="00C7511A" w:rsidRPr="00ED34E3" w:rsidRDefault="00C7511A" w:rsidP="00662938">
            <w:pPr>
              <w:spacing w:line="240" w:lineRule="auto"/>
              <w:ind w:left="-104" w:right="-134"/>
              <w:jc w:val="center"/>
              <w:rPr>
                <w:rFonts w:eastAsia="Arial"/>
                <w:color w:val="000000"/>
                <w:sz w:val="18"/>
                <w:szCs w:val="18"/>
              </w:rPr>
            </w:pPr>
            <w:r w:rsidRPr="00ED34E3">
              <w:rPr>
                <w:rFonts w:eastAsia="Arial"/>
                <w:color w:val="000000"/>
                <w:sz w:val="18"/>
                <w:szCs w:val="18"/>
              </w:rPr>
              <w:t>9.13%</w:t>
            </w:r>
          </w:p>
        </w:tc>
      </w:tr>
      <w:tr w:rsidR="00B220EF" w:rsidRPr="00ED34E3" w14:paraId="5E04F09B" w14:textId="77777777" w:rsidTr="00B220EF">
        <w:trPr>
          <w:trHeight w:val="348"/>
        </w:trPr>
        <w:tc>
          <w:tcPr>
            <w:tcW w:w="2678" w:type="pct"/>
            <w:shd w:val="clear" w:color="auto" w:fill="D0D2D3"/>
            <w:noWrap/>
            <w:vAlign w:val="bottom"/>
          </w:tcPr>
          <w:p w14:paraId="5BFCAA0C" w14:textId="77777777" w:rsidR="00C7511A" w:rsidRPr="00ED34E3" w:rsidRDefault="00C7511A" w:rsidP="002F7E18">
            <w:pPr>
              <w:spacing w:line="240" w:lineRule="auto"/>
              <w:ind w:right="432"/>
              <w:rPr>
                <w:rFonts w:eastAsia="Arial"/>
                <w:b/>
                <w:bCs/>
                <w:sz w:val="18"/>
                <w:szCs w:val="18"/>
              </w:rPr>
            </w:pPr>
            <w:r w:rsidRPr="00ED34E3">
              <w:rPr>
                <w:b/>
                <w:bCs/>
                <w:color w:val="000000"/>
                <w:sz w:val="18"/>
                <w:szCs w:val="18"/>
              </w:rPr>
              <w:t>GVA at Basic Prices</w:t>
            </w:r>
          </w:p>
        </w:tc>
        <w:tc>
          <w:tcPr>
            <w:tcW w:w="432" w:type="pct"/>
            <w:shd w:val="clear" w:color="auto" w:fill="D0D2D3"/>
            <w:noWrap/>
          </w:tcPr>
          <w:p w14:paraId="07148653" w14:textId="77777777" w:rsidR="00C7511A" w:rsidRPr="00ED34E3" w:rsidRDefault="00C7511A" w:rsidP="00662938">
            <w:pPr>
              <w:spacing w:line="240" w:lineRule="auto"/>
              <w:ind w:right="-105"/>
              <w:jc w:val="center"/>
              <w:rPr>
                <w:rFonts w:eastAsia="Arial"/>
                <w:b/>
                <w:bCs/>
                <w:color w:val="auto"/>
                <w:sz w:val="18"/>
                <w:szCs w:val="18"/>
              </w:rPr>
            </w:pPr>
            <w:r w:rsidRPr="00ED34E3">
              <w:rPr>
                <w:rFonts w:eastAsia="Arial"/>
                <w:b/>
                <w:bCs/>
                <w:color w:val="auto"/>
                <w:sz w:val="18"/>
                <w:szCs w:val="18"/>
              </w:rPr>
              <w:t>148.05</w:t>
            </w:r>
          </w:p>
        </w:tc>
        <w:tc>
          <w:tcPr>
            <w:tcW w:w="475" w:type="pct"/>
            <w:shd w:val="clear" w:color="auto" w:fill="D0D2D3"/>
            <w:noWrap/>
            <w:vAlign w:val="center"/>
          </w:tcPr>
          <w:p w14:paraId="3971CA36" w14:textId="77777777" w:rsidR="00C7511A" w:rsidRPr="00ED34E3" w:rsidRDefault="00C7511A" w:rsidP="00662938">
            <w:pPr>
              <w:spacing w:line="240" w:lineRule="auto"/>
              <w:ind w:right="-105"/>
              <w:jc w:val="center"/>
              <w:rPr>
                <w:rFonts w:eastAsia="Arial"/>
                <w:b/>
                <w:bCs/>
                <w:color w:val="auto"/>
                <w:sz w:val="17"/>
                <w:szCs w:val="17"/>
              </w:rPr>
            </w:pPr>
            <w:r w:rsidRPr="00ED34E3">
              <w:rPr>
                <w:rFonts w:eastAsia="Arial"/>
                <w:b/>
                <w:bCs/>
                <w:color w:val="auto"/>
                <w:sz w:val="17"/>
                <w:szCs w:val="17"/>
              </w:rPr>
              <w:t>158.74</w:t>
            </w:r>
          </w:p>
        </w:tc>
        <w:tc>
          <w:tcPr>
            <w:tcW w:w="476" w:type="pct"/>
            <w:shd w:val="clear" w:color="auto" w:fill="D0D2D3"/>
            <w:noWrap/>
            <w:vAlign w:val="center"/>
          </w:tcPr>
          <w:p w14:paraId="5D674BF6" w14:textId="77777777" w:rsidR="00C7511A" w:rsidRPr="00ED34E3" w:rsidRDefault="00C7511A" w:rsidP="00662938">
            <w:pPr>
              <w:spacing w:line="240" w:lineRule="auto"/>
              <w:ind w:right="-105"/>
              <w:jc w:val="center"/>
              <w:rPr>
                <w:rFonts w:eastAsia="Arial"/>
                <w:b/>
                <w:bCs/>
                <w:color w:val="auto"/>
                <w:sz w:val="17"/>
                <w:szCs w:val="17"/>
              </w:rPr>
            </w:pPr>
            <w:r w:rsidRPr="00ED34E3">
              <w:rPr>
                <w:rFonts w:eastAsia="Arial"/>
                <w:b/>
                <w:bCs/>
                <w:color w:val="auto"/>
                <w:sz w:val="17"/>
                <w:szCs w:val="17"/>
              </w:rPr>
              <w:t>168.91</w:t>
            </w:r>
          </w:p>
        </w:tc>
        <w:tc>
          <w:tcPr>
            <w:tcW w:w="475" w:type="pct"/>
            <w:shd w:val="clear" w:color="auto" w:fill="D0D2D3"/>
          </w:tcPr>
          <w:p w14:paraId="5EDA0E1B"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7.22%</w:t>
            </w:r>
          </w:p>
        </w:tc>
        <w:tc>
          <w:tcPr>
            <w:tcW w:w="463" w:type="pct"/>
            <w:shd w:val="clear" w:color="auto" w:fill="D0D2D3"/>
          </w:tcPr>
          <w:p w14:paraId="6E5C17AB" w14:textId="77777777" w:rsidR="00C7511A" w:rsidRPr="00ED34E3" w:rsidRDefault="00C7511A" w:rsidP="00662938">
            <w:pPr>
              <w:spacing w:line="240" w:lineRule="auto"/>
              <w:ind w:left="-104" w:right="-134"/>
              <w:jc w:val="center"/>
              <w:rPr>
                <w:rFonts w:eastAsia="Arial"/>
                <w:b/>
                <w:bCs/>
                <w:color w:val="000000"/>
                <w:sz w:val="18"/>
                <w:szCs w:val="18"/>
              </w:rPr>
            </w:pPr>
            <w:r w:rsidRPr="00ED34E3">
              <w:rPr>
                <w:rFonts w:eastAsia="Arial"/>
                <w:b/>
                <w:bCs/>
                <w:color w:val="000000"/>
                <w:sz w:val="18"/>
                <w:szCs w:val="18"/>
              </w:rPr>
              <w:t>6.41%</w:t>
            </w:r>
          </w:p>
        </w:tc>
      </w:tr>
    </w:tbl>
    <w:p w14:paraId="5DE201AD" w14:textId="35560F98" w:rsidR="00C7511A" w:rsidRPr="00A658F8" w:rsidRDefault="00C7511A" w:rsidP="00A658F8">
      <w:pPr>
        <w:tabs>
          <w:tab w:val="center" w:pos="4680"/>
          <w:tab w:val="right" w:pos="9720"/>
        </w:tabs>
        <w:spacing w:before="160" w:after="120" w:line="240" w:lineRule="auto"/>
        <w:ind w:right="432"/>
        <w:rPr>
          <w:rFonts w:eastAsiaTheme="minorEastAsia"/>
          <w:i/>
          <w:sz w:val="16"/>
          <w:szCs w:val="15"/>
        </w:rPr>
      </w:pPr>
      <w:r w:rsidRPr="00CD0657">
        <w:rPr>
          <w:rFonts w:eastAsiaTheme="minorEastAsia"/>
          <w:i/>
          <w:sz w:val="16"/>
          <w:szCs w:val="15"/>
        </w:rPr>
        <w:t xml:space="preserve">Source: RBI – Handbook of Statistics on the Economy 2022-23, Crisil Intelligence; 2024 data estimates (Provisional by NSO India), </w:t>
      </w:r>
      <w:hyperlink r:id="rId15" w:tgtFrame="_blank" w:tooltip="https://www.pib.gov.in/pressreleasepage.aspx?prid=2090875" w:history="1">
        <w:r w:rsidR="00276677" w:rsidRPr="00662938">
          <w:rPr>
            <w:rStyle w:val="Hyperlink"/>
            <w:rFonts w:eastAsiaTheme="minorEastAsia"/>
            <w:i/>
            <w:color w:val="auto"/>
            <w:sz w:val="16"/>
            <w:szCs w:val="15"/>
          </w:rPr>
          <w:t>https://www.pib.gov.in/PressReleasePage.aspx?PRID=2090875</w:t>
        </w:r>
      </w:hyperlink>
      <w:r w:rsidR="00276677" w:rsidRPr="00662938">
        <w:rPr>
          <w:rFonts w:eastAsiaTheme="minorEastAsia"/>
          <w:i/>
          <w:color w:val="auto"/>
          <w:sz w:val="16"/>
          <w:szCs w:val="15"/>
        </w:rPr>
        <w:t>;</w:t>
      </w:r>
      <w:r w:rsidR="00276677">
        <w:rPr>
          <w:rFonts w:eastAsiaTheme="minorEastAsia"/>
          <w:i/>
          <w:sz w:val="16"/>
          <w:szCs w:val="15"/>
        </w:rPr>
        <w:t xml:space="preserve"> </w:t>
      </w:r>
      <w:r w:rsidRPr="00CD0657">
        <w:rPr>
          <w:rFonts w:eastAsiaTheme="minorEastAsia"/>
          <w:i/>
          <w:sz w:val="16"/>
          <w:szCs w:val="15"/>
        </w:rPr>
        <w:t>All years are fiscal years</w:t>
      </w:r>
      <w:r>
        <w:rPr>
          <w:rFonts w:eastAsiaTheme="minorEastAsia"/>
          <w:i/>
          <w:sz w:val="16"/>
          <w:szCs w:val="15"/>
        </w:rPr>
        <w:t>, F:</w:t>
      </w:r>
      <w:r w:rsidR="00A658F8" w:rsidRPr="00B6388F">
        <w:rPr>
          <w:rStyle w:val="SourceChar"/>
        </w:rPr>
        <w:t xml:space="preserve"> Forecasted</w:t>
      </w:r>
      <w:r w:rsidR="00A658F8">
        <w:rPr>
          <w:szCs w:val="20"/>
        </w:rPr>
        <w:t xml:space="preserve"> </w:t>
      </w:r>
    </w:p>
    <w:p w14:paraId="42672F60" w14:textId="6186C290" w:rsidR="00C7511A" w:rsidRPr="00C409C5" w:rsidRDefault="00C7511A" w:rsidP="00C7511A">
      <w:pPr>
        <w:keepNext/>
        <w:keepLines/>
        <w:spacing w:before="160" w:line="276" w:lineRule="auto"/>
        <w:ind w:right="112"/>
        <w:rPr>
          <w:rFonts w:eastAsia="Times New Roman" w:cs="Book Antiqua"/>
          <w:b/>
          <w:bCs/>
          <w:kern w:val="0"/>
          <w:szCs w:val="20"/>
          <w:lang w:val="en-GB" w:eastAsia="en-IN"/>
          <w14:ligatures w14:val="none"/>
        </w:rPr>
      </w:pPr>
      <w:bookmarkStart w:id="93" w:name="_Toc192073630"/>
      <w:bookmarkStart w:id="94" w:name="_Toc192153654"/>
      <w:bookmarkStart w:id="95" w:name="_Toc192195281"/>
      <w:bookmarkStart w:id="96" w:name="_Toc198731454"/>
      <w:r w:rsidRPr="00C409C5">
        <w:rPr>
          <w:rFonts w:eastAsia="Times New Roman" w:cs="Book Antiqua"/>
          <w:b/>
          <w:bCs/>
          <w:kern w:val="0"/>
          <w:szCs w:val="20"/>
          <w:lang w:val="en-GB" w:eastAsia="en-IN"/>
          <w14:ligatures w14:val="none"/>
        </w:rPr>
        <w:t xml:space="preserve">Table </w:t>
      </w:r>
      <w:r w:rsidRPr="00C409C5">
        <w:rPr>
          <w:rFonts w:eastAsia="Times New Roman" w:cs="Book Antiqua"/>
          <w:b/>
          <w:bCs/>
          <w:kern w:val="0"/>
          <w:szCs w:val="20"/>
          <w:lang w:val="en-GB" w:eastAsia="en-IN"/>
          <w14:ligatures w14:val="none"/>
        </w:rPr>
        <w:fldChar w:fldCharType="begin"/>
      </w:r>
      <w:r w:rsidRPr="00C409C5">
        <w:rPr>
          <w:rFonts w:eastAsia="Times New Roman" w:cs="Book Antiqua"/>
          <w:b/>
          <w:bCs/>
          <w:kern w:val="0"/>
          <w:szCs w:val="20"/>
          <w:lang w:val="en-GB" w:eastAsia="en-IN"/>
          <w14:ligatures w14:val="none"/>
        </w:rPr>
        <w:instrText xml:space="preserve"> STYLEREF 1 \s </w:instrText>
      </w:r>
      <w:r w:rsidRPr="00C409C5">
        <w:rPr>
          <w:rFonts w:eastAsia="Times New Roman" w:cs="Book Antiqua"/>
          <w:b/>
          <w:bCs/>
          <w:kern w:val="0"/>
          <w:szCs w:val="20"/>
          <w:lang w:val="en-GB" w:eastAsia="en-IN"/>
          <w14:ligatures w14:val="none"/>
        </w:rPr>
        <w:fldChar w:fldCharType="separate"/>
      </w:r>
      <w:r w:rsidR="002142B9">
        <w:rPr>
          <w:rFonts w:eastAsia="Times New Roman" w:cs="Book Antiqua"/>
          <w:b/>
          <w:bCs/>
          <w:noProof/>
          <w:kern w:val="0"/>
          <w:szCs w:val="20"/>
          <w:lang w:val="en-GB" w:eastAsia="en-IN"/>
          <w14:ligatures w14:val="none"/>
        </w:rPr>
        <w:t>1</w:t>
      </w:r>
      <w:r w:rsidRPr="00C409C5">
        <w:rPr>
          <w:rFonts w:eastAsia="Times New Roman" w:cs="Book Antiqua"/>
          <w:b/>
          <w:bCs/>
          <w:kern w:val="0"/>
          <w:szCs w:val="20"/>
          <w:lang w:val="en-GB" w:eastAsia="en-IN"/>
          <w14:ligatures w14:val="none"/>
        </w:rPr>
        <w:fldChar w:fldCharType="end"/>
      </w:r>
      <w:r w:rsidRPr="00C409C5">
        <w:rPr>
          <w:rFonts w:eastAsia="Times New Roman" w:cs="Book Antiqua"/>
          <w:b/>
          <w:bCs/>
          <w:kern w:val="0"/>
          <w:szCs w:val="20"/>
          <w:lang w:val="en-GB" w:eastAsia="en-IN"/>
          <w14:ligatures w14:val="none"/>
        </w:rPr>
        <w:t>.</w:t>
      </w:r>
      <w:r w:rsidRPr="00C409C5">
        <w:rPr>
          <w:rFonts w:eastAsia="Times New Roman" w:cs="Book Antiqua"/>
          <w:b/>
          <w:bCs/>
          <w:kern w:val="0"/>
          <w:szCs w:val="20"/>
          <w:lang w:val="en-GB" w:eastAsia="en-IN"/>
          <w14:ligatures w14:val="none"/>
        </w:rPr>
        <w:fldChar w:fldCharType="begin"/>
      </w:r>
      <w:r w:rsidRPr="00C409C5">
        <w:rPr>
          <w:rFonts w:eastAsia="Times New Roman" w:cs="Book Antiqua"/>
          <w:b/>
          <w:bCs/>
          <w:kern w:val="0"/>
          <w:szCs w:val="20"/>
          <w:lang w:val="en-GB" w:eastAsia="en-IN"/>
          <w14:ligatures w14:val="none"/>
        </w:rPr>
        <w:instrText xml:space="preserve"> SEQ Table \* ARABIC \s 1 </w:instrText>
      </w:r>
      <w:r w:rsidRPr="00C409C5">
        <w:rPr>
          <w:rFonts w:eastAsia="Times New Roman" w:cs="Book Antiqua"/>
          <w:b/>
          <w:bCs/>
          <w:kern w:val="0"/>
          <w:szCs w:val="20"/>
          <w:lang w:val="en-GB" w:eastAsia="en-IN"/>
          <w14:ligatures w14:val="none"/>
        </w:rPr>
        <w:fldChar w:fldCharType="separate"/>
      </w:r>
      <w:r w:rsidR="002142B9">
        <w:rPr>
          <w:rFonts w:eastAsia="Times New Roman" w:cs="Book Antiqua"/>
          <w:b/>
          <w:bCs/>
          <w:noProof/>
          <w:kern w:val="0"/>
          <w:szCs w:val="20"/>
          <w:lang w:val="en-GB" w:eastAsia="en-IN"/>
          <w14:ligatures w14:val="none"/>
        </w:rPr>
        <w:t>6</w:t>
      </w:r>
      <w:r w:rsidRPr="00C409C5">
        <w:rPr>
          <w:rFonts w:eastAsia="Times New Roman" w:cs="Book Antiqua"/>
          <w:b/>
          <w:bCs/>
          <w:kern w:val="0"/>
          <w:szCs w:val="20"/>
          <w:lang w:val="en-GB" w:eastAsia="en-IN"/>
          <w14:ligatures w14:val="none"/>
        </w:rPr>
        <w:fldChar w:fldCharType="end"/>
      </w:r>
      <w:r w:rsidRPr="00C409C5">
        <w:rPr>
          <w:rFonts w:eastAsia="Times New Roman" w:cs="Book Antiqua"/>
          <w:b/>
          <w:bCs/>
          <w:kern w:val="0"/>
          <w:szCs w:val="20"/>
          <w:lang w:val="en-GB" w:eastAsia="en-IN"/>
          <w14:ligatures w14:val="none"/>
        </w:rPr>
        <w:t>: Gross value added (GVA) at basic prices (base year: fiscal 2012) current prices (Rs trillion)</w:t>
      </w:r>
      <w:bookmarkEnd w:id="93"/>
      <w:bookmarkEnd w:id="94"/>
      <w:bookmarkEnd w:id="95"/>
      <w:bookmarkEnd w:id="96"/>
    </w:p>
    <w:tbl>
      <w:tblPr>
        <w:tblStyle w:val="TableGrid"/>
        <w:tblW w:w="4947" w:type="pct"/>
        <w:tblLayout w:type="fixed"/>
        <w:tblLook w:val="04A0" w:firstRow="1" w:lastRow="0" w:firstColumn="1" w:lastColumn="0" w:noHBand="0" w:noVBand="1"/>
      </w:tblPr>
      <w:tblGrid>
        <w:gridCol w:w="4046"/>
        <w:gridCol w:w="1351"/>
        <w:gridCol w:w="1170"/>
        <w:gridCol w:w="1170"/>
        <w:gridCol w:w="1170"/>
        <w:gridCol w:w="1501"/>
      </w:tblGrid>
      <w:tr w:rsidR="00C7511A" w:rsidRPr="00ED34E3" w14:paraId="3FF99C87" w14:textId="77777777" w:rsidTr="00662938">
        <w:trPr>
          <w:trHeight w:val="348"/>
          <w:tblHeader/>
        </w:trPr>
        <w:tc>
          <w:tcPr>
            <w:tcW w:w="1944" w:type="pct"/>
            <w:vMerge w:val="restart"/>
            <w:shd w:val="clear" w:color="auto" w:fill="005B72"/>
            <w:noWrap/>
            <w:vAlign w:val="center"/>
          </w:tcPr>
          <w:p w14:paraId="0B915470" w14:textId="77777777" w:rsidR="00C7511A" w:rsidRPr="00ED34E3" w:rsidRDefault="00C7511A" w:rsidP="002F7E18">
            <w:pPr>
              <w:spacing w:line="240" w:lineRule="auto"/>
              <w:ind w:right="432"/>
              <w:rPr>
                <w:rFonts w:eastAsia="Arial"/>
                <w:b/>
                <w:bCs/>
                <w:color w:val="F8F8F8"/>
                <w:sz w:val="18"/>
                <w:szCs w:val="18"/>
              </w:rPr>
            </w:pPr>
            <w:r w:rsidRPr="00ED34E3">
              <w:rPr>
                <w:rFonts w:eastAsia="Arial"/>
                <w:b/>
                <w:bCs/>
                <w:color w:val="F8F8F8"/>
                <w:sz w:val="18"/>
                <w:szCs w:val="18"/>
              </w:rPr>
              <w:t>Industry</w:t>
            </w:r>
          </w:p>
        </w:tc>
        <w:tc>
          <w:tcPr>
            <w:tcW w:w="649" w:type="pct"/>
            <w:vMerge w:val="restart"/>
            <w:shd w:val="clear" w:color="auto" w:fill="005B72"/>
            <w:noWrap/>
            <w:vAlign w:val="center"/>
          </w:tcPr>
          <w:p w14:paraId="61610901" w14:textId="77777777" w:rsidR="00C7511A" w:rsidRPr="00ED34E3" w:rsidRDefault="00C7511A" w:rsidP="00662938">
            <w:pPr>
              <w:spacing w:line="240" w:lineRule="auto"/>
              <w:ind w:left="-14" w:right="-105"/>
              <w:jc w:val="center"/>
              <w:rPr>
                <w:rFonts w:eastAsia="Arial"/>
                <w:b/>
                <w:bCs/>
                <w:color w:val="F8F8F8"/>
                <w:sz w:val="18"/>
                <w:szCs w:val="18"/>
              </w:rPr>
            </w:pPr>
            <w:r w:rsidRPr="00ED34E3">
              <w:rPr>
                <w:rFonts w:eastAsia="Arial"/>
                <w:b/>
                <w:bCs/>
                <w:color w:val="F8F8F8"/>
                <w:sz w:val="18"/>
                <w:szCs w:val="18"/>
              </w:rPr>
              <w:t>2023</w:t>
            </w:r>
          </w:p>
        </w:tc>
        <w:tc>
          <w:tcPr>
            <w:tcW w:w="562" w:type="pct"/>
            <w:vMerge w:val="restart"/>
            <w:shd w:val="clear" w:color="auto" w:fill="005B72"/>
            <w:noWrap/>
            <w:vAlign w:val="center"/>
          </w:tcPr>
          <w:p w14:paraId="62A34DAB" w14:textId="77777777" w:rsidR="00C7511A" w:rsidRPr="00ED34E3" w:rsidRDefault="00C7511A" w:rsidP="00662938">
            <w:pPr>
              <w:spacing w:line="240" w:lineRule="auto"/>
              <w:ind w:left="-104" w:right="-105"/>
              <w:jc w:val="center"/>
              <w:rPr>
                <w:rFonts w:eastAsia="Arial"/>
                <w:b/>
                <w:bCs/>
                <w:color w:val="F8F8F8"/>
                <w:sz w:val="18"/>
                <w:szCs w:val="18"/>
              </w:rPr>
            </w:pPr>
            <w:r w:rsidRPr="00ED34E3">
              <w:rPr>
                <w:rFonts w:eastAsia="Arial"/>
                <w:b/>
                <w:bCs/>
                <w:color w:val="F8F8F8"/>
                <w:sz w:val="18"/>
                <w:szCs w:val="18"/>
              </w:rPr>
              <w:t>2024</w:t>
            </w:r>
          </w:p>
        </w:tc>
        <w:tc>
          <w:tcPr>
            <w:tcW w:w="562" w:type="pct"/>
            <w:vMerge w:val="restart"/>
            <w:shd w:val="clear" w:color="auto" w:fill="005B72"/>
            <w:noWrap/>
            <w:vAlign w:val="center"/>
          </w:tcPr>
          <w:p w14:paraId="2DE77EF3" w14:textId="77777777" w:rsidR="00C7511A" w:rsidRPr="00ED34E3" w:rsidRDefault="00C7511A" w:rsidP="00662938">
            <w:pPr>
              <w:spacing w:line="240" w:lineRule="auto"/>
              <w:ind w:left="-104" w:right="-105" w:firstLine="104"/>
              <w:jc w:val="center"/>
              <w:rPr>
                <w:rFonts w:eastAsia="Arial"/>
                <w:b/>
                <w:bCs/>
                <w:color w:val="F8F8F8"/>
                <w:sz w:val="18"/>
                <w:szCs w:val="18"/>
              </w:rPr>
            </w:pPr>
            <w:r w:rsidRPr="00ED34E3">
              <w:rPr>
                <w:rFonts w:eastAsia="Arial"/>
                <w:b/>
                <w:bCs/>
                <w:color w:val="F8F8F8"/>
                <w:sz w:val="18"/>
                <w:szCs w:val="18"/>
              </w:rPr>
              <w:t>2025(F)</w:t>
            </w:r>
          </w:p>
        </w:tc>
        <w:tc>
          <w:tcPr>
            <w:tcW w:w="1284" w:type="pct"/>
            <w:gridSpan w:val="2"/>
            <w:shd w:val="clear" w:color="auto" w:fill="005B72"/>
            <w:vAlign w:val="center"/>
          </w:tcPr>
          <w:p w14:paraId="24FE0459" w14:textId="77777777" w:rsidR="00C7511A" w:rsidRPr="00ED34E3" w:rsidRDefault="00C7511A" w:rsidP="00662938">
            <w:pPr>
              <w:spacing w:line="240" w:lineRule="auto"/>
              <w:ind w:left="-104" w:right="-105"/>
              <w:jc w:val="center"/>
              <w:rPr>
                <w:rFonts w:eastAsia="Arial"/>
                <w:b/>
                <w:bCs/>
                <w:color w:val="F8F8F8"/>
                <w:sz w:val="18"/>
                <w:szCs w:val="18"/>
              </w:rPr>
            </w:pPr>
            <w:r w:rsidRPr="00ED34E3">
              <w:rPr>
                <w:rFonts w:eastAsia="Arial"/>
                <w:b/>
                <w:bCs/>
                <w:color w:val="F8F8F8"/>
                <w:sz w:val="18"/>
                <w:szCs w:val="18"/>
              </w:rPr>
              <w:t>Growth in the real GVA</w:t>
            </w:r>
          </w:p>
        </w:tc>
      </w:tr>
      <w:tr w:rsidR="00C7511A" w:rsidRPr="00ED34E3" w14:paraId="5CD552DB" w14:textId="77777777" w:rsidTr="00662938">
        <w:trPr>
          <w:trHeight w:val="348"/>
          <w:tblHeader/>
        </w:trPr>
        <w:tc>
          <w:tcPr>
            <w:tcW w:w="1944" w:type="pct"/>
            <w:vMerge/>
            <w:shd w:val="clear" w:color="auto" w:fill="005B72"/>
            <w:noWrap/>
            <w:vAlign w:val="bottom"/>
          </w:tcPr>
          <w:p w14:paraId="65F6CAD8" w14:textId="77777777" w:rsidR="00C7511A" w:rsidRPr="00ED34E3" w:rsidRDefault="00C7511A" w:rsidP="002F7E18">
            <w:pPr>
              <w:spacing w:line="240" w:lineRule="auto"/>
              <w:ind w:right="432"/>
              <w:rPr>
                <w:rFonts w:eastAsia="Arial"/>
                <w:b/>
                <w:bCs/>
                <w:color w:val="F8F8F8"/>
                <w:sz w:val="18"/>
                <w:szCs w:val="18"/>
              </w:rPr>
            </w:pPr>
          </w:p>
        </w:tc>
        <w:tc>
          <w:tcPr>
            <w:tcW w:w="649" w:type="pct"/>
            <w:vMerge/>
            <w:shd w:val="clear" w:color="auto" w:fill="005B72"/>
            <w:noWrap/>
            <w:vAlign w:val="center"/>
          </w:tcPr>
          <w:p w14:paraId="47D0BE93" w14:textId="77777777" w:rsidR="00C7511A" w:rsidRPr="00ED34E3" w:rsidRDefault="00C7511A" w:rsidP="00662938">
            <w:pPr>
              <w:spacing w:line="240" w:lineRule="auto"/>
              <w:ind w:left="-14" w:right="-105"/>
              <w:jc w:val="center"/>
              <w:rPr>
                <w:rFonts w:eastAsia="Arial"/>
                <w:b/>
                <w:bCs/>
                <w:color w:val="F8F8F8"/>
                <w:sz w:val="18"/>
                <w:szCs w:val="18"/>
              </w:rPr>
            </w:pPr>
          </w:p>
        </w:tc>
        <w:tc>
          <w:tcPr>
            <w:tcW w:w="562" w:type="pct"/>
            <w:vMerge/>
            <w:shd w:val="clear" w:color="auto" w:fill="005B72"/>
            <w:noWrap/>
            <w:vAlign w:val="center"/>
          </w:tcPr>
          <w:p w14:paraId="2E2BDBC7" w14:textId="77777777" w:rsidR="00C7511A" w:rsidRPr="00ED34E3" w:rsidRDefault="00C7511A" w:rsidP="00662938">
            <w:pPr>
              <w:spacing w:line="240" w:lineRule="auto"/>
              <w:ind w:left="-104" w:right="-105"/>
              <w:jc w:val="center"/>
              <w:rPr>
                <w:rFonts w:eastAsia="Arial"/>
                <w:b/>
                <w:bCs/>
                <w:color w:val="F8F8F8"/>
                <w:sz w:val="18"/>
                <w:szCs w:val="18"/>
              </w:rPr>
            </w:pPr>
          </w:p>
        </w:tc>
        <w:tc>
          <w:tcPr>
            <w:tcW w:w="562" w:type="pct"/>
            <w:vMerge/>
            <w:shd w:val="clear" w:color="auto" w:fill="005B72"/>
            <w:noWrap/>
            <w:vAlign w:val="center"/>
          </w:tcPr>
          <w:p w14:paraId="639B3AFB" w14:textId="77777777" w:rsidR="00C7511A" w:rsidRPr="00ED34E3" w:rsidRDefault="00C7511A" w:rsidP="00662938">
            <w:pPr>
              <w:spacing w:line="240" w:lineRule="auto"/>
              <w:ind w:left="-104" w:right="-105" w:firstLine="104"/>
              <w:jc w:val="center"/>
              <w:rPr>
                <w:rFonts w:eastAsia="Arial"/>
                <w:b/>
                <w:bCs/>
                <w:color w:val="F8F8F8"/>
                <w:sz w:val="18"/>
                <w:szCs w:val="18"/>
              </w:rPr>
            </w:pPr>
          </w:p>
        </w:tc>
        <w:tc>
          <w:tcPr>
            <w:tcW w:w="562" w:type="pct"/>
            <w:shd w:val="clear" w:color="auto" w:fill="005B72"/>
            <w:vAlign w:val="center"/>
          </w:tcPr>
          <w:p w14:paraId="55329948" w14:textId="77777777" w:rsidR="00C7511A" w:rsidRPr="00ED34E3" w:rsidRDefault="00C7511A" w:rsidP="00662938">
            <w:pPr>
              <w:spacing w:line="240" w:lineRule="auto"/>
              <w:ind w:left="-104" w:right="-105"/>
              <w:jc w:val="center"/>
              <w:rPr>
                <w:rFonts w:eastAsia="Arial"/>
                <w:b/>
                <w:bCs/>
                <w:color w:val="F8F8F8"/>
                <w:sz w:val="18"/>
                <w:szCs w:val="18"/>
              </w:rPr>
            </w:pPr>
            <w:r w:rsidRPr="00ED34E3">
              <w:rPr>
                <w:rFonts w:eastAsia="Arial"/>
                <w:b/>
                <w:bCs/>
                <w:color w:val="F8F8F8"/>
                <w:sz w:val="18"/>
                <w:szCs w:val="18"/>
              </w:rPr>
              <w:t>2024</w:t>
            </w:r>
          </w:p>
        </w:tc>
        <w:tc>
          <w:tcPr>
            <w:tcW w:w="722" w:type="pct"/>
            <w:shd w:val="clear" w:color="auto" w:fill="005B72"/>
            <w:vAlign w:val="center"/>
          </w:tcPr>
          <w:p w14:paraId="112F40CA" w14:textId="77777777" w:rsidR="00C7511A" w:rsidRPr="00ED34E3" w:rsidRDefault="00C7511A" w:rsidP="00662938">
            <w:pPr>
              <w:spacing w:line="240" w:lineRule="auto"/>
              <w:ind w:left="-104" w:right="-105"/>
              <w:jc w:val="center"/>
              <w:rPr>
                <w:rFonts w:eastAsia="Arial"/>
                <w:b/>
                <w:bCs/>
                <w:color w:val="F8F8F8"/>
                <w:sz w:val="18"/>
                <w:szCs w:val="18"/>
              </w:rPr>
            </w:pPr>
            <w:r w:rsidRPr="00ED34E3">
              <w:rPr>
                <w:rFonts w:eastAsia="Arial"/>
                <w:b/>
                <w:bCs/>
                <w:color w:val="F8F8F8"/>
                <w:sz w:val="18"/>
                <w:szCs w:val="18"/>
              </w:rPr>
              <w:t>2025</w:t>
            </w:r>
          </w:p>
        </w:tc>
      </w:tr>
      <w:tr w:rsidR="00C7511A" w:rsidRPr="00ED34E3" w14:paraId="2C391FC5" w14:textId="77777777" w:rsidTr="00662938">
        <w:trPr>
          <w:trHeight w:val="348"/>
        </w:trPr>
        <w:tc>
          <w:tcPr>
            <w:tcW w:w="1944" w:type="pct"/>
            <w:shd w:val="clear" w:color="auto" w:fill="C9D8E1"/>
            <w:noWrap/>
            <w:vAlign w:val="bottom"/>
          </w:tcPr>
          <w:p w14:paraId="7ED894B7" w14:textId="77777777" w:rsidR="00C7511A" w:rsidRPr="00ED34E3" w:rsidRDefault="00C7511A" w:rsidP="002F7E18">
            <w:pPr>
              <w:spacing w:line="240" w:lineRule="auto"/>
              <w:ind w:right="432"/>
              <w:rPr>
                <w:rFonts w:eastAsia="Arial"/>
                <w:b/>
                <w:bCs/>
                <w:sz w:val="18"/>
                <w:szCs w:val="18"/>
                <w:lang w:eastAsia="en-GB"/>
              </w:rPr>
            </w:pPr>
            <w:r w:rsidRPr="00ED34E3">
              <w:rPr>
                <w:b/>
                <w:bCs/>
                <w:color w:val="000000"/>
                <w:sz w:val="18"/>
                <w:szCs w:val="18"/>
              </w:rPr>
              <w:t>Primary Sector</w:t>
            </w:r>
          </w:p>
        </w:tc>
        <w:tc>
          <w:tcPr>
            <w:tcW w:w="649" w:type="pct"/>
            <w:shd w:val="clear" w:color="auto" w:fill="C9D8E1"/>
            <w:noWrap/>
            <w:vAlign w:val="center"/>
          </w:tcPr>
          <w:p w14:paraId="55CE25AB" w14:textId="77777777" w:rsidR="00C7511A" w:rsidRPr="00ED34E3" w:rsidRDefault="00C7511A" w:rsidP="00662938">
            <w:pPr>
              <w:spacing w:line="240" w:lineRule="auto"/>
              <w:ind w:left="-14" w:right="-105"/>
              <w:jc w:val="center"/>
              <w:rPr>
                <w:rFonts w:eastAsia="Arial"/>
                <w:b/>
                <w:bCs/>
                <w:color w:val="000000"/>
                <w:sz w:val="18"/>
                <w:szCs w:val="18"/>
              </w:rPr>
            </w:pPr>
            <w:r w:rsidRPr="00ED34E3">
              <w:rPr>
                <w:rFonts w:eastAsia="Arial"/>
                <w:b/>
                <w:bCs/>
                <w:color w:val="000000"/>
                <w:sz w:val="18"/>
                <w:szCs w:val="18"/>
              </w:rPr>
              <w:t>49.79</w:t>
            </w:r>
          </w:p>
        </w:tc>
        <w:tc>
          <w:tcPr>
            <w:tcW w:w="562" w:type="pct"/>
            <w:shd w:val="clear" w:color="auto" w:fill="C9D8E1"/>
            <w:noWrap/>
            <w:vAlign w:val="center"/>
          </w:tcPr>
          <w:p w14:paraId="6087EE41"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52.51</w:t>
            </w:r>
          </w:p>
        </w:tc>
        <w:tc>
          <w:tcPr>
            <w:tcW w:w="562" w:type="pct"/>
            <w:shd w:val="clear" w:color="auto" w:fill="C9D8E1"/>
            <w:noWrap/>
            <w:vAlign w:val="center"/>
          </w:tcPr>
          <w:p w14:paraId="59CC2B59" w14:textId="77777777" w:rsidR="00C7511A" w:rsidRPr="00ED34E3" w:rsidRDefault="00C7511A" w:rsidP="00662938">
            <w:pPr>
              <w:spacing w:line="240" w:lineRule="auto"/>
              <w:ind w:left="-104" w:right="-105" w:firstLine="104"/>
              <w:jc w:val="center"/>
              <w:rPr>
                <w:rFonts w:eastAsia="Arial"/>
                <w:b/>
                <w:bCs/>
                <w:color w:val="000000"/>
                <w:sz w:val="18"/>
                <w:szCs w:val="18"/>
              </w:rPr>
            </w:pPr>
            <w:r w:rsidRPr="00ED34E3">
              <w:rPr>
                <w:rFonts w:eastAsia="Arial"/>
                <w:b/>
                <w:bCs/>
                <w:color w:val="000000"/>
                <w:sz w:val="18"/>
                <w:szCs w:val="18"/>
              </w:rPr>
              <w:t>57.39</w:t>
            </w:r>
          </w:p>
        </w:tc>
        <w:tc>
          <w:tcPr>
            <w:tcW w:w="562" w:type="pct"/>
            <w:shd w:val="clear" w:color="auto" w:fill="C9D8E1"/>
            <w:vAlign w:val="center"/>
          </w:tcPr>
          <w:p w14:paraId="08A7D937"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5.47%</w:t>
            </w:r>
          </w:p>
        </w:tc>
        <w:tc>
          <w:tcPr>
            <w:tcW w:w="722" w:type="pct"/>
            <w:shd w:val="clear" w:color="auto" w:fill="C9D8E1"/>
            <w:vAlign w:val="center"/>
          </w:tcPr>
          <w:p w14:paraId="2A44CB54"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9.29%</w:t>
            </w:r>
          </w:p>
        </w:tc>
      </w:tr>
      <w:tr w:rsidR="00C7511A" w:rsidRPr="00ED34E3" w14:paraId="524AEEA0" w14:textId="77777777" w:rsidTr="00662938">
        <w:trPr>
          <w:trHeight w:val="348"/>
        </w:trPr>
        <w:tc>
          <w:tcPr>
            <w:tcW w:w="1944" w:type="pct"/>
            <w:noWrap/>
            <w:vAlign w:val="bottom"/>
          </w:tcPr>
          <w:p w14:paraId="2684A2A2" w14:textId="77777777" w:rsidR="00C7511A" w:rsidRPr="00ED34E3" w:rsidRDefault="00C7511A" w:rsidP="002F7E18">
            <w:pPr>
              <w:spacing w:line="240" w:lineRule="auto"/>
              <w:ind w:right="432"/>
              <w:rPr>
                <w:rFonts w:eastAsia="Arial"/>
                <w:b/>
                <w:bCs/>
                <w:i/>
                <w:iCs/>
                <w:sz w:val="18"/>
                <w:szCs w:val="18"/>
                <w:lang w:eastAsia="en-GB"/>
              </w:rPr>
            </w:pPr>
            <w:r w:rsidRPr="00ED34E3">
              <w:rPr>
                <w:i/>
                <w:iCs/>
                <w:color w:val="000000"/>
                <w:sz w:val="18"/>
                <w:szCs w:val="18"/>
              </w:rPr>
              <w:t>Agriculture, Livestock, Forestry &amp; Fishing</w:t>
            </w:r>
          </w:p>
        </w:tc>
        <w:tc>
          <w:tcPr>
            <w:tcW w:w="649" w:type="pct"/>
            <w:noWrap/>
            <w:vAlign w:val="center"/>
          </w:tcPr>
          <w:p w14:paraId="495FE111"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44.84</w:t>
            </w:r>
          </w:p>
        </w:tc>
        <w:tc>
          <w:tcPr>
            <w:tcW w:w="562" w:type="pct"/>
            <w:noWrap/>
            <w:vAlign w:val="center"/>
          </w:tcPr>
          <w:p w14:paraId="7E4A1633"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47.25</w:t>
            </w:r>
          </w:p>
        </w:tc>
        <w:tc>
          <w:tcPr>
            <w:tcW w:w="562" w:type="pct"/>
            <w:noWrap/>
            <w:vAlign w:val="center"/>
          </w:tcPr>
          <w:p w14:paraId="7B42983D"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52.00</w:t>
            </w:r>
          </w:p>
        </w:tc>
        <w:tc>
          <w:tcPr>
            <w:tcW w:w="562" w:type="pct"/>
            <w:vAlign w:val="center"/>
          </w:tcPr>
          <w:p w14:paraId="44D743C9"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5.37%</w:t>
            </w:r>
          </w:p>
        </w:tc>
        <w:tc>
          <w:tcPr>
            <w:tcW w:w="722" w:type="pct"/>
            <w:vAlign w:val="center"/>
          </w:tcPr>
          <w:p w14:paraId="115057F4"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10.04%</w:t>
            </w:r>
          </w:p>
        </w:tc>
      </w:tr>
      <w:tr w:rsidR="00C7511A" w:rsidRPr="00ED34E3" w14:paraId="46E7E027" w14:textId="77777777" w:rsidTr="00662938">
        <w:trPr>
          <w:trHeight w:val="348"/>
        </w:trPr>
        <w:tc>
          <w:tcPr>
            <w:tcW w:w="1944" w:type="pct"/>
            <w:noWrap/>
            <w:vAlign w:val="bottom"/>
          </w:tcPr>
          <w:p w14:paraId="1FB158CD" w14:textId="77777777" w:rsidR="00C7511A" w:rsidRPr="00ED34E3" w:rsidRDefault="00C7511A" w:rsidP="002F7E18">
            <w:pPr>
              <w:spacing w:line="240" w:lineRule="auto"/>
              <w:ind w:right="432"/>
              <w:rPr>
                <w:rFonts w:eastAsia="Arial"/>
                <w:i/>
                <w:iCs/>
                <w:sz w:val="18"/>
                <w:szCs w:val="18"/>
                <w:lang w:eastAsia="en-GB"/>
              </w:rPr>
            </w:pPr>
            <w:r w:rsidRPr="00ED34E3">
              <w:rPr>
                <w:i/>
                <w:iCs/>
                <w:color w:val="000000"/>
                <w:sz w:val="18"/>
                <w:szCs w:val="18"/>
              </w:rPr>
              <w:t>Mining &amp; Quarrying</w:t>
            </w:r>
          </w:p>
        </w:tc>
        <w:tc>
          <w:tcPr>
            <w:tcW w:w="649" w:type="pct"/>
            <w:noWrap/>
            <w:vAlign w:val="center"/>
          </w:tcPr>
          <w:p w14:paraId="71A880CB"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4.95</w:t>
            </w:r>
          </w:p>
        </w:tc>
        <w:tc>
          <w:tcPr>
            <w:tcW w:w="562" w:type="pct"/>
            <w:noWrap/>
            <w:vAlign w:val="center"/>
          </w:tcPr>
          <w:p w14:paraId="6861E128"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5.26</w:t>
            </w:r>
          </w:p>
        </w:tc>
        <w:tc>
          <w:tcPr>
            <w:tcW w:w="562" w:type="pct"/>
            <w:noWrap/>
            <w:vAlign w:val="center"/>
          </w:tcPr>
          <w:p w14:paraId="0E07ADA7"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5.40</w:t>
            </w:r>
          </w:p>
        </w:tc>
        <w:tc>
          <w:tcPr>
            <w:tcW w:w="562" w:type="pct"/>
            <w:vAlign w:val="center"/>
          </w:tcPr>
          <w:p w14:paraId="579D8548"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6.32%</w:t>
            </w:r>
          </w:p>
        </w:tc>
        <w:tc>
          <w:tcPr>
            <w:tcW w:w="722" w:type="pct"/>
            <w:vAlign w:val="center"/>
          </w:tcPr>
          <w:p w14:paraId="510EFC0A"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2.60%</w:t>
            </w:r>
          </w:p>
        </w:tc>
      </w:tr>
      <w:tr w:rsidR="00C7511A" w:rsidRPr="00ED34E3" w14:paraId="06ED61F2" w14:textId="77777777" w:rsidTr="00662938">
        <w:trPr>
          <w:trHeight w:val="348"/>
        </w:trPr>
        <w:tc>
          <w:tcPr>
            <w:tcW w:w="1944" w:type="pct"/>
            <w:shd w:val="clear" w:color="auto" w:fill="C9D8E1"/>
            <w:noWrap/>
            <w:vAlign w:val="bottom"/>
          </w:tcPr>
          <w:p w14:paraId="488F0DD0" w14:textId="77777777" w:rsidR="00C7511A" w:rsidRPr="00ED34E3" w:rsidRDefault="00C7511A" w:rsidP="002F7E18">
            <w:pPr>
              <w:spacing w:line="240" w:lineRule="auto"/>
              <w:ind w:right="432"/>
              <w:rPr>
                <w:rFonts w:eastAsia="Arial"/>
                <w:i/>
                <w:iCs/>
                <w:sz w:val="18"/>
                <w:szCs w:val="18"/>
                <w:lang w:eastAsia="en-GB"/>
              </w:rPr>
            </w:pPr>
            <w:r w:rsidRPr="00ED34E3">
              <w:rPr>
                <w:b/>
                <w:bCs/>
                <w:color w:val="000000"/>
                <w:sz w:val="18"/>
                <w:szCs w:val="18"/>
              </w:rPr>
              <w:t>Secondary Sector</w:t>
            </w:r>
          </w:p>
        </w:tc>
        <w:tc>
          <w:tcPr>
            <w:tcW w:w="649" w:type="pct"/>
            <w:shd w:val="clear" w:color="auto" w:fill="C9D8E1"/>
            <w:noWrap/>
            <w:vAlign w:val="center"/>
          </w:tcPr>
          <w:p w14:paraId="3311AFA4" w14:textId="77777777" w:rsidR="00C7511A" w:rsidRPr="00ED34E3" w:rsidRDefault="00C7511A" w:rsidP="00662938">
            <w:pPr>
              <w:spacing w:line="240" w:lineRule="auto"/>
              <w:ind w:left="-14" w:right="-105"/>
              <w:jc w:val="center"/>
              <w:rPr>
                <w:rFonts w:eastAsia="Arial"/>
                <w:b/>
                <w:bCs/>
                <w:color w:val="000000"/>
                <w:sz w:val="18"/>
                <w:szCs w:val="18"/>
              </w:rPr>
            </w:pPr>
            <w:r w:rsidRPr="00ED34E3">
              <w:rPr>
                <w:rFonts w:eastAsia="Arial"/>
                <w:b/>
                <w:bCs/>
                <w:color w:val="000000"/>
                <w:sz w:val="18"/>
                <w:szCs w:val="18"/>
              </w:rPr>
              <w:t>63.19</w:t>
            </w:r>
          </w:p>
        </w:tc>
        <w:tc>
          <w:tcPr>
            <w:tcW w:w="562" w:type="pct"/>
            <w:shd w:val="clear" w:color="auto" w:fill="C9D8E1"/>
            <w:noWrap/>
            <w:vAlign w:val="center"/>
          </w:tcPr>
          <w:p w14:paraId="488C0091"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68.67</w:t>
            </w:r>
          </w:p>
        </w:tc>
        <w:tc>
          <w:tcPr>
            <w:tcW w:w="562" w:type="pct"/>
            <w:shd w:val="clear" w:color="auto" w:fill="C9D8E1"/>
            <w:noWrap/>
            <w:vAlign w:val="center"/>
          </w:tcPr>
          <w:p w14:paraId="3DFE9A49" w14:textId="77777777" w:rsidR="00C7511A" w:rsidRPr="00ED34E3" w:rsidRDefault="00C7511A" w:rsidP="00662938">
            <w:pPr>
              <w:spacing w:line="240" w:lineRule="auto"/>
              <w:ind w:left="-104" w:right="-105" w:firstLine="104"/>
              <w:jc w:val="center"/>
              <w:rPr>
                <w:rFonts w:eastAsia="Arial"/>
                <w:b/>
                <w:bCs/>
                <w:color w:val="000000"/>
                <w:sz w:val="18"/>
                <w:szCs w:val="18"/>
              </w:rPr>
            </w:pPr>
            <w:r w:rsidRPr="00ED34E3">
              <w:rPr>
                <w:rFonts w:eastAsia="Arial"/>
                <w:b/>
                <w:bCs/>
                <w:color w:val="000000"/>
                <w:sz w:val="18"/>
                <w:szCs w:val="18"/>
              </w:rPr>
              <w:t>73.41</w:t>
            </w:r>
          </w:p>
        </w:tc>
        <w:tc>
          <w:tcPr>
            <w:tcW w:w="562" w:type="pct"/>
            <w:shd w:val="clear" w:color="auto" w:fill="C9D8E1"/>
            <w:vAlign w:val="center"/>
          </w:tcPr>
          <w:p w14:paraId="6B71B3AA"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8.67%</w:t>
            </w:r>
          </w:p>
        </w:tc>
        <w:tc>
          <w:tcPr>
            <w:tcW w:w="722" w:type="pct"/>
            <w:shd w:val="clear" w:color="auto" w:fill="C9D8E1"/>
            <w:vAlign w:val="center"/>
          </w:tcPr>
          <w:p w14:paraId="04067619"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6.91%</w:t>
            </w:r>
          </w:p>
        </w:tc>
      </w:tr>
      <w:tr w:rsidR="00C7511A" w:rsidRPr="00ED34E3" w14:paraId="4A3F0A30" w14:textId="77777777" w:rsidTr="00662938">
        <w:trPr>
          <w:trHeight w:val="348"/>
        </w:trPr>
        <w:tc>
          <w:tcPr>
            <w:tcW w:w="1944" w:type="pct"/>
            <w:noWrap/>
            <w:vAlign w:val="bottom"/>
          </w:tcPr>
          <w:p w14:paraId="5BD3319E"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Manufacturing</w:t>
            </w:r>
          </w:p>
        </w:tc>
        <w:tc>
          <w:tcPr>
            <w:tcW w:w="649" w:type="pct"/>
            <w:noWrap/>
            <w:vAlign w:val="center"/>
          </w:tcPr>
          <w:p w14:paraId="502356C9"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35.36</w:t>
            </w:r>
          </w:p>
        </w:tc>
        <w:tc>
          <w:tcPr>
            <w:tcW w:w="562" w:type="pct"/>
            <w:noWrap/>
            <w:vAlign w:val="center"/>
          </w:tcPr>
          <w:p w14:paraId="76C5356F"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38.20</w:t>
            </w:r>
          </w:p>
        </w:tc>
        <w:tc>
          <w:tcPr>
            <w:tcW w:w="562" w:type="pct"/>
            <w:noWrap/>
            <w:vAlign w:val="center"/>
          </w:tcPr>
          <w:p w14:paraId="069FCA0E"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40.71</w:t>
            </w:r>
          </w:p>
        </w:tc>
        <w:tc>
          <w:tcPr>
            <w:tcW w:w="562" w:type="pct"/>
            <w:vAlign w:val="center"/>
          </w:tcPr>
          <w:p w14:paraId="3B172FC3"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8.01%</w:t>
            </w:r>
          </w:p>
        </w:tc>
        <w:tc>
          <w:tcPr>
            <w:tcW w:w="722" w:type="pct"/>
            <w:vAlign w:val="center"/>
          </w:tcPr>
          <w:p w14:paraId="039019EB"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6.57%</w:t>
            </w:r>
          </w:p>
        </w:tc>
      </w:tr>
      <w:tr w:rsidR="00C7511A" w:rsidRPr="00ED34E3" w14:paraId="0CA32FF8" w14:textId="77777777" w:rsidTr="00662938">
        <w:trPr>
          <w:trHeight w:val="348"/>
        </w:trPr>
        <w:tc>
          <w:tcPr>
            <w:tcW w:w="1944" w:type="pct"/>
            <w:noWrap/>
            <w:vAlign w:val="bottom"/>
          </w:tcPr>
          <w:p w14:paraId="6F76A7A8" w14:textId="77777777" w:rsidR="00C7511A" w:rsidRPr="00ED34E3" w:rsidRDefault="00C7511A" w:rsidP="002F7E18">
            <w:pPr>
              <w:spacing w:line="240" w:lineRule="auto"/>
              <w:ind w:right="432"/>
              <w:rPr>
                <w:rFonts w:eastAsia="Arial"/>
                <w:b/>
                <w:bCs/>
                <w:i/>
                <w:iCs/>
                <w:sz w:val="18"/>
                <w:szCs w:val="18"/>
              </w:rPr>
            </w:pPr>
            <w:r w:rsidRPr="00ED34E3">
              <w:rPr>
                <w:i/>
                <w:iCs/>
                <w:color w:val="000000"/>
                <w:sz w:val="18"/>
                <w:szCs w:val="18"/>
              </w:rPr>
              <w:t>Electricity, Gas, Water Supply &amp; Other Utility Services</w:t>
            </w:r>
          </w:p>
        </w:tc>
        <w:tc>
          <w:tcPr>
            <w:tcW w:w="649" w:type="pct"/>
            <w:noWrap/>
            <w:vAlign w:val="center"/>
          </w:tcPr>
          <w:p w14:paraId="360AB82A"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6.04</w:t>
            </w:r>
          </w:p>
        </w:tc>
        <w:tc>
          <w:tcPr>
            <w:tcW w:w="562" w:type="pct"/>
            <w:noWrap/>
            <w:vAlign w:val="center"/>
          </w:tcPr>
          <w:p w14:paraId="5447FEE5"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6.63</w:t>
            </w:r>
          </w:p>
        </w:tc>
        <w:tc>
          <w:tcPr>
            <w:tcW w:w="562" w:type="pct"/>
            <w:noWrap/>
            <w:vAlign w:val="center"/>
          </w:tcPr>
          <w:p w14:paraId="690A76A6"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6.82</w:t>
            </w:r>
          </w:p>
        </w:tc>
        <w:tc>
          <w:tcPr>
            <w:tcW w:w="562" w:type="pct"/>
            <w:vAlign w:val="center"/>
          </w:tcPr>
          <w:p w14:paraId="5176A7E1"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9.81%</w:t>
            </w:r>
          </w:p>
        </w:tc>
        <w:tc>
          <w:tcPr>
            <w:tcW w:w="722" w:type="pct"/>
            <w:vAlign w:val="center"/>
          </w:tcPr>
          <w:p w14:paraId="501339F4"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2.85%</w:t>
            </w:r>
          </w:p>
        </w:tc>
      </w:tr>
      <w:tr w:rsidR="00C7511A" w:rsidRPr="00ED34E3" w14:paraId="32A509D2" w14:textId="77777777" w:rsidTr="00662938">
        <w:trPr>
          <w:trHeight w:val="348"/>
        </w:trPr>
        <w:tc>
          <w:tcPr>
            <w:tcW w:w="1944" w:type="pct"/>
            <w:noWrap/>
            <w:vAlign w:val="bottom"/>
          </w:tcPr>
          <w:p w14:paraId="6B73E6E7"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Construction</w:t>
            </w:r>
          </w:p>
        </w:tc>
        <w:tc>
          <w:tcPr>
            <w:tcW w:w="649" w:type="pct"/>
            <w:noWrap/>
            <w:vAlign w:val="center"/>
          </w:tcPr>
          <w:p w14:paraId="586E1365"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21.79</w:t>
            </w:r>
          </w:p>
        </w:tc>
        <w:tc>
          <w:tcPr>
            <w:tcW w:w="562" w:type="pct"/>
            <w:noWrap/>
            <w:vAlign w:val="center"/>
          </w:tcPr>
          <w:p w14:paraId="11EADDB0"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23.84</w:t>
            </w:r>
          </w:p>
        </w:tc>
        <w:tc>
          <w:tcPr>
            <w:tcW w:w="562" w:type="pct"/>
            <w:noWrap/>
            <w:vAlign w:val="center"/>
          </w:tcPr>
          <w:p w14:paraId="7A47742A"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25.88</w:t>
            </w:r>
          </w:p>
        </w:tc>
        <w:tc>
          <w:tcPr>
            <w:tcW w:w="562" w:type="pct"/>
            <w:vAlign w:val="center"/>
          </w:tcPr>
          <w:p w14:paraId="2240572F"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9.42%</w:t>
            </w:r>
          </w:p>
        </w:tc>
        <w:tc>
          <w:tcPr>
            <w:tcW w:w="722" w:type="pct"/>
            <w:vAlign w:val="center"/>
          </w:tcPr>
          <w:p w14:paraId="195D7D85"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8.57%</w:t>
            </w:r>
          </w:p>
        </w:tc>
      </w:tr>
      <w:tr w:rsidR="00C7511A" w:rsidRPr="00ED34E3" w14:paraId="04915462" w14:textId="77777777" w:rsidTr="00662938">
        <w:trPr>
          <w:trHeight w:val="348"/>
        </w:trPr>
        <w:tc>
          <w:tcPr>
            <w:tcW w:w="1944" w:type="pct"/>
            <w:shd w:val="clear" w:color="auto" w:fill="C9D8E1"/>
            <w:noWrap/>
            <w:vAlign w:val="bottom"/>
          </w:tcPr>
          <w:p w14:paraId="0076811A" w14:textId="77777777" w:rsidR="00C7511A" w:rsidRPr="00ED34E3" w:rsidRDefault="00C7511A" w:rsidP="002F7E18">
            <w:pPr>
              <w:spacing w:line="240" w:lineRule="auto"/>
              <w:ind w:right="432"/>
              <w:rPr>
                <w:rFonts w:eastAsia="Arial"/>
                <w:i/>
                <w:iCs/>
                <w:sz w:val="18"/>
                <w:szCs w:val="18"/>
              </w:rPr>
            </w:pPr>
            <w:r w:rsidRPr="00ED34E3">
              <w:rPr>
                <w:b/>
                <w:bCs/>
                <w:color w:val="000000"/>
                <w:sz w:val="18"/>
                <w:szCs w:val="18"/>
              </w:rPr>
              <w:t>Tertiary Sector</w:t>
            </w:r>
          </w:p>
        </w:tc>
        <w:tc>
          <w:tcPr>
            <w:tcW w:w="649" w:type="pct"/>
            <w:shd w:val="clear" w:color="auto" w:fill="C9D8E1"/>
            <w:noWrap/>
            <w:vAlign w:val="center"/>
          </w:tcPr>
          <w:p w14:paraId="5D4384AE" w14:textId="77777777" w:rsidR="00C7511A" w:rsidRPr="00ED34E3" w:rsidRDefault="00C7511A" w:rsidP="00662938">
            <w:pPr>
              <w:spacing w:line="240" w:lineRule="auto"/>
              <w:ind w:left="-14" w:right="-105"/>
              <w:jc w:val="center"/>
              <w:rPr>
                <w:rFonts w:eastAsia="Arial"/>
                <w:b/>
                <w:bCs/>
                <w:color w:val="000000"/>
                <w:sz w:val="18"/>
                <w:szCs w:val="18"/>
              </w:rPr>
            </w:pPr>
            <w:r w:rsidRPr="00ED34E3">
              <w:rPr>
                <w:rFonts w:eastAsia="Arial"/>
                <w:b/>
                <w:bCs/>
                <w:color w:val="000000"/>
                <w:sz w:val="18"/>
                <w:szCs w:val="18"/>
              </w:rPr>
              <w:t>133.61</w:t>
            </w:r>
          </w:p>
        </w:tc>
        <w:tc>
          <w:tcPr>
            <w:tcW w:w="562" w:type="pct"/>
            <w:shd w:val="clear" w:color="auto" w:fill="C9D8E1"/>
            <w:noWrap/>
            <w:vAlign w:val="center"/>
          </w:tcPr>
          <w:p w14:paraId="0245F6EF"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146.44</w:t>
            </w:r>
          </w:p>
        </w:tc>
        <w:tc>
          <w:tcPr>
            <w:tcW w:w="562" w:type="pct"/>
            <w:shd w:val="clear" w:color="auto" w:fill="C9D8E1"/>
            <w:noWrap/>
            <w:vAlign w:val="center"/>
          </w:tcPr>
          <w:p w14:paraId="511EE718" w14:textId="77777777" w:rsidR="00C7511A" w:rsidRPr="00ED34E3" w:rsidRDefault="00C7511A" w:rsidP="00662938">
            <w:pPr>
              <w:spacing w:line="240" w:lineRule="auto"/>
              <w:ind w:left="-104" w:right="-105" w:firstLine="104"/>
              <w:jc w:val="center"/>
              <w:rPr>
                <w:rFonts w:eastAsia="Arial"/>
                <w:b/>
                <w:bCs/>
                <w:color w:val="000000"/>
                <w:sz w:val="18"/>
                <w:szCs w:val="18"/>
              </w:rPr>
            </w:pPr>
            <w:r w:rsidRPr="00ED34E3">
              <w:rPr>
                <w:rFonts w:eastAsia="Arial"/>
                <w:b/>
                <w:bCs/>
                <w:color w:val="000000"/>
                <w:sz w:val="18"/>
                <w:szCs w:val="18"/>
              </w:rPr>
              <w:t>161.83</w:t>
            </w:r>
          </w:p>
        </w:tc>
        <w:tc>
          <w:tcPr>
            <w:tcW w:w="562" w:type="pct"/>
            <w:shd w:val="clear" w:color="auto" w:fill="C9D8E1"/>
            <w:vAlign w:val="center"/>
          </w:tcPr>
          <w:p w14:paraId="29946D5F"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9.60%</w:t>
            </w:r>
          </w:p>
        </w:tc>
        <w:tc>
          <w:tcPr>
            <w:tcW w:w="722" w:type="pct"/>
            <w:shd w:val="clear" w:color="auto" w:fill="C9D8E1"/>
            <w:vAlign w:val="center"/>
          </w:tcPr>
          <w:p w14:paraId="3E34A456"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10.51%</w:t>
            </w:r>
          </w:p>
        </w:tc>
      </w:tr>
      <w:tr w:rsidR="00C7511A" w:rsidRPr="00ED34E3" w14:paraId="601307BE" w14:textId="77777777" w:rsidTr="00662938">
        <w:trPr>
          <w:trHeight w:val="348"/>
        </w:trPr>
        <w:tc>
          <w:tcPr>
            <w:tcW w:w="1944" w:type="pct"/>
            <w:noWrap/>
            <w:vAlign w:val="bottom"/>
          </w:tcPr>
          <w:p w14:paraId="565EDE9C"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Trade, Hotel, Transport, Communication &amp; Service related to Broadcasting</w:t>
            </w:r>
          </w:p>
        </w:tc>
        <w:tc>
          <w:tcPr>
            <w:tcW w:w="649" w:type="pct"/>
            <w:noWrap/>
            <w:vAlign w:val="center"/>
          </w:tcPr>
          <w:p w14:paraId="108EEA8E"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44.10</w:t>
            </w:r>
          </w:p>
        </w:tc>
        <w:tc>
          <w:tcPr>
            <w:tcW w:w="562" w:type="pct"/>
            <w:noWrap/>
            <w:vAlign w:val="center"/>
          </w:tcPr>
          <w:p w14:paraId="55C901EE"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46.85</w:t>
            </w:r>
          </w:p>
        </w:tc>
        <w:tc>
          <w:tcPr>
            <w:tcW w:w="562" w:type="pct"/>
            <w:noWrap/>
            <w:vAlign w:val="center"/>
          </w:tcPr>
          <w:p w14:paraId="1B5BF815"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50.57</w:t>
            </w:r>
          </w:p>
        </w:tc>
        <w:tc>
          <w:tcPr>
            <w:tcW w:w="562" w:type="pct"/>
            <w:vAlign w:val="center"/>
          </w:tcPr>
          <w:p w14:paraId="3248F155"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6.22%</w:t>
            </w:r>
          </w:p>
        </w:tc>
        <w:tc>
          <w:tcPr>
            <w:tcW w:w="722" w:type="pct"/>
            <w:vAlign w:val="center"/>
          </w:tcPr>
          <w:p w14:paraId="335F0A18"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7.96%</w:t>
            </w:r>
          </w:p>
        </w:tc>
      </w:tr>
      <w:tr w:rsidR="00C7511A" w:rsidRPr="00ED34E3" w14:paraId="29E07C4A" w14:textId="77777777" w:rsidTr="00662938">
        <w:trPr>
          <w:trHeight w:val="348"/>
        </w:trPr>
        <w:tc>
          <w:tcPr>
            <w:tcW w:w="1944" w:type="pct"/>
            <w:noWrap/>
            <w:vAlign w:val="bottom"/>
          </w:tcPr>
          <w:p w14:paraId="551CF9BC"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Financial, Real Estate &amp; Professional Services</w:t>
            </w:r>
          </w:p>
        </w:tc>
        <w:tc>
          <w:tcPr>
            <w:tcW w:w="649" w:type="pct"/>
            <w:noWrap/>
            <w:vAlign w:val="center"/>
          </w:tcPr>
          <w:p w14:paraId="53A588D9"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55.20</w:t>
            </w:r>
          </w:p>
        </w:tc>
        <w:tc>
          <w:tcPr>
            <w:tcW w:w="562" w:type="pct"/>
            <w:noWrap/>
            <w:vAlign w:val="center"/>
          </w:tcPr>
          <w:p w14:paraId="107FC7B9"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60.64</w:t>
            </w:r>
          </w:p>
        </w:tc>
        <w:tc>
          <w:tcPr>
            <w:tcW w:w="562" w:type="pct"/>
            <w:noWrap/>
            <w:vAlign w:val="center"/>
          </w:tcPr>
          <w:p w14:paraId="111DC459"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66.87</w:t>
            </w:r>
          </w:p>
        </w:tc>
        <w:tc>
          <w:tcPr>
            <w:tcW w:w="562" w:type="pct"/>
            <w:vAlign w:val="center"/>
          </w:tcPr>
          <w:p w14:paraId="3E025064"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9.86%</w:t>
            </w:r>
          </w:p>
        </w:tc>
        <w:tc>
          <w:tcPr>
            <w:tcW w:w="722" w:type="pct"/>
            <w:vAlign w:val="center"/>
          </w:tcPr>
          <w:p w14:paraId="79D2DFCC"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10.27%</w:t>
            </w:r>
          </w:p>
        </w:tc>
      </w:tr>
      <w:tr w:rsidR="00C7511A" w:rsidRPr="00ED34E3" w14:paraId="1C1140CF" w14:textId="77777777" w:rsidTr="00662938">
        <w:trPr>
          <w:trHeight w:val="348"/>
        </w:trPr>
        <w:tc>
          <w:tcPr>
            <w:tcW w:w="1944" w:type="pct"/>
            <w:shd w:val="clear" w:color="auto" w:fill="auto"/>
            <w:noWrap/>
            <w:vAlign w:val="bottom"/>
          </w:tcPr>
          <w:p w14:paraId="240CDB02" w14:textId="77777777" w:rsidR="00C7511A" w:rsidRPr="00ED34E3" w:rsidRDefault="00C7511A" w:rsidP="002F7E18">
            <w:pPr>
              <w:spacing w:line="240" w:lineRule="auto"/>
              <w:ind w:right="432"/>
              <w:rPr>
                <w:rFonts w:eastAsia="Arial"/>
                <w:i/>
                <w:iCs/>
                <w:sz w:val="18"/>
                <w:szCs w:val="18"/>
              </w:rPr>
            </w:pPr>
            <w:r w:rsidRPr="00ED34E3">
              <w:rPr>
                <w:i/>
                <w:iCs/>
                <w:color w:val="000000"/>
                <w:sz w:val="18"/>
                <w:szCs w:val="18"/>
              </w:rPr>
              <w:t>Public Administration, Defence &amp; Other Services*</w:t>
            </w:r>
          </w:p>
        </w:tc>
        <w:tc>
          <w:tcPr>
            <w:tcW w:w="649" w:type="pct"/>
            <w:shd w:val="clear" w:color="auto" w:fill="auto"/>
            <w:noWrap/>
            <w:vAlign w:val="center"/>
          </w:tcPr>
          <w:p w14:paraId="1C3A9114" w14:textId="77777777" w:rsidR="00C7511A" w:rsidRPr="00ED34E3" w:rsidRDefault="00C7511A" w:rsidP="00662938">
            <w:pPr>
              <w:spacing w:line="240" w:lineRule="auto"/>
              <w:ind w:left="-14" w:right="-105"/>
              <w:jc w:val="center"/>
              <w:rPr>
                <w:rFonts w:eastAsia="Arial"/>
                <w:i/>
                <w:iCs/>
                <w:color w:val="000000"/>
                <w:sz w:val="18"/>
                <w:szCs w:val="18"/>
              </w:rPr>
            </w:pPr>
            <w:r w:rsidRPr="00ED34E3">
              <w:rPr>
                <w:rFonts w:eastAsia="Arial"/>
                <w:i/>
                <w:iCs/>
                <w:color w:val="000000"/>
                <w:sz w:val="18"/>
                <w:szCs w:val="18"/>
              </w:rPr>
              <w:t>34.30</w:t>
            </w:r>
          </w:p>
        </w:tc>
        <w:tc>
          <w:tcPr>
            <w:tcW w:w="562" w:type="pct"/>
            <w:shd w:val="clear" w:color="auto" w:fill="auto"/>
            <w:noWrap/>
            <w:vAlign w:val="center"/>
          </w:tcPr>
          <w:p w14:paraId="0DDC6C55"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38.95</w:t>
            </w:r>
          </w:p>
        </w:tc>
        <w:tc>
          <w:tcPr>
            <w:tcW w:w="562" w:type="pct"/>
            <w:shd w:val="clear" w:color="auto" w:fill="auto"/>
            <w:noWrap/>
            <w:vAlign w:val="center"/>
          </w:tcPr>
          <w:p w14:paraId="5C34B7F8" w14:textId="77777777" w:rsidR="00C7511A" w:rsidRPr="00ED34E3" w:rsidRDefault="00C7511A" w:rsidP="00662938">
            <w:pPr>
              <w:spacing w:line="240" w:lineRule="auto"/>
              <w:ind w:left="-104" w:right="-105" w:firstLine="104"/>
              <w:jc w:val="center"/>
              <w:rPr>
                <w:rFonts w:eastAsia="Arial"/>
                <w:i/>
                <w:iCs/>
                <w:color w:val="000000"/>
                <w:sz w:val="18"/>
                <w:szCs w:val="18"/>
              </w:rPr>
            </w:pPr>
            <w:r w:rsidRPr="00ED34E3">
              <w:rPr>
                <w:rFonts w:eastAsia="Arial"/>
                <w:i/>
                <w:iCs/>
                <w:color w:val="000000"/>
                <w:sz w:val="18"/>
                <w:szCs w:val="18"/>
              </w:rPr>
              <w:t>44.39</w:t>
            </w:r>
          </w:p>
        </w:tc>
        <w:tc>
          <w:tcPr>
            <w:tcW w:w="562" w:type="pct"/>
            <w:vAlign w:val="center"/>
          </w:tcPr>
          <w:p w14:paraId="6D827CAF"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13.55%</w:t>
            </w:r>
          </w:p>
        </w:tc>
        <w:tc>
          <w:tcPr>
            <w:tcW w:w="722" w:type="pct"/>
            <w:vAlign w:val="center"/>
          </w:tcPr>
          <w:p w14:paraId="41F62C60" w14:textId="77777777" w:rsidR="00C7511A" w:rsidRPr="00ED34E3" w:rsidRDefault="00C7511A" w:rsidP="00662938">
            <w:pPr>
              <w:spacing w:line="240" w:lineRule="auto"/>
              <w:ind w:left="-104" w:right="-105"/>
              <w:jc w:val="center"/>
              <w:rPr>
                <w:rFonts w:eastAsia="Arial"/>
                <w:i/>
                <w:iCs/>
                <w:color w:val="000000"/>
                <w:sz w:val="18"/>
                <w:szCs w:val="18"/>
              </w:rPr>
            </w:pPr>
            <w:r w:rsidRPr="00ED34E3">
              <w:rPr>
                <w:rFonts w:eastAsia="Arial"/>
                <w:i/>
                <w:iCs/>
                <w:color w:val="000000"/>
                <w:sz w:val="18"/>
                <w:szCs w:val="18"/>
              </w:rPr>
              <w:t>13.96%</w:t>
            </w:r>
          </w:p>
        </w:tc>
      </w:tr>
      <w:tr w:rsidR="00C7511A" w:rsidRPr="00ED34E3" w14:paraId="4CF7411D" w14:textId="77777777" w:rsidTr="00662938">
        <w:trPr>
          <w:trHeight w:val="348"/>
        </w:trPr>
        <w:tc>
          <w:tcPr>
            <w:tcW w:w="1944" w:type="pct"/>
            <w:shd w:val="clear" w:color="auto" w:fill="D0D2D3"/>
            <w:noWrap/>
            <w:vAlign w:val="bottom"/>
          </w:tcPr>
          <w:p w14:paraId="5CF0082F" w14:textId="77777777" w:rsidR="00C7511A" w:rsidRPr="00ED34E3" w:rsidRDefault="00C7511A" w:rsidP="002F7E18">
            <w:pPr>
              <w:spacing w:line="240" w:lineRule="auto"/>
              <w:ind w:right="432"/>
              <w:rPr>
                <w:rFonts w:eastAsia="Arial"/>
                <w:b/>
                <w:bCs/>
                <w:sz w:val="18"/>
                <w:szCs w:val="18"/>
              </w:rPr>
            </w:pPr>
            <w:r w:rsidRPr="00ED34E3">
              <w:rPr>
                <w:b/>
                <w:bCs/>
                <w:color w:val="000000"/>
                <w:sz w:val="18"/>
                <w:szCs w:val="18"/>
              </w:rPr>
              <w:t>GVA at Basic Prices</w:t>
            </w:r>
          </w:p>
        </w:tc>
        <w:tc>
          <w:tcPr>
            <w:tcW w:w="649" w:type="pct"/>
            <w:shd w:val="clear" w:color="auto" w:fill="D0D2D3"/>
            <w:noWrap/>
            <w:vAlign w:val="center"/>
          </w:tcPr>
          <w:p w14:paraId="7F76DBBF" w14:textId="77777777" w:rsidR="00C7511A" w:rsidRPr="00ED34E3" w:rsidRDefault="00C7511A" w:rsidP="00662938">
            <w:pPr>
              <w:spacing w:line="240" w:lineRule="auto"/>
              <w:ind w:left="-14" w:right="-105"/>
              <w:jc w:val="center"/>
              <w:rPr>
                <w:rFonts w:eastAsia="Arial"/>
                <w:b/>
                <w:bCs/>
                <w:color w:val="000000"/>
                <w:sz w:val="18"/>
                <w:szCs w:val="18"/>
              </w:rPr>
            </w:pPr>
            <w:r w:rsidRPr="00ED34E3">
              <w:rPr>
                <w:rFonts w:eastAsia="Arial"/>
                <w:b/>
                <w:bCs/>
                <w:color w:val="000000"/>
                <w:sz w:val="18"/>
                <w:szCs w:val="18"/>
              </w:rPr>
              <w:t>246.59</w:t>
            </w:r>
          </w:p>
        </w:tc>
        <w:tc>
          <w:tcPr>
            <w:tcW w:w="562" w:type="pct"/>
            <w:shd w:val="clear" w:color="auto" w:fill="D0D2D3"/>
            <w:noWrap/>
            <w:vAlign w:val="center"/>
          </w:tcPr>
          <w:p w14:paraId="0DD92514"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267.62</w:t>
            </w:r>
          </w:p>
        </w:tc>
        <w:tc>
          <w:tcPr>
            <w:tcW w:w="562" w:type="pct"/>
            <w:shd w:val="clear" w:color="auto" w:fill="D0D2D3"/>
            <w:noWrap/>
            <w:vAlign w:val="center"/>
          </w:tcPr>
          <w:p w14:paraId="5E7018F3" w14:textId="77777777" w:rsidR="00C7511A" w:rsidRPr="00ED34E3" w:rsidRDefault="00C7511A" w:rsidP="00662938">
            <w:pPr>
              <w:spacing w:line="240" w:lineRule="auto"/>
              <w:ind w:left="-104" w:right="-105" w:firstLine="104"/>
              <w:jc w:val="center"/>
              <w:rPr>
                <w:rFonts w:eastAsia="Arial"/>
                <w:b/>
                <w:bCs/>
                <w:color w:val="000000"/>
                <w:sz w:val="18"/>
                <w:szCs w:val="18"/>
              </w:rPr>
            </w:pPr>
            <w:r w:rsidRPr="00ED34E3">
              <w:rPr>
                <w:rFonts w:eastAsia="Arial"/>
                <w:b/>
                <w:bCs/>
                <w:color w:val="000000"/>
                <w:sz w:val="18"/>
                <w:szCs w:val="18"/>
              </w:rPr>
              <w:t>292.64</w:t>
            </w:r>
          </w:p>
        </w:tc>
        <w:tc>
          <w:tcPr>
            <w:tcW w:w="562" w:type="pct"/>
            <w:shd w:val="clear" w:color="auto" w:fill="D0D2D3"/>
            <w:vAlign w:val="center"/>
          </w:tcPr>
          <w:p w14:paraId="0D7A1452"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8.53%</w:t>
            </w:r>
          </w:p>
        </w:tc>
        <w:tc>
          <w:tcPr>
            <w:tcW w:w="722" w:type="pct"/>
            <w:shd w:val="clear" w:color="auto" w:fill="D0D2D3"/>
            <w:vAlign w:val="center"/>
          </w:tcPr>
          <w:p w14:paraId="1F6A52CD" w14:textId="77777777" w:rsidR="00C7511A" w:rsidRPr="00ED34E3" w:rsidRDefault="00C7511A" w:rsidP="00662938">
            <w:pPr>
              <w:spacing w:line="240" w:lineRule="auto"/>
              <w:ind w:left="-104" w:right="-105"/>
              <w:jc w:val="center"/>
              <w:rPr>
                <w:rFonts w:eastAsia="Arial"/>
                <w:b/>
                <w:bCs/>
                <w:color w:val="000000"/>
                <w:sz w:val="18"/>
                <w:szCs w:val="18"/>
              </w:rPr>
            </w:pPr>
            <w:r w:rsidRPr="00ED34E3">
              <w:rPr>
                <w:rFonts w:eastAsia="Arial"/>
                <w:b/>
                <w:bCs/>
                <w:color w:val="000000"/>
                <w:sz w:val="18"/>
                <w:szCs w:val="18"/>
              </w:rPr>
              <w:t>9.35%</w:t>
            </w:r>
          </w:p>
        </w:tc>
      </w:tr>
    </w:tbl>
    <w:p w14:paraId="4489C9AE" w14:textId="006DDF3C" w:rsidR="00C7511A" w:rsidRPr="00CD0657" w:rsidRDefault="00C7511A" w:rsidP="00662938">
      <w:pPr>
        <w:tabs>
          <w:tab w:val="center" w:pos="4680"/>
          <w:tab w:val="right" w:pos="9720"/>
        </w:tabs>
        <w:spacing w:before="0" w:after="120" w:line="240" w:lineRule="auto"/>
        <w:ind w:right="112"/>
        <w:rPr>
          <w:rFonts w:eastAsiaTheme="minorEastAsia"/>
          <w:i/>
          <w:sz w:val="16"/>
          <w:szCs w:val="15"/>
        </w:rPr>
      </w:pPr>
      <w:r w:rsidRPr="00CD0657">
        <w:rPr>
          <w:rFonts w:eastAsiaTheme="minorEastAsia"/>
          <w:i/>
          <w:sz w:val="16"/>
          <w:szCs w:val="15"/>
        </w:rPr>
        <w:t>Source: RBI – Handbook of Statistics on the Economy 2022-23, Crisil Intelligence; 2024 data estimates (Provisional by NSO India)</w:t>
      </w:r>
      <w:r w:rsidR="00276677">
        <w:rPr>
          <w:rFonts w:eastAsiaTheme="minorEastAsia"/>
          <w:i/>
          <w:sz w:val="16"/>
          <w:szCs w:val="15"/>
        </w:rPr>
        <w:t xml:space="preserve">; </w:t>
      </w:r>
      <w:hyperlink r:id="rId16" w:tgtFrame="_blank" w:tooltip="https://www.pib.gov.in/pressreleasepage.aspx?prid=2090875" w:history="1">
        <w:r w:rsidR="00276677" w:rsidRPr="00276677">
          <w:rPr>
            <w:rStyle w:val="Hyperlink"/>
            <w:rFonts w:eastAsiaTheme="minorEastAsia"/>
            <w:i/>
            <w:sz w:val="16"/>
            <w:szCs w:val="15"/>
          </w:rPr>
          <w:t>https://www.pib.gov.in/PressReleasePage.aspx?PRID=2090875</w:t>
        </w:r>
      </w:hyperlink>
      <w:r w:rsidR="00276677">
        <w:rPr>
          <w:rFonts w:eastAsiaTheme="minorEastAsia"/>
          <w:i/>
          <w:sz w:val="16"/>
          <w:szCs w:val="15"/>
        </w:rPr>
        <w:t>;</w:t>
      </w:r>
      <w:r w:rsidRPr="00CD0657">
        <w:rPr>
          <w:rFonts w:eastAsiaTheme="minorEastAsia"/>
          <w:i/>
          <w:sz w:val="16"/>
          <w:szCs w:val="15"/>
        </w:rPr>
        <w:t xml:space="preserve"> All years are fiscal years</w:t>
      </w:r>
      <w:r>
        <w:rPr>
          <w:rFonts w:eastAsiaTheme="minorEastAsia"/>
          <w:i/>
          <w:sz w:val="16"/>
          <w:szCs w:val="15"/>
        </w:rPr>
        <w:t>, F: Forecasted</w:t>
      </w:r>
    </w:p>
    <w:p w14:paraId="4865FDE1" w14:textId="77777777" w:rsidR="00C7511A" w:rsidRPr="00CD0657" w:rsidRDefault="00C7511A" w:rsidP="00C7511A">
      <w:pPr>
        <w:pStyle w:val="Heading30"/>
      </w:pPr>
      <w:r>
        <w:t>Index of Eight Core Industries</w:t>
      </w:r>
    </w:p>
    <w:p w14:paraId="14A108B7" w14:textId="109A5B2A" w:rsidR="00C7511A" w:rsidRPr="00D93574" w:rsidRDefault="00C7511A" w:rsidP="00D93574">
      <w:pPr>
        <w:ind w:right="115"/>
        <w:rPr>
          <w:rFonts w:eastAsiaTheme="minorEastAsia"/>
          <w:i/>
          <w:sz w:val="16"/>
          <w:szCs w:val="15"/>
        </w:rPr>
      </w:pPr>
      <w:r w:rsidRPr="00C409C5">
        <w:rPr>
          <w:szCs w:val="20"/>
        </w:rPr>
        <w:t>The Index of eight core industries measures the combined and individual performance of production of eight core industries viz. Coal, Crude Oil, Natural Gas, Refinery Products, Fertilizers, Steel, Cement and Electricity. The growth rate of the core sector is a key indicator of a country's overall economic health, influencing industrial and economic performance. It has a multiplier effect on the entire economy, with core industries like steel, cement, and electricity being crucial for infrastructure development.</w:t>
      </w:r>
    </w:p>
    <w:p w14:paraId="00D80EEE" w14:textId="22914F97" w:rsidR="00C7511A" w:rsidRPr="00CD0657" w:rsidRDefault="00C7511A" w:rsidP="00C7511A">
      <w:pPr>
        <w:pStyle w:val="Caption1"/>
      </w:pPr>
      <w:bookmarkStart w:id="97" w:name="_Toc189499619"/>
      <w:bookmarkStart w:id="98" w:name="_Toc192073632"/>
      <w:bookmarkStart w:id="99" w:name="_Toc192153656"/>
      <w:bookmarkStart w:id="100" w:name="_Toc192195283"/>
      <w:bookmarkStart w:id="101" w:name="_Toc198731455"/>
      <w:r w:rsidRPr="00CD0657">
        <w:t xml:space="preserve">Table </w:t>
      </w:r>
      <w:r w:rsidRPr="00CD0657">
        <w:fldChar w:fldCharType="begin"/>
      </w:r>
      <w:r w:rsidRPr="00CD0657">
        <w:instrText xml:space="preserve"> STYLEREF 1 \s </w:instrText>
      </w:r>
      <w:r w:rsidRPr="00CD0657">
        <w:fldChar w:fldCharType="separate"/>
      </w:r>
      <w:r w:rsidR="002142B9">
        <w:t>1</w:t>
      </w:r>
      <w:r w:rsidRPr="00CD0657">
        <w:fldChar w:fldCharType="end"/>
      </w:r>
      <w:r w:rsidRPr="00CD0657">
        <w:t>.</w:t>
      </w:r>
      <w:r w:rsidRPr="00CD0657">
        <w:fldChar w:fldCharType="begin"/>
      </w:r>
      <w:r w:rsidRPr="00CD0657">
        <w:instrText xml:space="preserve"> SEQ Table \* ARABIC \s 1 </w:instrText>
      </w:r>
      <w:r w:rsidRPr="00CD0657">
        <w:fldChar w:fldCharType="separate"/>
      </w:r>
      <w:r w:rsidR="002142B9">
        <w:t>7</w:t>
      </w:r>
      <w:r w:rsidRPr="00CD0657">
        <w:fldChar w:fldCharType="end"/>
      </w:r>
      <w:r w:rsidRPr="00CD0657">
        <w:t xml:space="preserve">: Summary of the </w:t>
      </w:r>
      <w:r w:rsidRPr="00C50251">
        <w:t>growth</w:t>
      </w:r>
      <w:r w:rsidRPr="00CD0657">
        <w:t xml:space="preserve"> of Index of eight core industries (%)</w:t>
      </w:r>
      <w:bookmarkEnd w:id="97"/>
      <w:bookmarkEnd w:id="98"/>
      <w:bookmarkEnd w:id="99"/>
      <w:bookmarkEnd w:id="100"/>
      <w:bookmarkEnd w:id="101"/>
    </w:p>
    <w:tbl>
      <w:tblPr>
        <w:tblStyle w:val="ListTable3-Accent21"/>
        <w:tblW w:w="5000" w:type="pct"/>
        <w:tblBorders>
          <w:top w:val="single" w:sz="4" w:space="0" w:color="BFBFBF"/>
          <w:left w:val="none" w:sz="0" w:space="0" w:color="auto"/>
          <w:right w:val="none" w:sz="0" w:space="0" w:color="auto"/>
          <w:insideH w:val="single" w:sz="4" w:space="0" w:color="0E2841" w:themeColor="text2"/>
        </w:tblBorders>
        <w:tblLayout w:type="fixed"/>
        <w:tblLook w:val="04A0" w:firstRow="1" w:lastRow="0" w:firstColumn="1" w:lastColumn="0" w:noHBand="0" w:noVBand="1"/>
      </w:tblPr>
      <w:tblGrid>
        <w:gridCol w:w="3021"/>
        <w:gridCol w:w="1081"/>
        <w:gridCol w:w="1080"/>
        <w:gridCol w:w="1080"/>
        <w:gridCol w:w="1080"/>
        <w:gridCol w:w="1080"/>
        <w:gridCol w:w="1055"/>
        <w:gridCol w:w="1053"/>
      </w:tblGrid>
      <w:tr w:rsidR="00C03E46" w:rsidRPr="00ED34E3" w14:paraId="130F384D" w14:textId="57672172" w:rsidTr="00662938">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0" w:type="pct"/>
            <w:shd w:val="clear" w:color="auto" w:fill="005B72"/>
            <w:noWrap/>
            <w:vAlign w:val="center"/>
            <w:hideMark/>
          </w:tcPr>
          <w:p w14:paraId="7BC167A5" w14:textId="77777777" w:rsidR="00080617" w:rsidRPr="00ED34E3" w:rsidRDefault="00080617" w:rsidP="00662938">
            <w:pPr>
              <w:spacing w:before="80" w:after="80" w:line="240" w:lineRule="auto"/>
              <w:ind w:right="432"/>
              <w:jc w:val="left"/>
              <w:rPr>
                <w:color w:val="F8F8F8"/>
                <w:sz w:val="18"/>
                <w:szCs w:val="18"/>
              </w:rPr>
            </w:pPr>
            <w:r w:rsidRPr="00ED34E3">
              <w:rPr>
                <w:color w:val="F8F8F8"/>
                <w:sz w:val="18"/>
                <w:szCs w:val="18"/>
              </w:rPr>
              <w:t>Sectors</w:t>
            </w:r>
          </w:p>
        </w:tc>
        <w:tc>
          <w:tcPr>
            <w:tcW w:w="0" w:type="pct"/>
            <w:shd w:val="clear" w:color="auto" w:fill="005B72"/>
            <w:vAlign w:val="center"/>
          </w:tcPr>
          <w:p w14:paraId="45B22512" w14:textId="77777777" w:rsidR="00080617" w:rsidRPr="00ED34E3"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ED34E3">
              <w:rPr>
                <w:color w:val="F8F8F8"/>
                <w:sz w:val="18"/>
                <w:szCs w:val="18"/>
              </w:rPr>
              <w:t>2019</w:t>
            </w:r>
          </w:p>
        </w:tc>
        <w:tc>
          <w:tcPr>
            <w:tcW w:w="0" w:type="pct"/>
            <w:shd w:val="clear" w:color="auto" w:fill="005B72"/>
            <w:vAlign w:val="center"/>
          </w:tcPr>
          <w:p w14:paraId="5E44F9C8" w14:textId="77777777" w:rsidR="00080617" w:rsidRPr="00ED34E3"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ED34E3">
              <w:rPr>
                <w:color w:val="F8F8F8"/>
                <w:sz w:val="18"/>
                <w:szCs w:val="18"/>
              </w:rPr>
              <w:t>2020</w:t>
            </w:r>
          </w:p>
        </w:tc>
        <w:tc>
          <w:tcPr>
            <w:tcW w:w="0" w:type="pct"/>
            <w:shd w:val="clear" w:color="auto" w:fill="005B72"/>
            <w:vAlign w:val="center"/>
          </w:tcPr>
          <w:p w14:paraId="172F4A1F" w14:textId="77777777" w:rsidR="00080617" w:rsidRPr="00ED34E3"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ED34E3">
              <w:rPr>
                <w:color w:val="F8F8F8"/>
                <w:sz w:val="18"/>
                <w:szCs w:val="18"/>
              </w:rPr>
              <w:t>2021</w:t>
            </w:r>
          </w:p>
        </w:tc>
        <w:tc>
          <w:tcPr>
            <w:tcW w:w="0" w:type="pct"/>
            <w:shd w:val="clear" w:color="auto" w:fill="005B72"/>
            <w:vAlign w:val="center"/>
          </w:tcPr>
          <w:p w14:paraId="0C3B4049" w14:textId="77777777" w:rsidR="00080617" w:rsidRPr="00ED34E3"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ED34E3">
              <w:rPr>
                <w:color w:val="F8F8F8"/>
                <w:sz w:val="18"/>
                <w:szCs w:val="18"/>
              </w:rPr>
              <w:t>2022</w:t>
            </w:r>
          </w:p>
        </w:tc>
        <w:tc>
          <w:tcPr>
            <w:tcW w:w="0" w:type="pct"/>
            <w:shd w:val="clear" w:color="auto" w:fill="005B72"/>
            <w:vAlign w:val="center"/>
          </w:tcPr>
          <w:p w14:paraId="581DECC3" w14:textId="77777777" w:rsidR="00080617" w:rsidRPr="00ED34E3"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ED34E3">
              <w:rPr>
                <w:color w:val="F8F8F8"/>
                <w:sz w:val="18"/>
                <w:szCs w:val="18"/>
              </w:rPr>
              <w:t>2023</w:t>
            </w:r>
          </w:p>
        </w:tc>
        <w:tc>
          <w:tcPr>
            <w:tcW w:w="0" w:type="pct"/>
            <w:shd w:val="clear" w:color="auto" w:fill="005B72"/>
            <w:vAlign w:val="center"/>
          </w:tcPr>
          <w:p w14:paraId="0F10D02E" w14:textId="77777777" w:rsidR="00080617" w:rsidRPr="00ED34E3"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ED34E3">
              <w:rPr>
                <w:color w:val="F8F8F8"/>
                <w:sz w:val="18"/>
                <w:szCs w:val="18"/>
              </w:rPr>
              <w:t>2024</w:t>
            </w:r>
          </w:p>
        </w:tc>
        <w:tc>
          <w:tcPr>
            <w:tcW w:w="0" w:type="pct"/>
            <w:shd w:val="clear" w:color="auto" w:fill="005B72"/>
            <w:vAlign w:val="center"/>
          </w:tcPr>
          <w:p w14:paraId="2A7AF2B3" w14:textId="4F3B12B1" w:rsidR="00080617" w:rsidRPr="00C81477" w:rsidRDefault="00080617" w:rsidP="00662938">
            <w:pPr>
              <w:spacing w:before="80" w:after="80" w:line="240" w:lineRule="auto"/>
              <w:ind w:right="-60"/>
              <w:jc w:val="center"/>
              <w:cnfStyle w:val="100000000000" w:firstRow="1" w:lastRow="0" w:firstColumn="0" w:lastColumn="0" w:oddVBand="0" w:evenVBand="0" w:oddHBand="0" w:evenHBand="0" w:firstRowFirstColumn="0" w:firstRowLastColumn="0" w:lastRowFirstColumn="0" w:lastRowLastColumn="0"/>
              <w:rPr>
                <w:color w:val="F8F8F8"/>
                <w:sz w:val="18"/>
                <w:szCs w:val="18"/>
              </w:rPr>
            </w:pPr>
            <w:r w:rsidRPr="00C81477">
              <w:rPr>
                <w:color w:val="F8F8F8"/>
                <w:sz w:val="18"/>
                <w:szCs w:val="18"/>
              </w:rPr>
              <w:t>2025</w:t>
            </w:r>
          </w:p>
        </w:tc>
      </w:tr>
      <w:tr w:rsidR="00C03E46" w:rsidRPr="00ED34E3" w14:paraId="6179D2E8" w14:textId="145C9250" w:rsidTr="00C03E4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34" w:type="pct"/>
            <w:noWrap/>
            <w:vAlign w:val="center"/>
          </w:tcPr>
          <w:p w14:paraId="49EF8F4E" w14:textId="77777777" w:rsidR="00080617" w:rsidRPr="00ED34E3" w:rsidRDefault="00080617" w:rsidP="00662938">
            <w:pPr>
              <w:spacing w:before="80" w:after="80" w:line="240" w:lineRule="auto"/>
              <w:ind w:right="432"/>
              <w:jc w:val="left"/>
              <w:rPr>
                <w:sz w:val="18"/>
                <w:szCs w:val="18"/>
              </w:rPr>
            </w:pPr>
            <w:r w:rsidRPr="00ED34E3">
              <w:rPr>
                <w:sz w:val="18"/>
                <w:szCs w:val="18"/>
              </w:rPr>
              <w:t>Cement</w:t>
            </w:r>
          </w:p>
        </w:tc>
        <w:tc>
          <w:tcPr>
            <w:tcW w:w="513" w:type="pct"/>
            <w:shd w:val="clear" w:color="auto" w:fill="FFFFFF"/>
            <w:vAlign w:val="center"/>
          </w:tcPr>
          <w:p w14:paraId="0659790F"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13.3%</w:t>
            </w:r>
          </w:p>
        </w:tc>
        <w:tc>
          <w:tcPr>
            <w:tcW w:w="513" w:type="pct"/>
            <w:shd w:val="clear" w:color="auto" w:fill="FFFFFF"/>
            <w:vAlign w:val="center"/>
          </w:tcPr>
          <w:p w14:paraId="3185E022"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-0.9%</w:t>
            </w:r>
          </w:p>
        </w:tc>
        <w:tc>
          <w:tcPr>
            <w:tcW w:w="513" w:type="pct"/>
            <w:shd w:val="clear" w:color="auto" w:fill="FFFFFF"/>
            <w:vAlign w:val="center"/>
          </w:tcPr>
          <w:p w14:paraId="77F44E37"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-10.8%</w:t>
            </w:r>
          </w:p>
        </w:tc>
        <w:tc>
          <w:tcPr>
            <w:tcW w:w="513" w:type="pct"/>
            <w:shd w:val="clear" w:color="auto" w:fill="FFFFFF"/>
            <w:vAlign w:val="center"/>
          </w:tcPr>
          <w:p w14:paraId="72699A53" w14:textId="1219A5BD"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20.</w:t>
            </w:r>
            <w:r w:rsidR="00FB181D">
              <w:rPr>
                <w:sz w:val="18"/>
                <w:szCs w:val="18"/>
              </w:rPr>
              <w:t>8</w:t>
            </w:r>
            <w:r w:rsidRPr="00ED34E3">
              <w:rPr>
                <w:sz w:val="18"/>
                <w:szCs w:val="18"/>
              </w:rPr>
              <w:t>%</w:t>
            </w:r>
          </w:p>
        </w:tc>
        <w:tc>
          <w:tcPr>
            <w:tcW w:w="513" w:type="pct"/>
            <w:shd w:val="clear" w:color="auto" w:fill="FFFFFF"/>
            <w:vAlign w:val="center"/>
          </w:tcPr>
          <w:p w14:paraId="58525637"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8.7%</w:t>
            </w:r>
          </w:p>
        </w:tc>
        <w:tc>
          <w:tcPr>
            <w:tcW w:w="501" w:type="pct"/>
            <w:shd w:val="clear" w:color="auto" w:fill="FFFFFF"/>
            <w:vAlign w:val="center"/>
          </w:tcPr>
          <w:p w14:paraId="69C263C1"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8.9%</w:t>
            </w:r>
          </w:p>
        </w:tc>
        <w:tc>
          <w:tcPr>
            <w:tcW w:w="501" w:type="pct"/>
            <w:shd w:val="clear" w:color="auto" w:fill="FFFFFF"/>
            <w:vAlign w:val="center"/>
          </w:tcPr>
          <w:p w14:paraId="3E65B080" w14:textId="2B45FA01" w:rsidR="00080617" w:rsidRPr="00C81477" w:rsidRDefault="00D2048C"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662938">
              <w:rPr>
                <w:sz w:val="18"/>
                <w:szCs w:val="18"/>
              </w:rPr>
              <w:t>6.3%</w:t>
            </w:r>
          </w:p>
        </w:tc>
      </w:tr>
      <w:tr w:rsidR="00C03E46" w:rsidRPr="00ED34E3" w14:paraId="122F7CA5" w14:textId="05B1B521" w:rsidTr="00C03E46">
        <w:trPr>
          <w:trHeight w:val="353"/>
        </w:trPr>
        <w:tc>
          <w:tcPr>
            <w:cnfStyle w:val="001000000000" w:firstRow="0" w:lastRow="0" w:firstColumn="1" w:lastColumn="0" w:oddVBand="0" w:evenVBand="0" w:oddHBand="0" w:evenHBand="0" w:firstRowFirstColumn="0" w:firstRowLastColumn="0" w:lastRowFirstColumn="0" w:lastRowLastColumn="0"/>
            <w:tcW w:w="1434" w:type="pct"/>
            <w:shd w:val="clear" w:color="auto" w:fill="C9D8E1"/>
            <w:noWrap/>
            <w:vAlign w:val="center"/>
          </w:tcPr>
          <w:p w14:paraId="199CE86C" w14:textId="77777777" w:rsidR="00080617" w:rsidRPr="00ED34E3" w:rsidRDefault="00080617" w:rsidP="00662938">
            <w:pPr>
              <w:spacing w:before="80" w:after="80" w:line="240" w:lineRule="auto"/>
              <w:ind w:right="432"/>
              <w:jc w:val="left"/>
              <w:rPr>
                <w:sz w:val="18"/>
                <w:szCs w:val="18"/>
              </w:rPr>
            </w:pPr>
            <w:r w:rsidRPr="00ED34E3">
              <w:rPr>
                <w:sz w:val="18"/>
                <w:szCs w:val="18"/>
              </w:rPr>
              <w:t>Coal</w:t>
            </w:r>
          </w:p>
        </w:tc>
        <w:tc>
          <w:tcPr>
            <w:tcW w:w="513" w:type="pct"/>
            <w:shd w:val="clear" w:color="auto" w:fill="C9D8E1"/>
            <w:vAlign w:val="center"/>
          </w:tcPr>
          <w:p w14:paraId="338D3E6B"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D34E3">
              <w:rPr>
                <w:b/>
                <w:bCs/>
                <w:sz w:val="18"/>
                <w:szCs w:val="18"/>
              </w:rPr>
              <w:t>7.4%</w:t>
            </w:r>
          </w:p>
        </w:tc>
        <w:tc>
          <w:tcPr>
            <w:tcW w:w="513" w:type="pct"/>
            <w:shd w:val="clear" w:color="auto" w:fill="C9D8E1"/>
            <w:vAlign w:val="center"/>
          </w:tcPr>
          <w:p w14:paraId="4CA057C7"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D34E3">
              <w:rPr>
                <w:b/>
                <w:bCs/>
                <w:sz w:val="18"/>
                <w:szCs w:val="18"/>
              </w:rPr>
              <w:t>-0.4%</w:t>
            </w:r>
          </w:p>
        </w:tc>
        <w:tc>
          <w:tcPr>
            <w:tcW w:w="513" w:type="pct"/>
            <w:shd w:val="clear" w:color="auto" w:fill="C9D8E1"/>
            <w:vAlign w:val="center"/>
          </w:tcPr>
          <w:p w14:paraId="3E543D04"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D34E3">
              <w:rPr>
                <w:b/>
                <w:bCs/>
                <w:sz w:val="18"/>
                <w:szCs w:val="18"/>
              </w:rPr>
              <w:t>-1.9%</w:t>
            </w:r>
          </w:p>
        </w:tc>
        <w:tc>
          <w:tcPr>
            <w:tcW w:w="513" w:type="pct"/>
            <w:shd w:val="clear" w:color="auto" w:fill="C9D8E1"/>
            <w:vAlign w:val="center"/>
          </w:tcPr>
          <w:p w14:paraId="40B5A67C"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D34E3">
              <w:rPr>
                <w:b/>
                <w:bCs/>
                <w:sz w:val="18"/>
                <w:szCs w:val="18"/>
              </w:rPr>
              <w:t>8.5%</w:t>
            </w:r>
          </w:p>
        </w:tc>
        <w:tc>
          <w:tcPr>
            <w:tcW w:w="513" w:type="pct"/>
            <w:shd w:val="clear" w:color="auto" w:fill="C9D8E1"/>
            <w:vAlign w:val="center"/>
          </w:tcPr>
          <w:p w14:paraId="13C0A955" w14:textId="7CF80C30"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D34E3">
              <w:rPr>
                <w:b/>
                <w:bCs/>
                <w:sz w:val="18"/>
                <w:szCs w:val="18"/>
              </w:rPr>
              <w:t>14.</w:t>
            </w:r>
            <w:r w:rsidR="006754EA">
              <w:rPr>
                <w:b/>
                <w:bCs/>
                <w:sz w:val="18"/>
                <w:szCs w:val="18"/>
              </w:rPr>
              <w:t>8</w:t>
            </w:r>
            <w:r w:rsidRPr="00ED34E3">
              <w:rPr>
                <w:b/>
                <w:bCs/>
                <w:sz w:val="18"/>
                <w:szCs w:val="18"/>
              </w:rPr>
              <w:t>%</w:t>
            </w:r>
          </w:p>
        </w:tc>
        <w:tc>
          <w:tcPr>
            <w:tcW w:w="501" w:type="pct"/>
            <w:shd w:val="clear" w:color="auto" w:fill="C9D8E1"/>
            <w:vAlign w:val="center"/>
          </w:tcPr>
          <w:p w14:paraId="612CE3E4" w14:textId="52F8928C"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ED34E3">
              <w:rPr>
                <w:b/>
                <w:bCs/>
                <w:sz w:val="18"/>
                <w:szCs w:val="18"/>
              </w:rPr>
              <w:t>11.</w:t>
            </w:r>
            <w:r w:rsidR="006754EA">
              <w:rPr>
                <w:b/>
                <w:bCs/>
                <w:sz w:val="18"/>
                <w:szCs w:val="18"/>
              </w:rPr>
              <w:t>8</w:t>
            </w:r>
            <w:r w:rsidRPr="00ED34E3">
              <w:rPr>
                <w:b/>
                <w:bCs/>
                <w:sz w:val="18"/>
                <w:szCs w:val="18"/>
              </w:rPr>
              <w:t>%</w:t>
            </w:r>
          </w:p>
        </w:tc>
        <w:tc>
          <w:tcPr>
            <w:tcW w:w="501" w:type="pct"/>
            <w:shd w:val="clear" w:color="auto" w:fill="C9D8E1"/>
            <w:vAlign w:val="center"/>
          </w:tcPr>
          <w:p w14:paraId="0D7E63EB" w14:textId="16BC32D3" w:rsidR="00080617" w:rsidRPr="00C81477" w:rsidRDefault="00D2048C"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662938">
              <w:rPr>
                <w:b/>
                <w:bCs/>
                <w:sz w:val="18"/>
                <w:szCs w:val="18"/>
              </w:rPr>
              <w:t>5.1%</w:t>
            </w:r>
          </w:p>
        </w:tc>
      </w:tr>
      <w:tr w:rsidR="00C03E46" w:rsidRPr="00ED34E3" w14:paraId="5E6A7E56" w14:textId="71A48D07" w:rsidTr="00C03E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34" w:type="pct"/>
            <w:noWrap/>
            <w:vAlign w:val="center"/>
          </w:tcPr>
          <w:p w14:paraId="42CD7F1D" w14:textId="77777777" w:rsidR="00080617" w:rsidRPr="00ED34E3" w:rsidRDefault="00080617" w:rsidP="00662938">
            <w:pPr>
              <w:spacing w:before="80" w:after="80" w:line="240" w:lineRule="auto"/>
              <w:ind w:right="432"/>
              <w:jc w:val="left"/>
              <w:rPr>
                <w:sz w:val="18"/>
                <w:szCs w:val="18"/>
              </w:rPr>
            </w:pPr>
            <w:r w:rsidRPr="00ED34E3">
              <w:rPr>
                <w:sz w:val="18"/>
                <w:szCs w:val="18"/>
              </w:rPr>
              <w:t>Crude oil</w:t>
            </w:r>
          </w:p>
        </w:tc>
        <w:tc>
          <w:tcPr>
            <w:tcW w:w="513" w:type="pct"/>
            <w:shd w:val="clear" w:color="auto" w:fill="FFFFFF"/>
            <w:vAlign w:val="center"/>
          </w:tcPr>
          <w:p w14:paraId="609245B6" w14:textId="251AE5E5"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-4.</w:t>
            </w:r>
            <w:r w:rsidR="00DD04FC">
              <w:rPr>
                <w:sz w:val="18"/>
                <w:szCs w:val="18"/>
              </w:rPr>
              <w:t>1</w:t>
            </w:r>
            <w:r w:rsidRPr="00ED34E3">
              <w:rPr>
                <w:sz w:val="18"/>
                <w:szCs w:val="18"/>
              </w:rPr>
              <w:t>%</w:t>
            </w:r>
          </w:p>
        </w:tc>
        <w:tc>
          <w:tcPr>
            <w:tcW w:w="513" w:type="pct"/>
            <w:shd w:val="clear" w:color="auto" w:fill="FFFFFF"/>
            <w:vAlign w:val="center"/>
          </w:tcPr>
          <w:p w14:paraId="66895093"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-5.9%</w:t>
            </w:r>
          </w:p>
        </w:tc>
        <w:tc>
          <w:tcPr>
            <w:tcW w:w="513" w:type="pct"/>
            <w:shd w:val="clear" w:color="auto" w:fill="FFFFFF"/>
            <w:vAlign w:val="center"/>
          </w:tcPr>
          <w:p w14:paraId="3CE5021A"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-5.2%</w:t>
            </w:r>
          </w:p>
        </w:tc>
        <w:tc>
          <w:tcPr>
            <w:tcW w:w="513" w:type="pct"/>
            <w:shd w:val="clear" w:color="auto" w:fill="FFFFFF"/>
            <w:vAlign w:val="center"/>
          </w:tcPr>
          <w:p w14:paraId="388E6C19" w14:textId="13F23E49"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-2.</w:t>
            </w:r>
            <w:r w:rsidR="004119DC">
              <w:rPr>
                <w:sz w:val="18"/>
                <w:szCs w:val="18"/>
              </w:rPr>
              <w:t>6</w:t>
            </w:r>
            <w:r w:rsidRPr="00ED34E3">
              <w:rPr>
                <w:sz w:val="18"/>
                <w:szCs w:val="18"/>
              </w:rPr>
              <w:t>%</w:t>
            </w:r>
          </w:p>
        </w:tc>
        <w:tc>
          <w:tcPr>
            <w:tcW w:w="513" w:type="pct"/>
            <w:shd w:val="clear" w:color="auto" w:fill="FFFFFF"/>
            <w:vAlign w:val="center"/>
          </w:tcPr>
          <w:p w14:paraId="4AD5CDF4"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-1.7%</w:t>
            </w:r>
          </w:p>
        </w:tc>
        <w:tc>
          <w:tcPr>
            <w:tcW w:w="501" w:type="pct"/>
            <w:shd w:val="clear" w:color="auto" w:fill="FFFFFF"/>
            <w:vAlign w:val="center"/>
          </w:tcPr>
          <w:p w14:paraId="074ADF70"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0.6%</w:t>
            </w:r>
          </w:p>
        </w:tc>
        <w:tc>
          <w:tcPr>
            <w:tcW w:w="501" w:type="pct"/>
            <w:shd w:val="clear" w:color="auto" w:fill="FFFFFF"/>
            <w:vAlign w:val="center"/>
          </w:tcPr>
          <w:p w14:paraId="50C33C4E" w14:textId="0F4E83BD" w:rsidR="00080617" w:rsidRPr="00C81477" w:rsidRDefault="00D2048C"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662938">
              <w:rPr>
                <w:sz w:val="18"/>
                <w:szCs w:val="18"/>
              </w:rPr>
              <w:t>-2.2%</w:t>
            </w:r>
          </w:p>
        </w:tc>
      </w:tr>
      <w:tr w:rsidR="00C03E46" w:rsidRPr="00ED34E3" w14:paraId="69F20DCD" w14:textId="379EC0AC" w:rsidTr="00C03E46">
        <w:trPr>
          <w:trHeight w:val="353"/>
        </w:trPr>
        <w:tc>
          <w:tcPr>
            <w:cnfStyle w:val="001000000000" w:firstRow="0" w:lastRow="0" w:firstColumn="1" w:lastColumn="0" w:oddVBand="0" w:evenVBand="0" w:oddHBand="0" w:evenHBand="0" w:firstRowFirstColumn="0" w:firstRowLastColumn="0" w:lastRowFirstColumn="0" w:lastRowLastColumn="0"/>
            <w:tcW w:w="1434" w:type="pct"/>
            <w:noWrap/>
            <w:vAlign w:val="center"/>
          </w:tcPr>
          <w:p w14:paraId="367DA15A" w14:textId="77777777" w:rsidR="00080617" w:rsidRPr="00ED34E3" w:rsidRDefault="00080617" w:rsidP="00662938">
            <w:pPr>
              <w:spacing w:before="80" w:after="80" w:line="240" w:lineRule="auto"/>
              <w:ind w:right="432"/>
              <w:jc w:val="left"/>
              <w:rPr>
                <w:sz w:val="18"/>
                <w:szCs w:val="18"/>
              </w:rPr>
            </w:pPr>
            <w:r w:rsidRPr="00ED34E3">
              <w:rPr>
                <w:sz w:val="18"/>
                <w:szCs w:val="18"/>
              </w:rPr>
              <w:t>Electricity</w:t>
            </w:r>
          </w:p>
        </w:tc>
        <w:tc>
          <w:tcPr>
            <w:tcW w:w="513" w:type="pct"/>
            <w:shd w:val="clear" w:color="auto" w:fill="FFFFFF"/>
            <w:vAlign w:val="center"/>
          </w:tcPr>
          <w:p w14:paraId="0CA3DA0E"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5.2%</w:t>
            </w:r>
          </w:p>
        </w:tc>
        <w:tc>
          <w:tcPr>
            <w:tcW w:w="513" w:type="pct"/>
            <w:shd w:val="clear" w:color="auto" w:fill="FFFFFF"/>
            <w:vAlign w:val="center"/>
          </w:tcPr>
          <w:p w14:paraId="04F11532" w14:textId="3BD68090" w:rsidR="00080617" w:rsidRPr="00ED34E3" w:rsidRDefault="00FB181D"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r w:rsidR="00080617" w:rsidRPr="00ED34E3">
              <w:rPr>
                <w:sz w:val="18"/>
                <w:szCs w:val="18"/>
              </w:rPr>
              <w:t>.</w:t>
            </w:r>
            <w:r>
              <w:rPr>
                <w:sz w:val="18"/>
                <w:szCs w:val="18"/>
              </w:rPr>
              <w:t>9</w:t>
            </w:r>
            <w:r w:rsidR="00080617" w:rsidRPr="00ED34E3">
              <w:rPr>
                <w:sz w:val="18"/>
                <w:szCs w:val="18"/>
              </w:rPr>
              <w:t>%</w:t>
            </w:r>
          </w:p>
        </w:tc>
        <w:tc>
          <w:tcPr>
            <w:tcW w:w="513" w:type="pct"/>
            <w:shd w:val="clear" w:color="auto" w:fill="FFFFFF"/>
            <w:vAlign w:val="center"/>
          </w:tcPr>
          <w:p w14:paraId="2FC6C4EE"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-0.5%</w:t>
            </w:r>
          </w:p>
        </w:tc>
        <w:tc>
          <w:tcPr>
            <w:tcW w:w="513" w:type="pct"/>
            <w:shd w:val="clear" w:color="auto" w:fill="FFFFFF"/>
            <w:vAlign w:val="center"/>
          </w:tcPr>
          <w:p w14:paraId="777DA6EA" w14:textId="69CAABBC" w:rsidR="00080617" w:rsidRPr="00ED34E3" w:rsidRDefault="00B710A0"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r w:rsidR="00080617" w:rsidRPr="00ED34E3">
              <w:rPr>
                <w:sz w:val="18"/>
                <w:szCs w:val="18"/>
              </w:rPr>
              <w:t>.</w:t>
            </w:r>
            <w:r>
              <w:rPr>
                <w:sz w:val="18"/>
                <w:szCs w:val="18"/>
              </w:rPr>
              <w:t>0</w:t>
            </w:r>
            <w:r w:rsidR="00080617" w:rsidRPr="00ED34E3">
              <w:rPr>
                <w:sz w:val="18"/>
                <w:szCs w:val="18"/>
              </w:rPr>
              <w:t>%</w:t>
            </w:r>
          </w:p>
        </w:tc>
        <w:tc>
          <w:tcPr>
            <w:tcW w:w="513" w:type="pct"/>
            <w:shd w:val="clear" w:color="auto" w:fill="FFFFFF"/>
            <w:vAlign w:val="center"/>
          </w:tcPr>
          <w:p w14:paraId="2A7951A6"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8.9%</w:t>
            </w:r>
          </w:p>
        </w:tc>
        <w:tc>
          <w:tcPr>
            <w:tcW w:w="501" w:type="pct"/>
            <w:shd w:val="clear" w:color="auto" w:fill="FFFFFF"/>
            <w:vAlign w:val="center"/>
          </w:tcPr>
          <w:p w14:paraId="0B3E23DA"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7.1%</w:t>
            </w:r>
          </w:p>
        </w:tc>
        <w:tc>
          <w:tcPr>
            <w:tcW w:w="501" w:type="pct"/>
            <w:shd w:val="clear" w:color="auto" w:fill="FFFFFF"/>
            <w:vAlign w:val="center"/>
          </w:tcPr>
          <w:p w14:paraId="60526857" w14:textId="4431DE8A" w:rsidR="00080617" w:rsidRPr="00C81477" w:rsidRDefault="00D2048C"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662938">
              <w:rPr>
                <w:sz w:val="18"/>
                <w:szCs w:val="18"/>
              </w:rPr>
              <w:t>5.1%</w:t>
            </w:r>
          </w:p>
        </w:tc>
      </w:tr>
      <w:tr w:rsidR="00C03E46" w:rsidRPr="00ED34E3" w14:paraId="1E8E8E96" w14:textId="3C587AEB" w:rsidTr="00C03E4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34" w:type="pct"/>
            <w:noWrap/>
            <w:vAlign w:val="center"/>
          </w:tcPr>
          <w:p w14:paraId="060866BD" w14:textId="6B5B4BF8" w:rsidR="00080617" w:rsidRPr="00ED34E3" w:rsidRDefault="00080617" w:rsidP="00662938">
            <w:pPr>
              <w:spacing w:before="80" w:after="80" w:line="240" w:lineRule="auto"/>
              <w:ind w:right="432"/>
              <w:jc w:val="left"/>
              <w:rPr>
                <w:sz w:val="18"/>
                <w:szCs w:val="18"/>
              </w:rPr>
            </w:pPr>
            <w:r w:rsidRPr="00ED34E3">
              <w:rPr>
                <w:sz w:val="18"/>
                <w:szCs w:val="18"/>
              </w:rPr>
              <w:t>Fertilizers</w:t>
            </w:r>
          </w:p>
        </w:tc>
        <w:tc>
          <w:tcPr>
            <w:tcW w:w="513" w:type="pct"/>
            <w:shd w:val="clear" w:color="auto" w:fill="FFFFFF"/>
            <w:vAlign w:val="center"/>
          </w:tcPr>
          <w:p w14:paraId="0B5A1E68" w14:textId="1F2B468E"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0.</w:t>
            </w:r>
            <w:r w:rsidR="00FB181D">
              <w:rPr>
                <w:sz w:val="18"/>
                <w:szCs w:val="18"/>
              </w:rPr>
              <w:t>3</w:t>
            </w:r>
            <w:r w:rsidRPr="00ED34E3">
              <w:rPr>
                <w:sz w:val="18"/>
                <w:szCs w:val="18"/>
              </w:rPr>
              <w:t>%</w:t>
            </w:r>
          </w:p>
        </w:tc>
        <w:tc>
          <w:tcPr>
            <w:tcW w:w="513" w:type="pct"/>
            <w:shd w:val="clear" w:color="auto" w:fill="FFFFFF"/>
            <w:vAlign w:val="center"/>
          </w:tcPr>
          <w:p w14:paraId="1B4D22AC" w14:textId="5A3E87B5"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2.</w:t>
            </w:r>
            <w:r w:rsidR="00FB181D">
              <w:rPr>
                <w:sz w:val="18"/>
                <w:szCs w:val="18"/>
              </w:rPr>
              <w:t>7</w:t>
            </w:r>
            <w:r w:rsidRPr="00ED34E3">
              <w:rPr>
                <w:sz w:val="18"/>
                <w:szCs w:val="18"/>
              </w:rPr>
              <w:t>%</w:t>
            </w:r>
          </w:p>
        </w:tc>
        <w:tc>
          <w:tcPr>
            <w:tcW w:w="513" w:type="pct"/>
            <w:shd w:val="clear" w:color="auto" w:fill="FFFFFF"/>
            <w:vAlign w:val="center"/>
          </w:tcPr>
          <w:p w14:paraId="7937DE5F" w14:textId="2BE9079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1.</w:t>
            </w:r>
            <w:r w:rsidR="00FB181D">
              <w:rPr>
                <w:sz w:val="18"/>
                <w:szCs w:val="18"/>
              </w:rPr>
              <w:t>7</w:t>
            </w:r>
            <w:r w:rsidRPr="00ED34E3">
              <w:rPr>
                <w:sz w:val="18"/>
                <w:szCs w:val="18"/>
              </w:rPr>
              <w:t>%</w:t>
            </w:r>
          </w:p>
        </w:tc>
        <w:tc>
          <w:tcPr>
            <w:tcW w:w="513" w:type="pct"/>
            <w:shd w:val="clear" w:color="auto" w:fill="FFFFFF"/>
            <w:vAlign w:val="center"/>
          </w:tcPr>
          <w:p w14:paraId="6F5AE40F"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0.7%</w:t>
            </w:r>
          </w:p>
        </w:tc>
        <w:tc>
          <w:tcPr>
            <w:tcW w:w="513" w:type="pct"/>
            <w:shd w:val="clear" w:color="auto" w:fill="FFFFFF"/>
            <w:vAlign w:val="center"/>
          </w:tcPr>
          <w:p w14:paraId="0CEC15E7"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11.3%</w:t>
            </w:r>
          </w:p>
        </w:tc>
        <w:tc>
          <w:tcPr>
            <w:tcW w:w="501" w:type="pct"/>
            <w:shd w:val="clear" w:color="auto" w:fill="FFFFFF"/>
            <w:vAlign w:val="center"/>
          </w:tcPr>
          <w:p w14:paraId="5810FB89"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3.7%</w:t>
            </w:r>
          </w:p>
        </w:tc>
        <w:tc>
          <w:tcPr>
            <w:tcW w:w="501" w:type="pct"/>
            <w:shd w:val="clear" w:color="auto" w:fill="FFFFFF"/>
            <w:vAlign w:val="center"/>
          </w:tcPr>
          <w:p w14:paraId="29705BF2" w14:textId="32C66038" w:rsidR="00080617" w:rsidRPr="00C81477" w:rsidRDefault="00D2048C"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662938">
              <w:rPr>
                <w:sz w:val="18"/>
                <w:szCs w:val="18"/>
              </w:rPr>
              <w:t>2.9%</w:t>
            </w:r>
          </w:p>
        </w:tc>
      </w:tr>
      <w:tr w:rsidR="00C03E46" w:rsidRPr="00ED34E3" w14:paraId="08271A12" w14:textId="0078F7FE" w:rsidTr="00C03E46">
        <w:trPr>
          <w:trHeight w:val="353"/>
        </w:trPr>
        <w:tc>
          <w:tcPr>
            <w:cnfStyle w:val="001000000000" w:firstRow="0" w:lastRow="0" w:firstColumn="1" w:lastColumn="0" w:oddVBand="0" w:evenVBand="0" w:oddHBand="0" w:evenHBand="0" w:firstRowFirstColumn="0" w:firstRowLastColumn="0" w:lastRowFirstColumn="0" w:lastRowLastColumn="0"/>
            <w:tcW w:w="1434" w:type="pct"/>
            <w:noWrap/>
            <w:vAlign w:val="center"/>
          </w:tcPr>
          <w:p w14:paraId="5E00E5D6" w14:textId="77777777" w:rsidR="00080617" w:rsidRPr="00ED34E3" w:rsidRDefault="00080617" w:rsidP="00662938">
            <w:pPr>
              <w:spacing w:before="80" w:after="80" w:line="240" w:lineRule="auto"/>
              <w:ind w:right="432"/>
              <w:jc w:val="left"/>
              <w:rPr>
                <w:sz w:val="18"/>
                <w:szCs w:val="18"/>
              </w:rPr>
            </w:pPr>
            <w:r w:rsidRPr="00ED34E3">
              <w:rPr>
                <w:sz w:val="18"/>
                <w:szCs w:val="18"/>
              </w:rPr>
              <w:t>Natural gas</w:t>
            </w:r>
          </w:p>
        </w:tc>
        <w:tc>
          <w:tcPr>
            <w:tcW w:w="513" w:type="pct"/>
            <w:shd w:val="clear" w:color="auto" w:fill="FFFFFF"/>
            <w:vAlign w:val="center"/>
          </w:tcPr>
          <w:p w14:paraId="637E184F" w14:textId="25D507B8"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0.</w:t>
            </w:r>
            <w:r w:rsidR="004119DC">
              <w:rPr>
                <w:sz w:val="18"/>
                <w:szCs w:val="18"/>
              </w:rPr>
              <w:t>8</w:t>
            </w:r>
            <w:r w:rsidRPr="00ED34E3">
              <w:rPr>
                <w:sz w:val="18"/>
                <w:szCs w:val="18"/>
              </w:rPr>
              <w:t>%</w:t>
            </w:r>
          </w:p>
        </w:tc>
        <w:tc>
          <w:tcPr>
            <w:tcW w:w="513" w:type="pct"/>
            <w:shd w:val="clear" w:color="auto" w:fill="FFFFFF"/>
            <w:vAlign w:val="center"/>
          </w:tcPr>
          <w:p w14:paraId="7777792B" w14:textId="7895EBD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-5.</w:t>
            </w:r>
            <w:r w:rsidR="004119DC">
              <w:rPr>
                <w:sz w:val="18"/>
                <w:szCs w:val="18"/>
              </w:rPr>
              <w:t>6</w:t>
            </w:r>
            <w:r w:rsidRPr="00ED34E3">
              <w:rPr>
                <w:sz w:val="18"/>
                <w:szCs w:val="18"/>
              </w:rPr>
              <w:t>%</w:t>
            </w:r>
          </w:p>
        </w:tc>
        <w:tc>
          <w:tcPr>
            <w:tcW w:w="513" w:type="pct"/>
            <w:shd w:val="clear" w:color="auto" w:fill="FFFFFF"/>
            <w:vAlign w:val="center"/>
          </w:tcPr>
          <w:p w14:paraId="3D706B18" w14:textId="2A859AAE"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-8.</w:t>
            </w:r>
            <w:r w:rsidR="004119DC">
              <w:rPr>
                <w:sz w:val="18"/>
                <w:szCs w:val="18"/>
              </w:rPr>
              <w:t>2</w:t>
            </w:r>
            <w:r w:rsidRPr="00ED34E3">
              <w:rPr>
                <w:sz w:val="18"/>
                <w:szCs w:val="18"/>
              </w:rPr>
              <w:t>%</w:t>
            </w:r>
          </w:p>
        </w:tc>
        <w:tc>
          <w:tcPr>
            <w:tcW w:w="513" w:type="pct"/>
            <w:shd w:val="clear" w:color="auto" w:fill="FFFFFF"/>
            <w:vAlign w:val="center"/>
          </w:tcPr>
          <w:p w14:paraId="1CC956F5"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19.2%</w:t>
            </w:r>
          </w:p>
        </w:tc>
        <w:tc>
          <w:tcPr>
            <w:tcW w:w="513" w:type="pct"/>
            <w:shd w:val="clear" w:color="auto" w:fill="FFFFFF"/>
            <w:vAlign w:val="center"/>
          </w:tcPr>
          <w:p w14:paraId="7319A34F" w14:textId="628BDD8D"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1.</w:t>
            </w:r>
            <w:r w:rsidR="004119DC">
              <w:rPr>
                <w:sz w:val="18"/>
                <w:szCs w:val="18"/>
              </w:rPr>
              <w:t>6</w:t>
            </w:r>
            <w:r w:rsidRPr="00ED34E3">
              <w:rPr>
                <w:sz w:val="18"/>
                <w:szCs w:val="18"/>
              </w:rPr>
              <w:t>%</w:t>
            </w:r>
          </w:p>
        </w:tc>
        <w:tc>
          <w:tcPr>
            <w:tcW w:w="501" w:type="pct"/>
            <w:shd w:val="clear" w:color="auto" w:fill="FFFFFF"/>
            <w:vAlign w:val="center"/>
          </w:tcPr>
          <w:p w14:paraId="399AF148"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6.1%</w:t>
            </w:r>
          </w:p>
        </w:tc>
        <w:tc>
          <w:tcPr>
            <w:tcW w:w="501" w:type="pct"/>
            <w:shd w:val="clear" w:color="auto" w:fill="FFFFFF"/>
            <w:vAlign w:val="center"/>
          </w:tcPr>
          <w:p w14:paraId="3BCE6CFE" w14:textId="14077DA8" w:rsidR="00080617" w:rsidRPr="00C81477" w:rsidRDefault="00D2048C"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662938">
              <w:rPr>
                <w:sz w:val="18"/>
                <w:szCs w:val="18"/>
              </w:rPr>
              <w:t>-1.2%</w:t>
            </w:r>
          </w:p>
        </w:tc>
      </w:tr>
      <w:tr w:rsidR="00C03E46" w:rsidRPr="00ED34E3" w14:paraId="29150B18" w14:textId="408D4195" w:rsidTr="00C03E4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34" w:type="pct"/>
            <w:noWrap/>
            <w:vAlign w:val="center"/>
          </w:tcPr>
          <w:p w14:paraId="5F1FDFE1" w14:textId="77777777" w:rsidR="00080617" w:rsidRPr="00ED34E3" w:rsidRDefault="00080617" w:rsidP="00662938">
            <w:pPr>
              <w:spacing w:before="80" w:after="80" w:line="240" w:lineRule="auto"/>
              <w:ind w:right="432"/>
              <w:jc w:val="left"/>
              <w:rPr>
                <w:sz w:val="18"/>
                <w:szCs w:val="18"/>
              </w:rPr>
            </w:pPr>
            <w:r w:rsidRPr="00ED34E3">
              <w:rPr>
                <w:sz w:val="18"/>
                <w:szCs w:val="18"/>
              </w:rPr>
              <w:t>Petroleum refinery products</w:t>
            </w:r>
          </w:p>
        </w:tc>
        <w:tc>
          <w:tcPr>
            <w:tcW w:w="513" w:type="pct"/>
            <w:shd w:val="clear" w:color="auto" w:fill="FFFFFF"/>
            <w:vAlign w:val="center"/>
          </w:tcPr>
          <w:p w14:paraId="64DCB58B"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3.1%</w:t>
            </w:r>
          </w:p>
        </w:tc>
        <w:tc>
          <w:tcPr>
            <w:tcW w:w="513" w:type="pct"/>
            <w:shd w:val="clear" w:color="auto" w:fill="FFFFFF"/>
            <w:vAlign w:val="center"/>
          </w:tcPr>
          <w:p w14:paraId="022D8A8A"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0.2%</w:t>
            </w:r>
          </w:p>
        </w:tc>
        <w:tc>
          <w:tcPr>
            <w:tcW w:w="513" w:type="pct"/>
            <w:shd w:val="clear" w:color="auto" w:fill="FFFFFF"/>
            <w:vAlign w:val="center"/>
          </w:tcPr>
          <w:p w14:paraId="282878F8"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-11.2%</w:t>
            </w:r>
          </w:p>
        </w:tc>
        <w:tc>
          <w:tcPr>
            <w:tcW w:w="513" w:type="pct"/>
            <w:shd w:val="clear" w:color="auto" w:fill="FFFFFF"/>
            <w:vAlign w:val="center"/>
          </w:tcPr>
          <w:p w14:paraId="33B59BB6"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8.9%</w:t>
            </w:r>
          </w:p>
        </w:tc>
        <w:tc>
          <w:tcPr>
            <w:tcW w:w="513" w:type="pct"/>
            <w:shd w:val="clear" w:color="auto" w:fill="FFFFFF"/>
            <w:vAlign w:val="center"/>
          </w:tcPr>
          <w:p w14:paraId="592368E3" w14:textId="2ABF49FC"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4.</w:t>
            </w:r>
            <w:r w:rsidR="00FB181D">
              <w:rPr>
                <w:sz w:val="18"/>
                <w:szCs w:val="18"/>
              </w:rPr>
              <w:t>8</w:t>
            </w:r>
            <w:r w:rsidRPr="00ED34E3">
              <w:rPr>
                <w:sz w:val="18"/>
                <w:szCs w:val="18"/>
              </w:rPr>
              <w:t>%</w:t>
            </w:r>
          </w:p>
        </w:tc>
        <w:tc>
          <w:tcPr>
            <w:tcW w:w="501" w:type="pct"/>
            <w:shd w:val="clear" w:color="auto" w:fill="FFFFFF"/>
            <w:vAlign w:val="center"/>
          </w:tcPr>
          <w:p w14:paraId="3E7BA927"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ED34E3">
              <w:rPr>
                <w:sz w:val="18"/>
                <w:szCs w:val="18"/>
              </w:rPr>
              <w:t>3.6%</w:t>
            </w:r>
          </w:p>
        </w:tc>
        <w:tc>
          <w:tcPr>
            <w:tcW w:w="501" w:type="pct"/>
            <w:shd w:val="clear" w:color="auto" w:fill="FFFFFF"/>
            <w:vAlign w:val="center"/>
          </w:tcPr>
          <w:p w14:paraId="0619D037" w14:textId="3B52D2FF" w:rsidR="00080617" w:rsidRPr="00C81477" w:rsidRDefault="00C8147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sz w:val="18"/>
                <w:szCs w:val="18"/>
              </w:rPr>
            </w:pPr>
            <w:r w:rsidRPr="00662938">
              <w:rPr>
                <w:sz w:val="18"/>
                <w:szCs w:val="18"/>
              </w:rPr>
              <w:t>2.8%</w:t>
            </w:r>
          </w:p>
        </w:tc>
      </w:tr>
      <w:tr w:rsidR="00C03E46" w:rsidRPr="00ED34E3" w14:paraId="2BB732E7" w14:textId="6C85E0A3" w:rsidTr="00662938">
        <w:trPr>
          <w:trHeight w:val="353"/>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0E2841" w:themeColor="text2"/>
            </w:tcBorders>
            <w:noWrap/>
            <w:vAlign w:val="center"/>
          </w:tcPr>
          <w:p w14:paraId="27576DF7" w14:textId="77777777" w:rsidR="00080617" w:rsidRPr="00ED34E3" w:rsidRDefault="00080617" w:rsidP="00662938">
            <w:pPr>
              <w:spacing w:before="80" w:after="80" w:line="240" w:lineRule="auto"/>
              <w:ind w:right="432"/>
              <w:jc w:val="left"/>
              <w:rPr>
                <w:sz w:val="18"/>
                <w:szCs w:val="18"/>
              </w:rPr>
            </w:pPr>
            <w:r w:rsidRPr="00ED34E3">
              <w:rPr>
                <w:sz w:val="18"/>
                <w:szCs w:val="18"/>
              </w:rPr>
              <w:t>Steel</w:t>
            </w:r>
          </w:p>
        </w:tc>
        <w:tc>
          <w:tcPr>
            <w:tcW w:w="0" w:type="pct"/>
            <w:tcBorders>
              <w:bottom w:val="single" w:sz="4" w:space="0" w:color="0E2841" w:themeColor="text2"/>
            </w:tcBorders>
            <w:shd w:val="clear" w:color="auto" w:fill="FFFFFF"/>
            <w:vAlign w:val="center"/>
          </w:tcPr>
          <w:p w14:paraId="602252D4"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5.1%</w:t>
            </w:r>
          </w:p>
        </w:tc>
        <w:tc>
          <w:tcPr>
            <w:tcW w:w="0" w:type="pct"/>
            <w:tcBorders>
              <w:bottom w:val="single" w:sz="4" w:space="0" w:color="0E2841" w:themeColor="text2"/>
            </w:tcBorders>
            <w:shd w:val="clear" w:color="auto" w:fill="FFFFFF"/>
            <w:vAlign w:val="center"/>
          </w:tcPr>
          <w:p w14:paraId="1FD06E67" w14:textId="07860145"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3.</w:t>
            </w:r>
            <w:r w:rsidR="00FB181D">
              <w:rPr>
                <w:sz w:val="18"/>
                <w:szCs w:val="18"/>
              </w:rPr>
              <w:t>4</w:t>
            </w:r>
            <w:r w:rsidRPr="00ED34E3">
              <w:rPr>
                <w:sz w:val="18"/>
                <w:szCs w:val="18"/>
              </w:rPr>
              <w:t>%</w:t>
            </w:r>
          </w:p>
        </w:tc>
        <w:tc>
          <w:tcPr>
            <w:tcW w:w="0" w:type="pct"/>
            <w:tcBorders>
              <w:bottom w:val="single" w:sz="4" w:space="0" w:color="0E2841" w:themeColor="text2"/>
            </w:tcBorders>
            <w:shd w:val="clear" w:color="auto" w:fill="FFFFFF"/>
            <w:vAlign w:val="center"/>
          </w:tcPr>
          <w:p w14:paraId="1A2821AA"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-8.7%</w:t>
            </w:r>
          </w:p>
        </w:tc>
        <w:tc>
          <w:tcPr>
            <w:tcW w:w="0" w:type="pct"/>
            <w:tcBorders>
              <w:bottom w:val="single" w:sz="4" w:space="0" w:color="0E2841" w:themeColor="text2"/>
            </w:tcBorders>
            <w:shd w:val="clear" w:color="auto" w:fill="FFFFFF"/>
            <w:vAlign w:val="center"/>
          </w:tcPr>
          <w:p w14:paraId="10A02BBC"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16.9%</w:t>
            </w:r>
          </w:p>
        </w:tc>
        <w:tc>
          <w:tcPr>
            <w:tcW w:w="0" w:type="pct"/>
            <w:tcBorders>
              <w:bottom w:val="single" w:sz="4" w:space="0" w:color="0E2841" w:themeColor="text2"/>
            </w:tcBorders>
            <w:shd w:val="clear" w:color="auto" w:fill="FFFFFF"/>
            <w:vAlign w:val="center"/>
          </w:tcPr>
          <w:p w14:paraId="6BBA8EE1"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9.3%</w:t>
            </w:r>
          </w:p>
        </w:tc>
        <w:tc>
          <w:tcPr>
            <w:tcW w:w="0" w:type="pct"/>
            <w:tcBorders>
              <w:bottom w:val="single" w:sz="4" w:space="0" w:color="0E2841" w:themeColor="text2"/>
            </w:tcBorders>
            <w:shd w:val="clear" w:color="auto" w:fill="FFFFFF"/>
            <w:vAlign w:val="center"/>
          </w:tcPr>
          <w:p w14:paraId="6F0847CB" w14:textId="77777777" w:rsidR="00080617" w:rsidRPr="00ED34E3" w:rsidRDefault="0008061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ED34E3">
              <w:rPr>
                <w:sz w:val="18"/>
                <w:szCs w:val="18"/>
              </w:rPr>
              <w:t>12.5%</w:t>
            </w:r>
          </w:p>
        </w:tc>
        <w:tc>
          <w:tcPr>
            <w:tcW w:w="0" w:type="pct"/>
            <w:tcBorders>
              <w:bottom w:val="single" w:sz="4" w:space="0" w:color="0E2841" w:themeColor="text2"/>
            </w:tcBorders>
            <w:shd w:val="clear" w:color="auto" w:fill="FFFFFF"/>
            <w:vAlign w:val="center"/>
          </w:tcPr>
          <w:p w14:paraId="6707AEFF" w14:textId="32036A06" w:rsidR="00080617" w:rsidRPr="00C81477" w:rsidRDefault="00C81477" w:rsidP="00662938">
            <w:pPr>
              <w:spacing w:before="80" w:after="80" w:line="240" w:lineRule="auto"/>
              <w:ind w:right="-60"/>
              <w:jc w:val="center"/>
              <w:cnfStyle w:val="000000000000" w:firstRow="0" w:lastRow="0" w:firstColumn="0" w:lastColumn="0" w:oddVBand="0" w:evenVBand="0" w:oddHBand="0" w:evenHBand="0" w:firstRowFirstColumn="0" w:firstRowLastColumn="0" w:lastRowFirstColumn="0" w:lastRowLastColumn="0"/>
              <w:rPr>
                <w:sz w:val="18"/>
                <w:szCs w:val="18"/>
              </w:rPr>
            </w:pPr>
            <w:r w:rsidRPr="00662938">
              <w:rPr>
                <w:sz w:val="18"/>
                <w:szCs w:val="18"/>
              </w:rPr>
              <w:t>6.7%</w:t>
            </w:r>
          </w:p>
        </w:tc>
      </w:tr>
      <w:tr w:rsidR="00160797" w:rsidRPr="00ED34E3" w14:paraId="31938F17" w14:textId="78400E41" w:rsidTr="0066293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0E2841" w:themeColor="text2"/>
              <w:bottom w:val="nil"/>
            </w:tcBorders>
            <w:shd w:val="clear" w:color="auto" w:fill="D9D9D9"/>
            <w:noWrap/>
            <w:vAlign w:val="center"/>
          </w:tcPr>
          <w:p w14:paraId="2E28A102" w14:textId="77777777" w:rsidR="00080617" w:rsidRPr="00ED34E3" w:rsidRDefault="00080617" w:rsidP="00662938">
            <w:pPr>
              <w:spacing w:before="80" w:after="80" w:line="240" w:lineRule="auto"/>
              <w:ind w:right="432"/>
              <w:jc w:val="left"/>
              <w:rPr>
                <w:sz w:val="18"/>
                <w:szCs w:val="18"/>
              </w:rPr>
            </w:pPr>
            <w:r w:rsidRPr="00ED34E3">
              <w:rPr>
                <w:sz w:val="18"/>
                <w:szCs w:val="18"/>
              </w:rPr>
              <w:t>Combined Index (Base year 2011-2012)</w:t>
            </w:r>
          </w:p>
        </w:tc>
        <w:tc>
          <w:tcPr>
            <w:tcW w:w="0" w:type="pct"/>
            <w:tcBorders>
              <w:top w:val="single" w:sz="4" w:space="0" w:color="0E2841" w:themeColor="text2"/>
              <w:bottom w:val="nil"/>
            </w:tcBorders>
            <w:shd w:val="clear" w:color="auto" w:fill="D9D9D9"/>
            <w:vAlign w:val="center"/>
          </w:tcPr>
          <w:p w14:paraId="67B5A271"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D34E3">
              <w:rPr>
                <w:b/>
                <w:bCs/>
                <w:sz w:val="18"/>
                <w:szCs w:val="18"/>
              </w:rPr>
              <w:t>4.4%</w:t>
            </w:r>
          </w:p>
        </w:tc>
        <w:tc>
          <w:tcPr>
            <w:tcW w:w="0" w:type="pct"/>
            <w:tcBorders>
              <w:top w:val="single" w:sz="4" w:space="0" w:color="0E2841" w:themeColor="text2"/>
              <w:bottom w:val="nil"/>
            </w:tcBorders>
            <w:shd w:val="clear" w:color="auto" w:fill="D9D9D9"/>
            <w:vAlign w:val="center"/>
          </w:tcPr>
          <w:p w14:paraId="3E25A54A" w14:textId="3AEB7ACD"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D34E3">
              <w:rPr>
                <w:b/>
                <w:bCs/>
                <w:sz w:val="18"/>
                <w:szCs w:val="18"/>
              </w:rPr>
              <w:t>0.</w:t>
            </w:r>
            <w:r w:rsidR="00B710A0">
              <w:rPr>
                <w:b/>
                <w:bCs/>
                <w:sz w:val="18"/>
                <w:szCs w:val="18"/>
              </w:rPr>
              <w:t>4</w:t>
            </w:r>
            <w:r w:rsidRPr="00ED34E3">
              <w:rPr>
                <w:b/>
                <w:bCs/>
                <w:sz w:val="18"/>
                <w:szCs w:val="18"/>
              </w:rPr>
              <w:t>%</w:t>
            </w:r>
          </w:p>
        </w:tc>
        <w:tc>
          <w:tcPr>
            <w:tcW w:w="0" w:type="pct"/>
            <w:tcBorders>
              <w:top w:val="single" w:sz="4" w:space="0" w:color="0E2841" w:themeColor="text2"/>
              <w:bottom w:val="nil"/>
            </w:tcBorders>
            <w:shd w:val="clear" w:color="auto" w:fill="D9D9D9"/>
            <w:vAlign w:val="center"/>
          </w:tcPr>
          <w:p w14:paraId="4542D25D"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D34E3">
              <w:rPr>
                <w:b/>
                <w:bCs/>
                <w:sz w:val="18"/>
                <w:szCs w:val="18"/>
              </w:rPr>
              <w:t>-6.4%</w:t>
            </w:r>
          </w:p>
        </w:tc>
        <w:tc>
          <w:tcPr>
            <w:tcW w:w="0" w:type="pct"/>
            <w:tcBorders>
              <w:top w:val="single" w:sz="4" w:space="0" w:color="0E2841" w:themeColor="text2"/>
              <w:bottom w:val="nil"/>
            </w:tcBorders>
            <w:shd w:val="clear" w:color="auto" w:fill="D9D9D9"/>
            <w:vAlign w:val="center"/>
          </w:tcPr>
          <w:p w14:paraId="2F8D0264" w14:textId="76D2CFEE"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D34E3">
              <w:rPr>
                <w:b/>
                <w:bCs/>
                <w:sz w:val="18"/>
                <w:szCs w:val="18"/>
              </w:rPr>
              <w:t>10.</w:t>
            </w:r>
            <w:r w:rsidR="00B710A0">
              <w:rPr>
                <w:b/>
                <w:bCs/>
                <w:sz w:val="18"/>
                <w:szCs w:val="18"/>
              </w:rPr>
              <w:t>4</w:t>
            </w:r>
            <w:r w:rsidRPr="00ED34E3">
              <w:rPr>
                <w:b/>
                <w:bCs/>
                <w:sz w:val="18"/>
                <w:szCs w:val="18"/>
              </w:rPr>
              <w:t>%</w:t>
            </w:r>
          </w:p>
        </w:tc>
        <w:tc>
          <w:tcPr>
            <w:tcW w:w="0" w:type="pct"/>
            <w:tcBorders>
              <w:top w:val="single" w:sz="4" w:space="0" w:color="0E2841" w:themeColor="text2"/>
              <w:bottom w:val="nil"/>
            </w:tcBorders>
            <w:shd w:val="clear" w:color="auto" w:fill="D9D9D9"/>
            <w:vAlign w:val="center"/>
          </w:tcPr>
          <w:p w14:paraId="4FA1908B"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D34E3">
              <w:rPr>
                <w:b/>
                <w:bCs/>
                <w:sz w:val="18"/>
                <w:szCs w:val="18"/>
              </w:rPr>
              <w:t>7.8%</w:t>
            </w:r>
          </w:p>
        </w:tc>
        <w:tc>
          <w:tcPr>
            <w:tcW w:w="0" w:type="pct"/>
            <w:tcBorders>
              <w:top w:val="single" w:sz="4" w:space="0" w:color="0E2841" w:themeColor="text2"/>
              <w:bottom w:val="nil"/>
            </w:tcBorders>
            <w:shd w:val="clear" w:color="auto" w:fill="D9D9D9"/>
            <w:vAlign w:val="center"/>
          </w:tcPr>
          <w:p w14:paraId="0432F2A6" w14:textId="77777777" w:rsidR="00080617" w:rsidRPr="00ED34E3" w:rsidRDefault="0008061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D34E3">
              <w:rPr>
                <w:b/>
                <w:bCs/>
                <w:sz w:val="18"/>
                <w:szCs w:val="18"/>
              </w:rPr>
              <w:t>7.6%</w:t>
            </w:r>
          </w:p>
        </w:tc>
        <w:tc>
          <w:tcPr>
            <w:tcW w:w="0" w:type="pct"/>
            <w:tcBorders>
              <w:top w:val="single" w:sz="4" w:space="0" w:color="0E2841" w:themeColor="text2"/>
              <w:bottom w:val="nil"/>
            </w:tcBorders>
            <w:shd w:val="clear" w:color="auto" w:fill="D9D9D9"/>
            <w:vAlign w:val="center"/>
          </w:tcPr>
          <w:p w14:paraId="4C6FD085" w14:textId="32D31F2C" w:rsidR="00080617" w:rsidRPr="00C81477" w:rsidRDefault="00C81477" w:rsidP="00662938">
            <w:pPr>
              <w:spacing w:before="80" w:after="80" w:line="240" w:lineRule="auto"/>
              <w:ind w:right="-6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662938">
              <w:rPr>
                <w:b/>
                <w:bCs/>
                <w:sz w:val="18"/>
                <w:szCs w:val="18"/>
              </w:rPr>
              <w:t>4.4%</w:t>
            </w:r>
          </w:p>
        </w:tc>
      </w:tr>
    </w:tbl>
    <w:p w14:paraId="04E53575" w14:textId="1A7F3294" w:rsidR="00C7511A" w:rsidRDefault="00C7511A" w:rsidP="00C7511A">
      <w:pPr>
        <w:tabs>
          <w:tab w:val="center" w:pos="4680"/>
          <w:tab w:val="right" w:pos="9720"/>
        </w:tabs>
        <w:spacing w:after="120" w:line="240" w:lineRule="auto"/>
        <w:ind w:right="432"/>
        <w:rPr>
          <w:rFonts w:eastAsiaTheme="minorEastAsia"/>
          <w:i/>
          <w:sz w:val="16"/>
          <w:szCs w:val="15"/>
        </w:rPr>
      </w:pPr>
      <w:r w:rsidRPr="00CD0657">
        <w:rPr>
          <w:rFonts w:eastAsiaTheme="minorEastAsia"/>
          <w:i/>
          <w:sz w:val="16"/>
          <w:szCs w:val="15"/>
        </w:rPr>
        <w:t>Source: Ministry of Commerce &amp; Industries</w:t>
      </w:r>
      <w:r w:rsidR="00B710A0">
        <w:rPr>
          <w:rFonts w:eastAsiaTheme="minorEastAsia"/>
          <w:i/>
          <w:sz w:val="16"/>
          <w:szCs w:val="15"/>
        </w:rPr>
        <w:t xml:space="preserve"> dated 21</w:t>
      </w:r>
      <w:r w:rsidR="00B710A0" w:rsidRPr="00662938">
        <w:rPr>
          <w:rFonts w:eastAsiaTheme="minorEastAsia"/>
          <w:i/>
          <w:sz w:val="16"/>
          <w:szCs w:val="15"/>
          <w:vertAlign w:val="superscript"/>
        </w:rPr>
        <w:t>st</w:t>
      </w:r>
      <w:r w:rsidR="00B710A0">
        <w:rPr>
          <w:rFonts w:eastAsiaTheme="minorEastAsia"/>
          <w:i/>
          <w:sz w:val="16"/>
          <w:szCs w:val="15"/>
        </w:rPr>
        <w:t xml:space="preserve"> April 2025</w:t>
      </w:r>
      <w:r w:rsidRPr="00CD0657">
        <w:rPr>
          <w:rFonts w:eastAsiaTheme="minorEastAsia"/>
          <w:i/>
          <w:sz w:val="16"/>
          <w:szCs w:val="15"/>
        </w:rPr>
        <w:t>, All years are fiscal years</w:t>
      </w:r>
    </w:p>
    <w:p w14:paraId="684083A5" w14:textId="738FEE31" w:rsidR="00C7511A" w:rsidRPr="00C409C5" w:rsidRDefault="00C7511A" w:rsidP="00C7511A">
      <w:pPr>
        <w:ind w:right="112"/>
        <w:rPr>
          <w:szCs w:val="20"/>
        </w:rPr>
      </w:pPr>
      <w:r w:rsidRPr="00C409C5">
        <w:rPr>
          <w:szCs w:val="20"/>
        </w:rPr>
        <w:t xml:space="preserve">In terms of sectoral growth of the eight core industries, the coal sector grew </w:t>
      </w:r>
      <w:r>
        <w:rPr>
          <w:szCs w:val="20"/>
        </w:rPr>
        <w:t xml:space="preserve">(y-o-y) </w:t>
      </w:r>
      <w:r w:rsidRPr="00C409C5">
        <w:rPr>
          <w:szCs w:val="20"/>
        </w:rPr>
        <w:t xml:space="preserve">at </w:t>
      </w:r>
      <w:r w:rsidR="00FE091E">
        <w:rPr>
          <w:szCs w:val="20"/>
        </w:rPr>
        <w:t>5.1</w:t>
      </w:r>
      <w:r w:rsidRPr="00C409C5">
        <w:rPr>
          <w:szCs w:val="20"/>
        </w:rPr>
        <w:t>% in fiscal 202</w:t>
      </w:r>
      <w:r w:rsidR="00044EB5">
        <w:rPr>
          <w:szCs w:val="20"/>
        </w:rPr>
        <w:t>5</w:t>
      </w:r>
      <w:r w:rsidRPr="00C409C5">
        <w:rPr>
          <w:szCs w:val="20"/>
        </w:rPr>
        <w:t xml:space="preserve"> as compared with 1</w:t>
      </w:r>
      <w:r w:rsidR="00FE091E">
        <w:rPr>
          <w:szCs w:val="20"/>
        </w:rPr>
        <w:t>1.</w:t>
      </w:r>
      <w:r w:rsidR="006754EA">
        <w:rPr>
          <w:szCs w:val="20"/>
        </w:rPr>
        <w:t>8</w:t>
      </w:r>
      <w:r w:rsidRPr="00C409C5">
        <w:rPr>
          <w:szCs w:val="20"/>
        </w:rPr>
        <w:t>% in fiscal 202</w:t>
      </w:r>
      <w:r w:rsidR="0054768C">
        <w:rPr>
          <w:szCs w:val="20"/>
        </w:rPr>
        <w:t>4</w:t>
      </w:r>
      <w:r w:rsidRPr="00C409C5">
        <w:rPr>
          <w:szCs w:val="20"/>
        </w:rPr>
        <w:t xml:space="preserve">, </w:t>
      </w:r>
      <w:r w:rsidR="0035236C">
        <w:rPr>
          <w:szCs w:val="20"/>
        </w:rPr>
        <w:t>among</w:t>
      </w:r>
      <w:r w:rsidRPr="00C409C5">
        <w:rPr>
          <w:szCs w:val="20"/>
        </w:rPr>
        <w:t xml:space="preserve"> the Index of Eight Core Industries (ICI; base year 2011-12) as per Ministry of Commerce &amp; Industries</w:t>
      </w:r>
      <w:r w:rsidRPr="00C409C5">
        <w:rPr>
          <w:szCs w:val="20"/>
          <w:vertAlign w:val="superscript"/>
        </w:rPr>
        <w:footnoteReference w:id="9"/>
      </w:r>
      <w:r w:rsidRPr="00C409C5">
        <w:rPr>
          <w:szCs w:val="20"/>
        </w:rPr>
        <w:t xml:space="preserve">. The combined Index of Eight Core Industries (ICI) increased </w:t>
      </w:r>
      <w:r w:rsidR="0054768C">
        <w:rPr>
          <w:szCs w:val="20"/>
        </w:rPr>
        <w:t>4.4</w:t>
      </w:r>
      <w:r w:rsidRPr="00C409C5">
        <w:rPr>
          <w:szCs w:val="20"/>
        </w:rPr>
        <w:t xml:space="preserve">% </w:t>
      </w:r>
      <w:r w:rsidR="006F5362">
        <w:rPr>
          <w:szCs w:val="20"/>
        </w:rPr>
        <w:t>year-</w:t>
      </w:r>
      <w:r w:rsidRPr="00C409C5">
        <w:rPr>
          <w:szCs w:val="20"/>
        </w:rPr>
        <w:t>on-year in fiscal 202</w:t>
      </w:r>
      <w:r w:rsidR="0054768C">
        <w:rPr>
          <w:szCs w:val="20"/>
        </w:rPr>
        <w:t>5</w:t>
      </w:r>
      <w:r w:rsidRPr="00C409C5">
        <w:rPr>
          <w:szCs w:val="20"/>
        </w:rPr>
        <w:t>.</w:t>
      </w:r>
    </w:p>
    <w:p w14:paraId="0E074F59" w14:textId="77777777" w:rsidR="00C7511A" w:rsidRPr="00740FCA" w:rsidRDefault="00C7511A" w:rsidP="00C7511A">
      <w:pPr>
        <w:pStyle w:val="Heading2"/>
      </w:pPr>
      <w:bookmarkStart w:id="102" w:name="_Toc192073606"/>
      <w:bookmarkStart w:id="103" w:name="_Toc192153627"/>
      <w:bookmarkStart w:id="104" w:name="_Toc192195229"/>
      <w:bookmarkStart w:id="105" w:name="_Toc198730342"/>
      <w:r w:rsidRPr="00740FCA">
        <w:t>Mining industry contribution to % of India</w:t>
      </w:r>
      <w:r>
        <w:t>’s</w:t>
      </w:r>
      <w:r w:rsidRPr="00740FCA">
        <w:t xml:space="preserve"> GDP in last 10 years</w:t>
      </w:r>
      <w:bookmarkEnd w:id="102"/>
      <w:bookmarkEnd w:id="103"/>
      <w:bookmarkEnd w:id="104"/>
      <w:bookmarkEnd w:id="105"/>
    </w:p>
    <w:p w14:paraId="497BCD38" w14:textId="468D2ECE" w:rsidR="00C7511A" w:rsidRPr="00C409C5" w:rsidRDefault="00C7511A" w:rsidP="00C7511A">
      <w:pPr>
        <w:ind w:right="112"/>
        <w:rPr>
          <w:szCs w:val="20"/>
        </w:rPr>
      </w:pPr>
      <w:r w:rsidRPr="00C409C5">
        <w:rPr>
          <w:szCs w:val="20"/>
        </w:rPr>
        <w:t xml:space="preserve">The mining and quarrying sector accounted for </w:t>
      </w:r>
      <w:r w:rsidR="00C10461">
        <w:t xml:space="preserve">approximately </w:t>
      </w:r>
      <w:r w:rsidRPr="00C409C5">
        <w:rPr>
          <w:szCs w:val="20"/>
        </w:rPr>
        <w:t>2.1% of the GVA (at constant prices) in fiscal 202</w:t>
      </w:r>
      <w:r w:rsidR="006803D2">
        <w:rPr>
          <w:szCs w:val="20"/>
        </w:rPr>
        <w:t>5</w:t>
      </w:r>
      <w:r w:rsidR="003F6D43">
        <w:rPr>
          <w:szCs w:val="20"/>
        </w:rPr>
        <w:t xml:space="preserve"> i.e.</w:t>
      </w:r>
      <w:r w:rsidRPr="00C409C5">
        <w:rPr>
          <w:szCs w:val="20"/>
        </w:rPr>
        <w:t xml:space="preserve"> Rs 3.</w:t>
      </w:r>
      <w:r w:rsidR="00BF6FEF">
        <w:rPr>
          <w:szCs w:val="20"/>
        </w:rPr>
        <w:t>47</w:t>
      </w:r>
      <w:r w:rsidRPr="00C409C5">
        <w:rPr>
          <w:szCs w:val="20"/>
        </w:rPr>
        <w:t xml:space="preserve"> trillion </w:t>
      </w:r>
      <w:r w:rsidR="003F6D43">
        <w:rPr>
          <w:szCs w:val="20"/>
        </w:rPr>
        <w:t xml:space="preserve">from </w:t>
      </w:r>
      <w:r w:rsidRPr="00C409C5">
        <w:rPr>
          <w:szCs w:val="20"/>
        </w:rPr>
        <w:t>Rs 3.17 trillion in fiscal 2019 (2.6% of GVA)</w:t>
      </w:r>
      <w:r w:rsidR="00E309F5">
        <w:rPr>
          <w:szCs w:val="20"/>
        </w:rPr>
        <w:t xml:space="preserve"> recording a </w:t>
      </w:r>
      <w:r w:rsidRPr="00C409C5">
        <w:rPr>
          <w:szCs w:val="20"/>
        </w:rPr>
        <w:t xml:space="preserve">growth </w:t>
      </w:r>
      <w:r w:rsidR="00E309F5">
        <w:rPr>
          <w:szCs w:val="20"/>
        </w:rPr>
        <w:t>of</w:t>
      </w:r>
      <w:r w:rsidRPr="00C409C5">
        <w:rPr>
          <w:szCs w:val="20"/>
        </w:rPr>
        <w:t xml:space="preserve"> </w:t>
      </w:r>
      <w:r w:rsidR="00F24928">
        <w:rPr>
          <w:szCs w:val="20"/>
        </w:rPr>
        <w:t>2</w:t>
      </w:r>
      <w:r w:rsidRPr="00C409C5">
        <w:rPr>
          <w:szCs w:val="20"/>
        </w:rPr>
        <w:t>.</w:t>
      </w:r>
      <w:r w:rsidR="00F24928">
        <w:rPr>
          <w:szCs w:val="20"/>
        </w:rPr>
        <w:t>86</w:t>
      </w:r>
      <w:r w:rsidRPr="00C409C5">
        <w:rPr>
          <w:szCs w:val="20"/>
        </w:rPr>
        <w:t>% in 202</w:t>
      </w:r>
      <w:r w:rsidR="00BF6FEF">
        <w:rPr>
          <w:szCs w:val="20"/>
        </w:rPr>
        <w:t>5</w:t>
      </w:r>
      <w:r w:rsidRPr="00C409C5">
        <w:rPr>
          <w:szCs w:val="20"/>
        </w:rPr>
        <w:t xml:space="preserve"> over that in the previous fiscal. The </w:t>
      </w:r>
      <w:r>
        <w:rPr>
          <w:szCs w:val="20"/>
        </w:rPr>
        <w:t xml:space="preserve">last </w:t>
      </w:r>
      <w:r w:rsidR="00F24928">
        <w:rPr>
          <w:szCs w:val="20"/>
        </w:rPr>
        <w:t>five</w:t>
      </w:r>
      <w:r w:rsidRPr="00C409C5">
        <w:rPr>
          <w:szCs w:val="20"/>
        </w:rPr>
        <w:t xml:space="preserve">-year CAGR was </w:t>
      </w:r>
      <w:r w:rsidR="00F24928">
        <w:rPr>
          <w:szCs w:val="20"/>
        </w:rPr>
        <w:t>1.83</w:t>
      </w:r>
      <w:r w:rsidRPr="00C409C5">
        <w:rPr>
          <w:szCs w:val="20"/>
        </w:rPr>
        <w:t>%</w:t>
      </w:r>
      <w:r>
        <w:rPr>
          <w:szCs w:val="20"/>
        </w:rPr>
        <w:t xml:space="preserve"> (FY 202</w:t>
      </w:r>
      <w:r w:rsidR="00F24928">
        <w:rPr>
          <w:szCs w:val="20"/>
        </w:rPr>
        <w:t>0</w:t>
      </w:r>
      <w:r>
        <w:rPr>
          <w:szCs w:val="20"/>
        </w:rPr>
        <w:t>- 202</w:t>
      </w:r>
      <w:r w:rsidR="00F24928">
        <w:rPr>
          <w:szCs w:val="20"/>
        </w:rPr>
        <w:t>5</w:t>
      </w:r>
      <w:r>
        <w:rPr>
          <w:szCs w:val="20"/>
        </w:rPr>
        <w:t xml:space="preserve">). </w:t>
      </w:r>
    </w:p>
    <w:p w14:paraId="5B3A1BE6" w14:textId="77777777" w:rsidR="00C03E46" w:rsidRDefault="00C03E46" w:rsidP="00C7511A">
      <w:pPr>
        <w:pStyle w:val="Caption1"/>
      </w:pPr>
      <w:bookmarkStart w:id="106" w:name="_Toc192073652"/>
      <w:bookmarkStart w:id="107" w:name="_Toc192153671"/>
      <w:bookmarkStart w:id="108" w:name="_Toc192195337"/>
    </w:p>
    <w:p w14:paraId="150F6B0C" w14:textId="77777777" w:rsidR="00C03E46" w:rsidRDefault="00C03E46" w:rsidP="00C7511A">
      <w:pPr>
        <w:pStyle w:val="Caption1"/>
      </w:pPr>
    </w:p>
    <w:p w14:paraId="0B7EA11A" w14:textId="77777777" w:rsidR="00C03E46" w:rsidRDefault="00C03E46" w:rsidP="00C7511A">
      <w:pPr>
        <w:pStyle w:val="Caption1"/>
      </w:pPr>
    </w:p>
    <w:p w14:paraId="712BAE2A" w14:textId="77777777" w:rsidR="00C03E46" w:rsidRDefault="00C03E46" w:rsidP="00C7511A">
      <w:pPr>
        <w:pStyle w:val="Caption1"/>
      </w:pPr>
    </w:p>
    <w:p w14:paraId="6218E55E" w14:textId="77777777" w:rsidR="00C03E46" w:rsidRDefault="00C03E46" w:rsidP="00C7511A">
      <w:pPr>
        <w:pStyle w:val="Caption1"/>
      </w:pPr>
    </w:p>
    <w:p w14:paraId="0A1F4086" w14:textId="77777777" w:rsidR="00C03E46" w:rsidRDefault="00C03E46" w:rsidP="00C7511A">
      <w:pPr>
        <w:pStyle w:val="Caption1"/>
      </w:pPr>
    </w:p>
    <w:p w14:paraId="6925D4DA" w14:textId="77777777" w:rsidR="00C03E46" w:rsidRDefault="00C03E46" w:rsidP="00C7511A">
      <w:pPr>
        <w:pStyle w:val="Caption1"/>
      </w:pPr>
    </w:p>
    <w:p w14:paraId="5166DC2C" w14:textId="77777777" w:rsidR="00C03E46" w:rsidRDefault="00C03E46" w:rsidP="00C7511A">
      <w:pPr>
        <w:pStyle w:val="Caption1"/>
      </w:pPr>
    </w:p>
    <w:p w14:paraId="2D7CA68D" w14:textId="11841BFE" w:rsidR="00C7511A" w:rsidRPr="00740FCA" w:rsidRDefault="00C7511A" w:rsidP="00C7511A">
      <w:pPr>
        <w:pStyle w:val="Caption1"/>
      </w:pPr>
      <w:bookmarkStart w:id="109" w:name="_Toc198731487"/>
      <w:r w:rsidRPr="00740FCA">
        <w:t xml:space="preserve">Figure </w:t>
      </w:r>
      <w:r w:rsidRPr="00740FCA">
        <w:fldChar w:fldCharType="begin"/>
      </w:r>
      <w:r w:rsidRPr="00740FCA">
        <w:instrText xml:space="preserve"> STYLEREF 1 \s </w:instrText>
      </w:r>
      <w:r w:rsidRPr="00740FCA">
        <w:fldChar w:fldCharType="separate"/>
      </w:r>
      <w:r w:rsidR="002142B9">
        <w:t>1</w:t>
      </w:r>
      <w:r w:rsidRPr="00740FCA">
        <w:fldChar w:fldCharType="end"/>
      </w:r>
      <w:r w:rsidRPr="00740FCA">
        <w:t>.</w:t>
      </w:r>
      <w:r w:rsidRPr="00740FCA">
        <w:fldChar w:fldCharType="begin"/>
      </w:r>
      <w:r w:rsidRPr="00740FCA">
        <w:instrText xml:space="preserve"> SEQ Figure \* ARABIC \s 1 </w:instrText>
      </w:r>
      <w:r w:rsidRPr="00740FCA">
        <w:fldChar w:fldCharType="separate"/>
      </w:r>
      <w:r w:rsidR="002142B9">
        <w:t>4</w:t>
      </w:r>
      <w:r w:rsidRPr="00740FCA">
        <w:fldChar w:fldCharType="end"/>
      </w:r>
      <w:r w:rsidRPr="00740FCA">
        <w:t xml:space="preserve">: </w:t>
      </w:r>
      <w:r w:rsidR="0038501F" w:rsidRPr="00740FCA">
        <w:t xml:space="preserve">India’s </w:t>
      </w:r>
      <w:r w:rsidRPr="00740FCA">
        <w:t xml:space="preserve">mining and quarrying </w:t>
      </w:r>
      <w:r w:rsidR="006F5362">
        <w:t>GVA g</w:t>
      </w:r>
      <w:r w:rsidRPr="00740FCA">
        <w:t>rowth</w:t>
      </w:r>
      <w:bookmarkEnd w:id="106"/>
      <w:bookmarkEnd w:id="107"/>
      <w:bookmarkEnd w:id="108"/>
      <w:r w:rsidR="0038501F">
        <w:t xml:space="preserve"> </w:t>
      </w:r>
      <w:r w:rsidR="006F5362">
        <w:t>rate</w:t>
      </w:r>
      <w:r w:rsidR="0038501F">
        <w:t xml:space="preserve"> </w:t>
      </w:r>
      <w:r w:rsidR="00DD0E89">
        <w:t xml:space="preserve">| </w:t>
      </w:r>
      <w:r w:rsidR="00DD0E89" w:rsidRPr="00DD0E89">
        <w:t>Share of mining and quarrying in India’s GVA</w:t>
      </w:r>
      <w:bookmarkEnd w:id="1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5176"/>
      </w:tblGrid>
      <w:tr w:rsidR="00C7511A" w:rsidRPr="00740FCA" w14:paraId="7C48FA80" w14:textId="77777777" w:rsidTr="002F7E18">
        <w:tc>
          <w:tcPr>
            <w:tcW w:w="5098" w:type="dxa"/>
          </w:tcPr>
          <w:p w14:paraId="220E3475" w14:textId="77777777" w:rsidR="00C7511A" w:rsidRPr="00740FCA" w:rsidRDefault="00C7511A" w:rsidP="002F7E18">
            <w:pPr>
              <w:spacing w:before="100" w:after="100" w:line="240" w:lineRule="auto"/>
              <w:ind w:right="432"/>
              <w:rPr>
                <w:rFonts w:eastAsia="Calibri"/>
                <w:color w:val="434242"/>
                <w:szCs w:val="20"/>
                <w:lang w:val="en-GB"/>
              </w:rPr>
            </w:pPr>
            <w:r w:rsidRPr="00740FCA">
              <w:rPr>
                <w:rFonts w:eastAsia="Calibri"/>
                <w:noProof/>
                <w:color w:val="434242"/>
                <w:szCs w:val="20"/>
              </w:rPr>
              <w:drawing>
                <wp:inline distT="0" distB="0" distL="0" distR="0" wp14:anchorId="5A171862" wp14:editId="2EE4FD75">
                  <wp:extent cx="3108960" cy="1955409"/>
                  <wp:effectExtent l="0" t="0" r="0" b="6985"/>
                  <wp:docPr id="2122465512" name="Chart 1">
                    <a:extLst xmlns:a="http://schemas.openxmlformats.org/drawingml/2006/main">
                      <a:ext uri="{FF2B5EF4-FFF2-40B4-BE49-F238E27FC236}">
                        <a16:creationId xmlns:a16="http://schemas.microsoft.com/office/drawing/2014/main" id="{D762EA28-FC56-F158-E02C-453278DE7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99" w:type="dxa"/>
            <w:shd w:val="clear" w:color="auto" w:fill="auto"/>
          </w:tcPr>
          <w:p w14:paraId="15FF400D" w14:textId="77777777" w:rsidR="00C7511A" w:rsidRPr="00740FCA" w:rsidRDefault="00C7511A" w:rsidP="002F7E18">
            <w:pPr>
              <w:spacing w:before="100" w:after="100" w:line="240" w:lineRule="auto"/>
              <w:ind w:right="432"/>
              <w:rPr>
                <w:rFonts w:eastAsia="Calibri"/>
                <w:color w:val="434242"/>
                <w:szCs w:val="20"/>
                <w:lang w:val="en-GB"/>
              </w:rPr>
            </w:pPr>
            <w:r w:rsidRPr="00740FCA">
              <w:rPr>
                <w:rFonts w:eastAsia="Calibri"/>
                <w:noProof/>
                <w:color w:val="434242"/>
                <w:szCs w:val="20"/>
              </w:rPr>
              <w:drawing>
                <wp:inline distT="0" distB="0" distL="0" distR="0" wp14:anchorId="3C53F1F4" wp14:editId="19FDA33B">
                  <wp:extent cx="2982351" cy="1974850"/>
                  <wp:effectExtent l="0" t="0" r="8890" b="6350"/>
                  <wp:docPr id="1725763098" name="Chart 1">
                    <a:extLst xmlns:a="http://schemas.openxmlformats.org/drawingml/2006/main">
                      <a:ext uri="{FF2B5EF4-FFF2-40B4-BE49-F238E27FC236}">
                        <a16:creationId xmlns:a16="http://schemas.microsoft.com/office/drawing/2014/main" id="{ECDC6201-98D5-BC5A-E9E4-FDF1F394F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6BF0128" w14:textId="77777777" w:rsidR="00C7511A" w:rsidRPr="00740FCA" w:rsidRDefault="00C7511A" w:rsidP="00662938">
      <w:pPr>
        <w:tabs>
          <w:tab w:val="center" w:pos="4680"/>
          <w:tab w:val="right" w:pos="9720"/>
        </w:tabs>
        <w:spacing w:before="0" w:after="120" w:line="240" w:lineRule="auto"/>
        <w:ind w:right="112"/>
        <w:rPr>
          <w:rFonts w:eastAsiaTheme="minorEastAsia"/>
          <w:i/>
          <w:sz w:val="16"/>
          <w:szCs w:val="15"/>
        </w:rPr>
      </w:pPr>
      <w:r w:rsidRPr="00740FCA">
        <w:rPr>
          <w:rFonts w:eastAsiaTheme="minorEastAsia"/>
          <w:i/>
          <w:sz w:val="16"/>
          <w:szCs w:val="15"/>
        </w:rPr>
        <w:t xml:space="preserve">Source: Crisil Intelligence, RBI and NSO, Handbook of Statistics on Indian Economy- 2023, All years are fiscal years                                  </w:t>
      </w:r>
    </w:p>
    <w:p w14:paraId="389C0A5D" w14:textId="77777777" w:rsidR="00C7511A" w:rsidRPr="00740FCA" w:rsidRDefault="00C7511A" w:rsidP="00C7511A">
      <w:pPr>
        <w:tabs>
          <w:tab w:val="center" w:pos="4680"/>
          <w:tab w:val="right" w:pos="9720"/>
        </w:tabs>
        <w:spacing w:before="160" w:after="120" w:line="240" w:lineRule="auto"/>
        <w:ind w:right="112"/>
        <w:rPr>
          <w:rFonts w:eastAsiaTheme="minorEastAsia"/>
          <w:i/>
          <w:sz w:val="16"/>
          <w:szCs w:val="15"/>
        </w:rPr>
      </w:pPr>
      <w:r w:rsidRPr="00740FCA">
        <w:rPr>
          <w:rFonts w:eastAsiaTheme="minorEastAsia"/>
          <w:i/>
          <w:sz w:val="16"/>
          <w:szCs w:val="15"/>
        </w:rPr>
        <w:t>Note: The fiscal 2024 numbers are taken from the press note on provisional estimates of Indian GDP by Ministry of Statistics and Programme Implementation dated May 31, 2024</w:t>
      </w:r>
    </w:p>
    <w:p w14:paraId="5546596A" w14:textId="77777777" w:rsidR="00C7511A" w:rsidRPr="00E532DE" w:rsidRDefault="00C7511A" w:rsidP="00C7511A">
      <w:pPr>
        <w:pStyle w:val="Heading2"/>
      </w:pPr>
      <w:bookmarkStart w:id="110" w:name="_Toc189499558"/>
      <w:bookmarkStart w:id="111" w:name="_Toc192073603"/>
      <w:bookmarkStart w:id="112" w:name="_Toc192153628"/>
      <w:bookmarkStart w:id="113" w:name="_Toc192195230"/>
      <w:bookmarkStart w:id="114" w:name="_Toc198730343"/>
      <w:r w:rsidRPr="00E532DE">
        <w:t xml:space="preserve">Trends of key macro-economic indicators </w:t>
      </w:r>
      <w:bookmarkEnd w:id="110"/>
      <w:r>
        <w:t>across India</w:t>
      </w:r>
      <w:bookmarkEnd w:id="111"/>
      <w:bookmarkEnd w:id="112"/>
      <w:bookmarkEnd w:id="113"/>
      <w:bookmarkEnd w:id="114"/>
    </w:p>
    <w:p w14:paraId="06E12A3A" w14:textId="77777777" w:rsidR="00C7511A" w:rsidRPr="00E532DE" w:rsidRDefault="00C7511A" w:rsidP="00C7511A">
      <w:pPr>
        <w:pStyle w:val="Heading30"/>
      </w:pPr>
      <w:bookmarkStart w:id="115" w:name="_Toc176969942"/>
      <w:bookmarkStart w:id="116" w:name="_Toc177036246"/>
      <w:bookmarkStart w:id="117" w:name="_Toc177037018"/>
      <w:bookmarkStart w:id="118" w:name="_Toc177730274"/>
      <w:bookmarkStart w:id="119" w:name="_Toc178256983"/>
      <w:bookmarkStart w:id="120" w:name="_Toc186146896"/>
      <w:r w:rsidRPr="00E532DE">
        <w:t>Consumer price index</w:t>
      </w:r>
      <w:bookmarkEnd w:id="115"/>
      <w:bookmarkEnd w:id="116"/>
      <w:bookmarkEnd w:id="117"/>
      <w:bookmarkEnd w:id="118"/>
      <w:bookmarkEnd w:id="119"/>
      <w:bookmarkEnd w:id="120"/>
    </w:p>
    <w:p w14:paraId="071DAA12" w14:textId="2D61F093" w:rsidR="00C7511A" w:rsidRPr="00E532DE" w:rsidRDefault="00C7511A" w:rsidP="00C7511A">
      <w:pPr>
        <w:ind w:right="115"/>
      </w:pPr>
      <w:r w:rsidRPr="00C409C5">
        <w:rPr>
          <w:szCs w:val="20"/>
        </w:rPr>
        <w:t>India’s average consumer price index (CPI) inflation rate was on the rise reaching 7.0% from 2.9% between fiscals 2019 and 2022. However, it decreased slightly to 5.7% in fiscal 2023. This rise is primarily led by surging food prices before moderating to an average of 4.</w:t>
      </w:r>
      <w:r w:rsidR="00857F60">
        <w:rPr>
          <w:szCs w:val="20"/>
        </w:rPr>
        <w:t>6</w:t>
      </w:r>
      <w:r w:rsidRPr="00C409C5">
        <w:rPr>
          <w:szCs w:val="20"/>
        </w:rPr>
        <w:t>% in fiscal 202</w:t>
      </w:r>
      <w:r w:rsidR="00857F60">
        <w:rPr>
          <w:szCs w:val="20"/>
        </w:rPr>
        <w:t>5</w:t>
      </w:r>
      <w:r w:rsidRPr="00C409C5">
        <w:rPr>
          <w:szCs w:val="20"/>
        </w:rPr>
        <w:t>. Although core and fuel inflation numbers have remained low, it is the food inflation that has been keeping CPI inflation above Reserve Bank of India’s medium-level target rate of 4.0%. Going forward, CPI inflation is expected to moderate further to</w:t>
      </w:r>
      <w:r w:rsidRPr="00E532DE">
        <w:t xml:space="preserve"> 4.</w:t>
      </w:r>
      <w:r w:rsidR="002A42F1">
        <w:t>3</w:t>
      </w:r>
      <w:r w:rsidRPr="00E532DE">
        <w:t>% on average in fiscal 202</w:t>
      </w:r>
      <w:r w:rsidR="002A42F1">
        <w:t>6</w:t>
      </w:r>
      <w:r w:rsidRPr="00E532DE">
        <w:t xml:space="preserve"> on the back of an expected dip in food inflation led by a favorable monsoon and high base effect</w:t>
      </w:r>
      <w:r w:rsidRPr="00E532DE">
        <w:rPr>
          <w:vertAlign w:val="superscript"/>
        </w:rPr>
        <w:footnoteReference w:id="10"/>
      </w:r>
      <w:r w:rsidRPr="00E532DE">
        <w:t>.</w:t>
      </w:r>
    </w:p>
    <w:p w14:paraId="18123475" w14:textId="2B9A81FE" w:rsidR="00C7511A" w:rsidRPr="00C409C5" w:rsidRDefault="00C7511A" w:rsidP="00C7511A">
      <w:pPr>
        <w:keepNext/>
        <w:keepLines/>
        <w:spacing w:before="160" w:line="276" w:lineRule="auto"/>
        <w:ind w:right="432"/>
        <w:rPr>
          <w:rFonts w:eastAsia="Times New Roman" w:cs="Book Antiqua"/>
          <w:b/>
          <w:bCs/>
          <w:kern w:val="0"/>
          <w:szCs w:val="16"/>
          <w:lang w:val="en-GB" w:eastAsia="en-IN"/>
          <w14:ligatures w14:val="none"/>
        </w:rPr>
      </w:pPr>
      <w:bookmarkStart w:id="121" w:name="_Toc189499631"/>
      <w:bookmarkStart w:id="122" w:name="_Toc192073644"/>
      <w:bookmarkStart w:id="123" w:name="_Toc192153672"/>
      <w:bookmarkStart w:id="124" w:name="_Toc192195338"/>
      <w:bookmarkStart w:id="125" w:name="_Toc198731488"/>
      <w:r w:rsidRPr="00C409C5">
        <w:rPr>
          <w:rFonts w:eastAsia="Times New Roman" w:cs="Book Antiqua"/>
          <w:b/>
          <w:bCs/>
          <w:color w:val="auto"/>
          <w:kern w:val="0"/>
          <w:szCs w:val="16"/>
          <w:lang w:val="en-GB" w:eastAsia="en-IN"/>
          <w14:ligatures w14:val="none"/>
        </w:rPr>
        <w:t xml:space="preserve">Figure </w:t>
      </w:r>
      <w:r w:rsidRPr="00C409C5">
        <w:rPr>
          <w:rFonts w:eastAsia="Times New Roman" w:cs="Book Antiqua"/>
          <w:b/>
          <w:bCs/>
          <w:color w:val="auto"/>
          <w:kern w:val="0"/>
          <w:szCs w:val="16"/>
          <w:lang w:val="en-GB" w:eastAsia="en-IN"/>
          <w14:ligatures w14:val="none"/>
        </w:rPr>
        <w:fldChar w:fldCharType="begin"/>
      </w:r>
      <w:r w:rsidRPr="00C409C5">
        <w:rPr>
          <w:rFonts w:eastAsia="Times New Roman" w:cs="Book Antiqua"/>
          <w:b/>
          <w:bCs/>
          <w:color w:val="auto"/>
          <w:kern w:val="0"/>
          <w:szCs w:val="16"/>
          <w:lang w:val="en-GB" w:eastAsia="en-IN"/>
          <w14:ligatures w14:val="none"/>
        </w:rPr>
        <w:instrText xml:space="preserve"> STYLEREF 1 \s </w:instrText>
      </w:r>
      <w:r w:rsidRPr="00C409C5">
        <w:rPr>
          <w:rFonts w:eastAsia="Times New Roman" w:cs="Book Antiqua"/>
          <w:b/>
          <w:bCs/>
          <w:color w:val="auto"/>
          <w:kern w:val="0"/>
          <w:szCs w:val="16"/>
          <w:lang w:val="en-GB" w:eastAsia="en-IN"/>
          <w14:ligatures w14:val="none"/>
        </w:rPr>
        <w:fldChar w:fldCharType="separate"/>
      </w:r>
      <w:r w:rsidR="002142B9">
        <w:rPr>
          <w:rFonts w:eastAsia="Times New Roman" w:cs="Book Antiqua"/>
          <w:b/>
          <w:bCs/>
          <w:noProof/>
          <w:color w:val="auto"/>
          <w:kern w:val="0"/>
          <w:szCs w:val="16"/>
          <w:lang w:val="en-GB" w:eastAsia="en-IN"/>
          <w14:ligatures w14:val="none"/>
        </w:rPr>
        <w:t>1</w:t>
      </w:r>
      <w:r w:rsidRPr="00C409C5">
        <w:rPr>
          <w:rFonts w:eastAsia="Times New Roman" w:cs="Book Antiqua"/>
          <w:b/>
          <w:bCs/>
          <w:color w:val="auto"/>
          <w:kern w:val="0"/>
          <w:szCs w:val="16"/>
          <w:lang w:val="en-GB" w:eastAsia="en-IN"/>
          <w14:ligatures w14:val="none"/>
        </w:rPr>
        <w:fldChar w:fldCharType="end"/>
      </w:r>
      <w:r w:rsidRPr="00C409C5">
        <w:rPr>
          <w:rFonts w:eastAsia="Times New Roman" w:cs="Book Antiqua"/>
          <w:b/>
          <w:bCs/>
          <w:color w:val="auto"/>
          <w:kern w:val="0"/>
          <w:szCs w:val="16"/>
          <w:lang w:val="en-GB" w:eastAsia="en-IN"/>
          <w14:ligatures w14:val="none"/>
        </w:rPr>
        <w:t>.</w:t>
      </w:r>
      <w:r w:rsidRPr="00C409C5">
        <w:rPr>
          <w:rFonts w:eastAsia="Times New Roman" w:cs="Book Antiqua"/>
          <w:b/>
          <w:bCs/>
          <w:color w:val="auto"/>
          <w:kern w:val="0"/>
          <w:szCs w:val="16"/>
          <w:lang w:val="en-GB" w:eastAsia="en-IN"/>
          <w14:ligatures w14:val="none"/>
        </w:rPr>
        <w:fldChar w:fldCharType="begin"/>
      </w:r>
      <w:r w:rsidRPr="00C409C5">
        <w:rPr>
          <w:rFonts w:eastAsia="Times New Roman" w:cs="Book Antiqua"/>
          <w:b/>
          <w:bCs/>
          <w:color w:val="auto"/>
          <w:kern w:val="0"/>
          <w:szCs w:val="16"/>
          <w:lang w:val="en-GB" w:eastAsia="en-IN"/>
          <w14:ligatures w14:val="none"/>
        </w:rPr>
        <w:instrText xml:space="preserve"> SEQ Figure \* ARABIC \s 1 </w:instrText>
      </w:r>
      <w:r w:rsidRPr="00C409C5">
        <w:rPr>
          <w:rFonts w:eastAsia="Times New Roman" w:cs="Book Antiqua"/>
          <w:b/>
          <w:bCs/>
          <w:color w:val="auto"/>
          <w:kern w:val="0"/>
          <w:szCs w:val="16"/>
          <w:lang w:val="en-GB" w:eastAsia="en-IN"/>
          <w14:ligatures w14:val="none"/>
        </w:rPr>
        <w:fldChar w:fldCharType="separate"/>
      </w:r>
      <w:r w:rsidR="002142B9">
        <w:rPr>
          <w:rFonts w:eastAsia="Times New Roman" w:cs="Book Antiqua"/>
          <w:b/>
          <w:bCs/>
          <w:noProof/>
          <w:color w:val="auto"/>
          <w:kern w:val="0"/>
          <w:szCs w:val="16"/>
          <w:lang w:val="en-GB" w:eastAsia="en-IN"/>
          <w14:ligatures w14:val="none"/>
        </w:rPr>
        <w:t>5</w:t>
      </w:r>
      <w:r w:rsidRPr="00C409C5">
        <w:rPr>
          <w:rFonts w:eastAsia="Times New Roman" w:cs="Book Antiqua"/>
          <w:b/>
          <w:bCs/>
          <w:color w:val="auto"/>
          <w:kern w:val="0"/>
          <w:szCs w:val="16"/>
          <w:lang w:val="en-GB" w:eastAsia="en-IN"/>
          <w14:ligatures w14:val="none"/>
        </w:rPr>
        <w:fldChar w:fldCharType="end"/>
      </w:r>
      <w:r w:rsidRPr="00C409C5">
        <w:rPr>
          <w:rFonts w:eastAsia="Times New Roman" w:cs="Book Antiqua"/>
          <w:b/>
          <w:bCs/>
          <w:kern w:val="0"/>
          <w:szCs w:val="16"/>
          <w:lang w:val="en-GB" w:eastAsia="en-IN"/>
          <w14:ligatures w14:val="none"/>
        </w:rPr>
        <w:t>: CPI inflation trend</w:t>
      </w:r>
      <w:bookmarkEnd w:id="121"/>
      <w:bookmarkEnd w:id="122"/>
      <w:bookmarkEnd w:id="123"/>
      <w:bookmarkEnd w:id="124"/>
      <w:bookmarkEnd w:id="125"/>
    </w:p>
    <w:p w14:paraId="0D731DA9" w14:textId="77777777" w:rsidR="00C7511A" w:rsidRPr="00E532DE" w:rsidRDefault="00C7511A" w:rsidP="00662938">
      <w:pPr>
        <w:spacing w:before="160" w:after="0"/>
        <w:ind w:right="432"/>
      </w:pPr>
      <w:r w:rsidRPr="00543430">
        <w:rPr>
          <w:noProof/>
        </w:rPr>
        <w:drawing>
          <wp:inline distT="0" distB="0" distL="0" distR="0" wp14:anchorId="78DD4D41" wp14:editId="570D95A0">
            <wp:extent cx="6428740" cy="1533378"/>
            <wp:effectExtent l="0" t="0" r="0" b="0"/>
            <wp:docPr id="932637396" name="Chart 1">
              <a:extLst xmlns:a="http://schemas.openxmlformats.org/drawingml/2006/main">
                <a:ext uri="{FF2B5EF4-FFF2-40B4-BE49-F238E27FC236}">
                  <a16:creationId xmlns:a16="http://schemas.microsoft.com/office/drawing/2014/main" id="{CA9D59A6-DACC-027F-30F4-DEB44C5AB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4595DE" w14:textId="77777777" w:rsidR="00C7511A" w:rsidRPr="00E532DE" w:rsidRDefault="00C7511A" w:rsidP="00662938">
      <w:pPr>
        <w:tabs>
          <w:tab w:val="center" w:pos="4680"/>
          <w:tab w:val="right" w:pos="9720"/>
        </w:tabs>
        <w:spacing w:before="0" w:after="120" w:line="240" w:lineRule="auto"/>
        <w:ind w:right="432"/>
        <w:rPr>
          <w:i/>
          <w:iCs/>
          <w:sz w:val="16"/>
          <w:szCs w:val="16"/>
        </w:rPr>
      </w:pPr>
      <w:r w:rsidRPr="00E532DE">
        <w:rPr>
          <w:i/>
          <w:iCs/>
          <w:sz w:val="16"/>
          <w:szCs w:val="16"/>
        </w:rPr>
        <w:t>Source: Ministry of Statistics and Programme Implementation (MoSPI), Crisil Intelligence; All years are fiscal years</w:t>
      </w:r>
    </w:p>
    <w:p w14:paraId="4C932556" w14:textId="77777777" w:rsidR="00C7511A" w:rsidRPr="00E532DE" w:rsidRDefault="00C7511A" w:rsidP="00C7511A">
      <w:pPr>
        <w:pStyle w:val="Heading30"/>
      </w:pPr>
      <w:bookmarkStart w:id="126" w:name="_Toc178256984"/>
      <w:bookmarkStart w:id="127" w:name="_Toc176969943"/>
      <w:bookmarkStart w:id="128" w:name="_Toc177036247"/>
      <w:bookmarkStart w:id="129" w:name="_Toc177037019"/>
      <w:bookmarkStart w:id="130" w:name="_Toc177730275"/>
      <w:bookmarkStart w:id="131" w:name="_Toc178256985"/>
      <w:bookmarkStart w:id="132" w:name="_Toc186146897"/>
      <w:bookmarkEnd w:id="126"/>
      <w:r w:rsidRPr="00E532DE">
        <w:t>Index of Industrial Production</w:t>
      </w:r>
      <w:bookmarkEnd w:id="127"/>
      <w:bookmarkEnd w:id="128"/>
      <w:bookmarkEnd w:id="129"/>
      <w:bookmarkEnd w:id="130"/>
      <w:bookmarkEnd w:id="131"/>
      <w:bookmarkEnd w:id="132"/>
    </w:p>
    <w:p w14:paraId="440C3D38" w14:textId="370C0551" w:rsidR="00C7511A" w:rsidRPr="00C409C5" w:rsidRDefault="00C7511A" w:rsidP="00C7511A">
      <w:pPr>
        <w:spacing w:before="160" w:after="120"/>
        <w:ind w:right="112"/>
        <w:rPr>
          <w:szCs w:val="20"/>
        </w:rPr>
      </w:pPr>
      <w:r w:rsidRPr="00C409C5">
        <w:rPr>
          <w:szCs w:val="20"/>
        </w:rPr>
        <w:t>The Index of Industrial Production (IIP)</w:t>
      </w:r>
      <w:r w:rsidR="0039615E">
        <w:rPr>
          <w:szCs w:val="20"/>
        </w:rPr>
        <w:t xml:space="preserve"> growth</w:t>
      </w:r>
      <w:r w:rsidRPr="00C409C5">
        <w:rPr>
          <w:szCs w:val="20"/>
        </w:rPr>
        <w:t xml:space="preserve"> averaged 2.3% between fiscal 2019 and fiscal 2023 before surging to </w:t>
      </w:r>
      <w:r w:rsidR="001148A1">
        <w:rPr>
          <w:szCs w:val="20"/>
        </w:rPr>
        <w:t>4</w:t>
      </w:r>
      <w:r w:rsidRPr="00C409C5">
        <w:rPr>
          <w:szCs w:val="20"/>
        </w:rPr>
        <w:t>.</w:t>
      </w:r>
      <w:r w:rsidR="001148A1">
        <w:rPr>
          <w:szCs w:val="20"/>
        </w:rPr>
        <w:t>0</w:t>
      </w:r>
      <w:r w:rsidRPr="00C409C5">
        <w:rPr>
          <w:szCs w:val="20"/>
        </w:rPr>
        <w:t>% in fiscal 202</w:t>
      </w:r>
      <w:r w:rsidR="001148A1">
        <w:rPr>
          <w:szCs w:val="20"/>
        </w:rPr>
        <w:t>5</w:t>
      </w:r>
      <w:r w:rsidRPr="00C409C5">
        <w:rPr>
          <w:szCs w:val="20"/>
        </w:rPr>
        <w:t xml:space="preserve">. The uptick was primarily led by a strong pick-up in sectors pertaining to the manufacturing of electrical equipment and basic metals. Further, there was an uptick in the consumer durables sector, which also supported </w:t>
      </w:r>
      <w:r w:rsidR="00FD0E66">
        <w:rPr>
          <w:szCs w:val="20"/>
        </w:rPr>
        <w:t xml:space="preserve">the </w:t>
      </w:r>
      <w:r w:rsidRPr="00C409C5">
        <w:rPr>
          <w:szCs w:val="20"/>
        </w:rPr>
        <w:t>growth.</w:t>
      </w:r>
    </w:p>
    <w:p w14:paraId="2495532E" w14:textId="27DB464E" w:rsidR="00C7511A" w:rsidRDefault="00C7511A" w:rsidP="00C7511A">
      <w:pPr>
        <w:keepNext/>
        <w:keepLines/>
        <w:spacing w:before="160" w:line="276" w:lineRule="auto"/>
        <w:ind w:right="432"/>
        <w:rPr>
          <w:rFonts w:eastAsia="Times New Roman" w:cs="Book Antiqua"/>
          <w:b/>
          <w:bCs/>
          <w:kern w:val="0"/>
          <w:szCs w:val="16"/>
          <w:lang w:val="en-GB" w:eastAsia="en-IN"/>
          <w14:ligatures w14:val="none"/>
        </w:rPr>
      </w:pPr>
      <w:bookmarkStart w:id="133" w:name="_Toc189499632"/>
      <w:bookmarkStart w:id="134" w:name="_Toc192073645"/>
      <w:bookmarkStart w:id="135" w:name="_Toc192153673"/>
      <w:bookmarkStart w:id="136" w:name="_Toc192195339"/>
      <w:bookmarkStart w:id="137" w:name="_Toc198731489"/>
      <w:r w:rsidRPr="00C409C5">
        <w:rPr>
          <w:rFonts w:eastAsia="Times New Roman" w:cs="Book Antiqua"/>
          <w:b/>
          <w:bCs/>
          <w:color w:val="auto"/>
          <w:kern w:val="0"/>
          <w:szCs w:val="16"/>
          <w:lang w:val="en-GB" w:eastAsia="en-IN"/>
          <w14:ligatures w14:val="none"/>
        </w:rPr>
        <w:t xml:space="preserve">Figure </w:t>
      </w:r>
      <w:r w:rsidRPr="00C409C5">
        <w:rPr>
          <w:rFonts w:eastAsia="Times New Roman" w:cs="Book Antiqua"/>
          <w:b/>
          <w:bCs/>
          <w:color w:val="auto"/>
          <w:kern w:val="0"/>
          <w:szCs w:val="16"/>
          <w:lang w:val="en-GB" w:eastAsia="en-IN"/>
          <w14:ligatures w14:val="none"/>
        </w:rPr>
        <w:fldChar w:fldCharType="begin"/>
      </w:r>
      <w:r w:rsidRPr="00C409C5">
        <w:rPr>
          <w:rFonts w:eastAsia="Times New Roman" w:cs="Book Antiqua"/>
          <w:b/>
          <w:bCs/>
          <w:color w:val="auto"/>
          <w:kern w:val="0"/>
          <w:szCs w:val="16"/>
          <w:lang w:val="en-GB" w:eastAsia="en-IN"/>
          <w14:ligatures w14:val="none"/>
        </w:rPr>
        <w:instrText xml:space="preserve"> STYLEREF 1 \s </w:instrText>
      </w:r>
      <w:r w:rsidRPr="00C409C5">
        <w:rPr>
          <w:rFonts w:eastAsia="Times New Roman" w:cs="Book Antiqua"/>
          <w:b/>
          <w:bCs/>
          <w:color w:val="auto"/>
          <w:kern w:val="0"/>
          <w:szCs w:val="16"/>
          <w:lang w:val="en-GB" w:eastAsia="en-IN"/>
          <w14:ligatures w14:val="none"/>
        </w:rPr>
        <w:fldChar w:fldCharType="separate"/>
      </w:r>
      <w:r w:rsidR="002142B9">
        <w:rPr>
          <w:rFonts w:eastAsia="Times New Roman" w:cs="Book Antiqua"/>
          <w:b/>
          <w:bCs/>
          <w:noProof/>
          <w:color w:val="auto"/>
          <w:kern w:val="0"/>
          <w:szCs w:val="16"/>
          <w:lang w:val="en-GB" w:eastAsia="en-IN"/>
          <w14:ligatures w14:val="none"/>
        </w:rPr>
        <w:t>1</w:t>
      </w:r>
      <w:r w:rsidRPr="00C409C5">
        <w:rPr>
          <w:rFonts w:eastAsia="Times New Roman" w:cs="Book Antiqua"/>
          <w:b/>
          <w:bCs/>
          <w:color w:val="auto"/>
          <w:kern w:val="0"/>
          <w:szCs w:val="16"/>
          <w:lang w:val="en-GB" w:eastAsia="en-IN"/>
          <w14:ligatures w14:val="none"/>
        </w:rPr>
        <w:fldChar w:fldCharType="end"/>
      </w:r>
      <w:r w:rsidRPr="00C409C5">
        <w:rPr>
          <w:rFonts w:eastAsia="Times New Roman" w:cs="Book Antiqua"/>
          <w:b/>
          <w:bCs/>
          <w:color w:val="auto"/>
          <w:kern w:val="0"/>
          <w:szCs w:val="16"/>
          <w:lang w:val="en-GB" w:eastAsia="en-IN"/>
          <w14:ligatures w14:val="none"/>
        </w:rPr>
        <w:t>.</w:t>
      </w:r>
      <w:r w:rsidRPr="00C409C5">
        <w:rPr>
          <w:rFonts w:eastAsia="Times New Roman" w:cs="Book Antiqua"/>
          <w:b/>
          <w:bCs/>
          <w:color w:val="auto"/>
          <w:kern w:val="0"/>
          <w:szCs w:val="16"/>
          <w:lang w:val="en-GB" w:eastAsia="en-IN"/>
          <w14:ligatures w14:val="none"/>
        </w:rPr>
        <w:fldChar w:fldCharType="begin"/>
      </w:r>
      <w:r w:rsidRPr="00C409C5">
        <w:rPr>
          <w:rFonts w:eastAsia="Times New Roman" w:cs="Book Antiqua"/>
          <w:b/>
          <w:bCs/>
          <w:color w:val="auto"/>
          <w:kern w:val="0"/>
          <w:szCs w:val="16"/>
          <w:lang w:val="en-GB" w:eastAsia="en-IN"/>
          <w14:ligatures w14:val="none"/>
        </w:rPr>
        <w:instrText xml:space="preserve"> SEQ Figure \* ARABIC \s 1 </w:instrText>
      </w:r>
      <w:r w:rsidRPr="00C409C5">
        <w:rPr>
          <w:rFonts w:eastAsia="Times New Roman" w:cs="Book Antiqua"/>
          <w:b/>
          <w:bCs/>
          <w:color w:val="auto"/>
          <w:kern w:val="0"/>
          <w:szCs w:val="16"/>
          <w:lang w:val="en-GB" w:eastAsia="en-IN"/>
          <w14:ligatures w14:val="none"/>
        </w:rPr>
        <w:fldChar w:fldCharType="separate"/>
      </w:r>
      <w:r w:rsidR="002142B9">
        <w:rPr>
          <w:rFonts w:eastAsia="Times New Roman" w:cs="Book Antiqua"/>
          <w:b/>
          <w:bCs/>
          <w:noProof/>
          <w:color w:val="auto"/>
          <w:kern w:val="0"/>
          <w:szCs w:val="16"/>
          <w:lang w:val="en-GB" w:eastAsia="en-IN"/>
          <w14:ligatures w14:val="none"/>
        </w:rPr>
        <w:t>6</w:t>
      </w:r>
      <w:r w:rsidRPr="00C409C5">
        <w:rPr>
          <w:rFonts w:eastAsia="Times New Roman" w:cs="Book Antiqua"/>
          <w:b/>
          <w:bCs/>
          <w:color w:val="auto"/>
          <w:kern w:val="0"/>
          <w:szCs w:val="16"/>
          <w:lang w:val="en-GB" w:eastAsia="en-IN"/>
          <w14:ligatures w14:val="none"/>
        </w:rPr>
        <w:fldChar w:fldCharType="end"/>
      </w:r>
      <w:r w:rsidRPr="00C409C5">
        <w:rPr>
          <w:rFonts w:eastAsia="Times New Roman" w:cs="Book Antiqua"/>
          <w:b/>
          <w:bCs/>
          <w:kern w:val="0"/>
          <w:szCs w:val="16"/>
          <w:lang w:val="en-GB" w:eastAsia="en-IN"/>
          <w14:ligatures w14:val="none"/>
        </w:rPr>
        <w:t>: IIP growth trend for overall industry</w:t>
      </w:r>
      <w:bookmarkEnd w:id="133"/>
      <w:bookmarkEnd w:id="134"/>
      <w:bookmarkEnd w:id="135"/>
      <w:bookmarkEnd w:id="136"/>
      <w:bookmarkEnd w:id="137"/>
    </w:p>
    <w:p w14:paraId="2D001975" w14:textId="120F8DBE" w:rsidR="00820A5F" w:rsidRPr="00C409C5" w:rsidRDefault="00820A5F" w:rsidP="00662938">
      <w:pPr>
        <w:keepNext/>
        <w:keepLines/>
        <w:spacing w:before="160" w:after="0" w:line="276" w:lineRule="auto"/>
        <w:ind w:right="432"/>
        <w:rPr>
          <w:rFonts w:eastAsia="Times New Roman" w:cs="Book Antiqua"/>
          <w:b/>
          <w:bCs/>
          <w:kern w:val="0"/>
          <w:szCs w:val="16"/>
          <w:lang w:val="en-GB" w:eastAsia="en-IN"/>
          <w14:ligatures w14:val="none"/>
        </w:rPr>
      </w:pPr>
      <w:r>
        <w:rPr>
          <w:rFonts w:eastAsia="Times New Roman" w:cs="Book Antiqua"/>
          <w:b/>
          <w:bCs/>
          <w:noProof/>
          <w:kern w:val="0"/>
          <w:szCs w:val="16"/>
          <w:lang w:val="en-GB" w:eastAsia="en-IN"/>
        </w:rPr>
        <w:drawing>
          <wp:inline distT="0" distB="0" distL="0" distR="0" wp14:anchorId="79BD6978" wp14:editId="2D2348EB">
            <wp:extent cx="6591300" cy="2115047"/>
            <wp:effectExtent l="0" t="0" r="0" b="0"/>
            <wp:docPr id="705204630"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F0D2F8" w14:textId="77777777" w:rsidR="00C7511A" w:rsidRPr="00E532DE" w:rsidRDefault="00C7511A" w:rsidP="00662938">
      <w:pPr>
        <w:tabs>
          <w:tab w:val="center" w:pos="4680"/>
          <w:tab w:val="right" w:pos="9720"/>
        </w:tabs>
        <w:spacing w:before="0" w:after="120" w:line="240" w:lineRule="auto"/>
        <w:ind w:right="432"/>
        <w:rPr>
          <w:rFonts w:eastAsiaTheme="minorEastAsia"/>
          <w:i/>
          <w:sz w:val="16"/>
          <w:szCs w:val="15"/>
        </w:rPr>
      </w:pPr>
      <w:r w:rsidRPr="00E532DE">
        <w:rPr>
          <w:rFonts w:eastAsiaTheme="minorEastAsia"/>
          <w:i/>
          <w:sz w:val="16"/>
          <w:szCs w:val="15"/>
        </w:rPr>
        <w:t>Source: Ministry of Statistics and Programme Implementation (MoSPI), Crisil Intelligence; All years are fiscal years</w:t>
      </w:r>
    </w:p>
    <w:p w14:paraId="14DA5162" w14:textId="77777777" w:rsidR="00C7511A" w:rsidRPr="00C409C5" w:rsidRDefault="00C7511A" w:rsidP="00C7511A">
      <w:pPr>
        <w:ind w:right="112"/>
        <w:rPr>
          <w:szCs w:val="20"/>
        </w:rPr>
      </w:pPr>
      <w:r w:rsidRPr="00C409C5">
        <w:rPr>
          <w:szCs w:val="20"/>
        </w:rPr>
        <w:t>The mining industry in the Index of Industrial Production (IIP) has witnessed a notable resurgence since fiscal year 202</w:t>
      </w:r>
      <w:r>
        <w:rPr>
          <w:szCs w:val="20"/>
        </w:rPr>
        <w:t>1</w:t>
      </w:r>
      <w:r w:rsidRPr="00C409C5">
        <w:rPr>
          <w:szCs w:val="20"/>
        </w:rPr>
        <w:t>, as it rebounded from the disruptions caused by the COVID-19 pandemic when the overall index fell by about 8.4% and mining sector index fell by 7.8%</w:t>
      </w:r>
      <w:r>
        <w:rPr>
          <w:szCs w:val="20"/>
        </w:rPr>
        <w:t xml:space="preserve"> thereafter achieving a growth of 12.2% in fiscal 2022 </w:t>
      </w:r>
      <w:r w:rsidRPr="00C409C5">
        <w:rPr>
          <w:szCs w:val="20"/>
        </w:rPr>
        <w:t>and then gaining further momentum to reach 7.5% in fiscal 2024. This upward trajectory was largely fueled by a robust increase in the extraction of essential minerals, including coal, iron ore and limestone which saw a significant surge in demand from key sectors such as power, infrastructure, construction, and manufacturing. </w:t>
      </w:r>
    </w:p>
    <w:p w14:paraId="1670D58D" w14:textId="6681154D" w:rsidR="00C7511A" w:rsidRPr="00C409C5" w:rsidRDefault="00C7511A" w:rsidP="00C7511A">
      <w:pPr>
        <w:keepNext/>
        <w:keepLines/>
        <w:spacing w:before="160" w:line="276" w:lineRule="auto"/>
        <w:ind w:right="432"/>
        <w:rPr>
          <w:rFonts w:eastAsia="Times New Roman" w:cs="Book Antiqua"/>
          <w:b/>
          <w:bCs/>
          <w:kern w:val="0"/>
          <w:szCs w:val="16"/>
          <w:lang w:val="en-GB" w:eastAsia="en-IN"/>
          <w14:ligatures w14:val="none"/>
        </w:rPr>
      </w:pPr>
      <w:bookmarkStart w:id="138" w:name="_Toc189499633"/>
      <w:bookmarkStart w:id="139" w:name="_Toc192073646"/>
      <w:bookmarkStart w:id="140" w:name="_Toc192153674"/>
      <w:bookmarkStart w:id="141" w:name="_Toc192195340"/>
      <w:bookmarkStart w:id="142" w:name="_Toc198731490"/>
      <w:r w:rsidRPr="00C409C5">
        <w:rPr>
          <w:rFonts w:eastAsia="Times New Roman" w:cs="Book Antiqua"/>
          <w:b/>
          <w:bCs/>
          <w:color w:val="auto"/>
          <w:kern w:val="0"/>
          <w:szCs w:val="16"/>
          <w:lang w:val="en-GB" w:eastAsia="en-IN"/>
          <w14:ligatures w14:val="none"/>
        </w:rPr>
        <w:t xml:space="preserve">Figure </w:t>
      </w:r>
      <w:r w:rsidRPr="00C409C5">
        <w:rPr>
          <w:rFonts w:eastAsia="Times New Roman" w:cs="Book Antiqua"/>
          <w:b/>
          <w:bCs/>
          <w:color w:val="auto"/>
          <w:kern w:val="0"/>
          <w:szCs w:val="16"/>
          <w:lang w:val="en-GB" w:eastAsia="en-IN"/>
          <w14:ligatures w14:val="none"/>
        </w:rPr>
        <w:fldChar w:fldCharType="begin"/>
      </w:r>
      <w:r w:rsidRPr="00C409C5">
        <w:rPr>
          <w:rFonts w:eastAsia="Times New Roman" w:cs="Book Antiqua"/>
          <w:b/>
          <w:bCs/>
          <w:color w:val="auto"/>
          <w:kern w:val="0"/>
          <w:szCs w:val="16"/>
          <w:lang w:val="en-GB" w:eastAsia="en-IN"/>
          <w14:ligatures w14:val="none"/>
        </w:rPr>
        <w:instrText xml:space="preserve"> STYLEREF 1 \s </w:instrText>
      </w:r>
      <w:r w:rsidRPr="00C409C5">
        <w:rPr>
          <w:rFonts w:eastAsia="Times New Roman" w:cs="Book Antiqua"/>
          <w:b/>
          <w:bCs/>
          <w:color w:val="auto"/>
          <w:kern w:val="0"/>
          <w:szCs w:val="16"/>
          <w:lang w:val="en-GB" w:eastAsia="en-IN"/>
          <w14:ligatures w14:val="none"/>
        </w:rPr>
        <w:fldChar w:fldCharType="separate"/>
      </w:r>
      <w:r w:rsidR="002142B9">
        <w:rPr>
          <w:rFonts w:eastAsia="Times New Roman" w:cs="Book Antiqua"/>
          <w:b/>
          <w:bCs/>
          <w:noProof/>
          <w:color w:val="auto"/>
          <w:kern w:val="0"/>
          <w:szCs w:val="16"/>
          <w:lang w:val="en-GB" w:eastAsia="en-IN"/>
          <w14:ligatures w14:val="none"/>
        </w:rPr>
        <w:t>1</w:t>
      </w:r>
      <w:r w:rsidRPr="00C409C5">
        <w:rPr>
          <w:rFonts w:eastAsia="Times New Roman" w:cs="Book Antiqua"/>
          <w:b/>
          <w:bCs/>
          <w:color w:val="auto"/>
          <w:kern w:val="0"/>
          <w:szCs w:val="16"/>
          <w:lang w:val="en-GB" w:eastAsia="en-IN"/>
          <w14:ligatures w14:val="none"/>
        </w:rPr>
        <w:fldChar w:fldCharType="end"/>
      </w:r>
      <w:r w:rsidRPr="00C409C5">
        <w:rPr>
          <w:rFonts w:eastAsia="Times New Roman" w:cs="Book Antiqua"/>
          <w:b/>
          <w:bCs/>
          <w:color w:val="auto"/>
          <w:kern w:val="0"/>
          <w:szCs w:val="16"/>
          <w:lang w:val="en-GB" w:eastAsia="en-IN"/>
          <w14:ligatures w14:val="none"/>
        </w:rPr>
        <w:t>.</w:t>
      </w:r>
      <w:r w:rsidRPr="00C409C5">
        <w:rPr>
          <w:rFonts w:eastAsia="Times New Roman" w:cs="Book Antiqua"/>
          <w:b/>
          <w:bCs/>
          <w:color w:val="auto"/>
          <w:kern w:val="0"/>
          <w:szCs w:val="16"/>
          <w:lang w:val="en-GB" w:eastAsia="en-IN"/>
          <w14:ligatures w14:val="none"/>
        </w:rPr>
        <w:fldChar w:fldCharType="begin"/>
      </w:r>
      <w:r w:rsidRPr="00C409C5">
        <w:rPr>
          <w:rFonts w:eastAsia="Times New Roman" w:cs="Book Antiqua"/>
          <w:b/>
          <w:bCs/>
          <w:color w:val="auto"/>
          <w:kern w:val="0"/>
          <w:szCs w:val="16"/>
          <w:lang w:val="en-GB" w:eastAsia="en-IN"/>
          <w14:ligatures w14:val="none"/>
        </w:rPr>
        <w:instrText xml:space="preserve"> SEQ Figure \* ARABIC \s 1 </w:instrText>
      </w:r>
      <w:r w:rsidRPr="00C409C5">
        <w:rPr>
          <w:rFonts w:eastAsia="Times New Roman" w:cs="Book Antiqua"/>
          <w:b/>
          <w:bCs/>
          <w:color w:val="auto"/>
          <w:kern w:val="0"/>
          <w:szCs w:val="16"/>
          <w:lang w:val="en-GB" w:eastAsia="en-IN"/>
          <w14:ligatures w14:val="none"/>
        </w:rPr>
        <w:fldChar w:fldCharType="separate"/>
      </w:r>
      <w:r w:rsidR="002142B9">
        <w:rPr>
          <w:rFonts w:eastAsia="Times New Roman" w:cs="Book Antiqua"/>
          <w:b/>
          <w:bCs/>
          <w:noProof/>
          <w:color w:val="auto"/>
          <w:kern w:val="0"/>
          <w:szCs w:val="16"/>
          <w:lang w:val="en-GB" w:eastAsia="en-IN"/>
          <w14:ligatures w14:val="none"/>
        </w:rPr>
        <w:t>7</w:t>
      </w:r>
      <w:r w:rsidRPr="00C409C5">
        <w:rPr>
          <w:rFonts w:eastAsia="Times New Roman" w:cs="Book Antiqua"/>
          <w:b/>
          <w:bCs/>
          <w:color w:val="auto"/>
          <w:kern w:val="0"/>
          <w:szCs w:val="16"/>
          <w:lang w:val="en-GB" w:eastAsia="en-IN"/>
          <w14:ligatures w14:val="none"/>
        </w:rPr>
        <w:fldChar w:fldCharType="end"/>
      </w:r>
      <w:r w:rsidRPr="00C409C5">
        <w:rPr>
          <w:rFonts w:eastAsia="Times New Roman" w:cs="Book Antiqua"/>
          <w:b/>
          <w:bCs/>
          <w:kern w:val="0"/>
          <w:szCs w:val="16"/>
          <w:lang w:val="en-GB" w:eastAsia="en-IN"/>
          <w14:ligatures w14:val="none"/>
        </w:rPr>
        <w:t>: IIP growth trend for mining sector</w:t>
      </w:r>
      <w:bookmarkEnd w:id="138"/>
      <w:bookmarkEnd w:id="139"/>
      <w:bookmarkEnd w:id="140"/>
      <w:bookmarkEnd w:id="141"/>
      <w:bookmarkEnd w:id="142"/>
    </w:p>
    <w:p w14:paraId="34DE145E" w14:textId="18AA7988" w:rsidR="003E4B77" w:rsidRDefault="003E4B77" w:rsidP="00662938">
      <w:pPr>
        <w:tabs>
          <w:tab w:val="center" w:pos="4680"/>
          <w:tab w:val="right" w:pos="9720"/>
        </w:tabs>
        <w:spacing w:before="160" w:after="0" w:line="240" w:lineRule="auto"/>
        <w:ind w:right="432"/>
        <w:rPr>
          <w:rFonts w:eastAsiaTheme="minorEastAsia"/>
          <w:i/>
          <w:sz w:val="16"/>
          <w:szCs w:val="15"/>
        </w:rPr>
      </w:pPr>
      <w:r>
        <w:rPr>
          <w:rFonts w:eastAsia="Times New Roman" w:cs="Book Antiqua"/>
          <w:b/>
          <w:bCs/>
          <w:noProof/>
          <w:kern w:val="0"/>
          <w:szCs w:val="16"/>
          <w:lang w:val="en-GB" w:eastAsia="en-IN"/>
        </w:rPr>
        <w:drawing>
          <wp:inline distT="0" distB="0" distL="0" distR="0" wp14:anchorId="5F050A2E" wp14:editId="3B4FE09B">
            <wp:extent cx="6591300" cy="2115047"/>
            <wp:effectExtent l="0" t="0" r="0" b="0"/>
            <wp:docPr id="859157178"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06E298" w14:textId="77777777" w:rsidR="00C7511A" w:rsidRPr="00E532DE" w:rsidRDefault="00C7511A" w:rsidP="00662938">
      <w:pPr>
        <w:tabs>
          <w:tab w:val="center" w:pos="4680"/>
          <w:tab w:val="right" w:pos="9720"/>
        </w:tabs>
        <w:spacing w:before="0" w:after="120" w:line="240" w:lineRule="auto"/>
        <w:ind w:right="432"/>
        <w:rPr>
          <w:rFonts w:eastAsiaTheme="minorEastAsia"/>
          <w:i/>
          <w:sz w:val="16"/>
          <w:szCs w:val="15"/>
        </w:rPr>
      </w:pPr>
      <w:r w:rsidRPr="00E532DE">
        <w:rPr>
          <w:rFonts w:eastAsiaTheme="minorEastAsia"/>
          <w:i/>
          <w:sz w:val="16"/>
          <w:szCs w:val="15"/>
        </w:rPr>
        <w:t>Source: Ministry of Statistics and Programme Implementation (MoSPI), Crisil Intelligence; All years are fiscal years</w:t>
      </w:r>
    </w:p>
    <w:p w14:paraId="0B637A3C" w14:textId="77777777" w:rsidR="00C7511A" w:rsidRPr="00E532DE" w:rsidRDefault="00C7511A" w:rsidP="00C7511A">
      <w:pPr>
        <w:pStyle w:val="Heading30"/>
      </w:pPr>
      <w:bookmarkStart w:id="143" w:name="_Toc178256986"/>
      <w:bookmarkEnd w:id="143"/>
      <w:r w:rsidRPr="00E532DE">
        <w:t>Interest Rates</w:t>
      </w:r>
    </w:p>
    <w:p w14:paraId="0254FB09" w14:textId="1B662ED4" w:rsidR="00C7511A" w:rsidRPr="00C409C5" w:rsidRDefault="00C7511A" w:rsidP="00C7511A">
      <w:pPr>
        <w:ind w:right="115"/>
        <w:rPr>
          <w:szCs w:val="20"/>
        </w:rPr>
      </w:pPr>
      <w:r w:rsidRPr="00C409C5">
        <w:rPr>
          <w:szCs w:val="20"/>
        </w:rPr>
        <w:t xml:space="preserve">Interest rates are a crucial component of a country's monetary policy, influencing borrowing costs, inflation, and economic growth. Across the world, </w:t>
      </w:r>
      <w:r w:rsidR="00946990">
        <w:rPr>
          <w:szCs w:val="20"/>
        </w:rPr>
        <w:t xml:space="preserve">in response to rapidly growing inflation, Central Banks </w:t>
      </w:r>
      <w:r w:rsidR="00930AF5">
        <w:rPr>
          <w:szCs w:val="20"/>
        </w:rPr>
        <w:t xml:space="preserve">have </w:t>
      </w:r>
      <w:r w:rsidR="00F04084">
        <w:rPr>
          <w:szCs w:val="20"/>
        </w:rPr>
        <w:t>constricted</w:t>
      </w:r>
      <w:r w:rsidR="00930AF5">
        <w:rPr>
          <w:szCs w:val="20"/>
        </w:rPr>
        <w:t xml:space="preserve"> the monetary policy by increasing the interest rates</w:t>
      </w:r>
      <w:r w:rsidR="00F04084">
        <w:rPr>
          <w:szCs w:val="20"/>
        </w:rPr>
        <w:t>. However</w:t>
      </w:r>
      <w:r w:rsidR="00930AF5">
        <w:rPr>
          <w:szCs w:val="20"/>
        </w:rPr>
        <w:t>, few major Central Banks ha</w:t>
      </w:r>
      <w:r w:rsidR="00F04084">
        <w:rPr>
          <w:szCs w:val="20"/>
        </w:rPr>
        <w:t>ve</w:t>
      </w:r>
      <w:r w:rsidR="00930AF5">
        <w:rPr>
          <w:szCs w:val="20"/>
        </w:rPr>
        <w:t xml:space="preserve"> reduced the interest rates </w:t>
      </w:r>
      <w:r w:rsidR="005F2B91">
        <w:rPr>
          <w:szCs w:val="20"/>
        </w:rPr>
        <w:t xml:space="preserve">due to decrease in </w:t>
      </w:r>
      <w:r w:rsidR="00930AF5">
        <w:rPr>
          <w:szCs w:val="20"/>
        </w:rPr>
        <w:t xml:space="preserve">inflation </w:t>
      </w:r>
      <w:r w:rsidR="005F2B91">
        <w:rPr>
          <w:szCs w:val="20"/>
        </w:rPr>
        <w:t xml:space="preserve">rates. </w:t>
      </w:r>
      <w:r w:rsidRPr="00C409C5">
        <w:rPr>
          <w:szCs w:val="20"/>
        </w:rPr>
        <w:t>The United States has a federal funds rate of 4.25%-4.50%, while the European Central Bank has maintained a</w:t>
      </w:r>
      <w:r>
        <w:rPr>
          <w:szCs w:val="20"/>
        </w:rPr>
        <w:t>n</w:t>
      </w:r>
      <w:r w:rsidRPr="00C409C5">
        <w:rPr>
          <w:szCs w:val="20"/>
        </w:rPr>
        <w:t xml:space="preserve"> interest rate of 3.15% to encourage lending and investment</w:t>
      </w:r>
      <w:r w:rsidR="004F5BE0">
        <w:rPr>
          <w:szCs w:val="20"/>
        </w:rPr>
        <w:t>.</w:t>
      </w:r>
      <w:r w:rsidRPr="00C409C5">
        <w:rPr>
          <w:szCs w:val="20"/>
        </w:rPr>
        <w:t xml:space="preserve"> </w:t>
      </w:r>
    </w:p>
    <w:p w14:paraId="34AF59D6" w14:textId="4BCE5DCD" w:rsidR="0070412E" w:rsidRDefault="00C7511A" w:rsidP="00C7511A">
      <w:pPr>
        <w:ind w:right="115"/>
        <w:rPr>
          <w:szCs w:val="20"/>
        </w:rPr>
      </w:pPr>
      <w:r w:rsidRPr="00C409C5">
        <w:rPr>
          <w:szCs w:val="20"/>
        </w:rPr>
        <w:t xml:space="preserve">In India, the Reserve Bank of India (RBI) has been actively managing interest rates to balance economic growth, inflation, and financial stability. </w:t>
      </w:r>
      <w:r w:rsidR="00E62CBA">
        <w:rPr>
          <w:szCs w:val="20"/>
        </w:rPr>
        <w:t>As of December 2024</w:t>
      </w:r>
      <w:r w:rsidR="00966056">
        <w:rPr>
          <w:szCs w:val="20"/>
        </w:rPr>
        <w:t xml:space="preserve">, the repo rate was </w:t>
      </w:r>
      <w:r w:rsidR="002B0FAA">
        <w:rPr>
          <w:szCs w:val="20"/>
        </w:rPr>
        <w:t xml:space="preserve">6.5% </w:t>
      </w:r>
      <w:r w:rsidR="00900E95">
        <w:rPr>
          <w:szCs w:val="20"/>
        </w:rPr>
        <w:t xml:space="preserve">thereafter it was reduced to 6.25% in February 2025. In April 2025 the repo </w:t>
      </w:r>
      <w:r w:rsidR="003D4425">
        <w:rPr>
          <w:szCs w:val="20"/>
        </w:rPr>
        <w:t xml:space="preserve">rate was further reduced to 6.0%. </w:t>
      </w:r>
    </w:p>
    <w:p w14:paraId="5AF74CDD" w14:textId="7412E573" w:rsidR="00C7511A" w:rsidRPr="00C409C5" w:rsidRDefault="00C7511A" w:rsidP="00C7511A">
      <w:pPr>
        <w:keepNext/>
        <w:keepLines/>
        <w:spacing w:before="160" w:line="276" w:lineRule="auto"/>
        <w:ind w:right="432"/>
        <w:rPr>
          <w:rFonts w:eastAsia="Times New Roman" w:cs="Book Antiqua"/>
          <w:b/>
          <w:bCs/>
          <w:kern w:val="0"/>
          <w:szCs w:val="16"/>
          <w:lang w:eastAsia="en-IN"/>
          <w14:ligatures w14:val="none"/>
        </w:rPr>
      </w:pPr>
      <w:bookmarkStart w:id="144" w:name="_Toc189499636"/>
      <w:bookmarkStart w:id="145" w:name="_Toc192073649"/>
      <w:bookmarkStart w:id="146" w:name="_Toc192153677"/>
      <w:bookmarkStart w:id="147" w:name="_Toc192195343"/>
      <w:bookmarkStart w:id="148" w:name="_Toc198731491"/>
      <w:r w:rsidRPr="00C409C5">
        <w:rPr>
          <w:rFonts w:eastAsia="Times New Roman" w:cs="Book Antiqua"/>
          <w:b/>
          <w:bCs/>
          <w:color w:val="auto"/>
          <w:kern w:val="0"/>
          <w:szCs w:val="16"/>
          <w:lang w:eastAsia="en-IN"/>
          <w14:ligatures w14:val="none"/>
        </w:rPr>
        <w:t xml:space="preserve">Figure </w:t>
      </w:r>
      <w:r w:rsidRPr="00C409C5">
        <w:rPr>
          <w:rFonts w:eastAsia="Times New Roman" w:cs="Book Antiqua"/>
          <w:b/>
          <w:bCs/>
          <w:color w:val="auto"/>
          <w:kern w:val="0"/>
          <w:szCs w:val="16"/>
          <w:lang w:eastAsia="en-IN"/>
          <w14:ligatures w14:val="none"/>
        </w:rPr>
        <w:fldChar w:fldCharType="begin"/>
      </w:r>
      <w:r w:rsidRPr="00C409C5">
        <w:rPr>
          <w:rFonts w:eastAsia="Times New Roman" w:cs="Book Antiqua"/>
          <w:b/>
          <w:bCs/>
          <w:color w:val="auto"/>
          <w:kern w:val="0"/>
          <w:szCs w:val="16"/>
          <w:lang w:eastAsia="en-IN"/>
          <w14:ligatures w14:val="none"/>
        </w:rPr>
        <w:instrText xml:space="preserve"> STYLEREF 1 \s </w:instrText>
      </w:r>
      <w:r w:rsidRPr="00C409C5">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1</w:t>
      </w:r>
      <w:r w:rsidRPr="00C409C5">
        <w:rPr>
          <w:rFonts w:eastAsia="Times New Roman" w:cs="Book Antiqua"/>
          <w:b/>
          <w:bCs/>
          <w:color w:val="auto"/>
          <w:kern w:val="0"/>
          <w:szCs w:val="16"/>
          <w:lang w:eastAsia="en-IN"/>
          <w14:ligatures w14:val="none"/>
        </w:rPr>
        <w:fldChar w:fldCharType="end"/>
      </w:r>
      <w:r w:rsidRPr="00C409C5">
        <w:rPr>
          <w:rFonts w:eastAsia="Times New Roman" w:cs="Book Antiqua"/>
          <w:b/>
          <w:bCs/>
          <w:color w:val="auto"/>
          <w:kern w:val="0"/>
          <w:szCs w:val="16"/>
          <w:lang w:eastAsia="en-IN"/>
          <w14:ligatures w14:val="none"/>
        </w:rPr>
        <w:t>.</w:t>
      </w:r>
      <w:r w:rsidRPr="00C409C5">
        <w:rPr>
          <w:rFonts w:eastAsia="Times New Roman" w:cs="Book Antiqua"/>
          <w:b/>
          <w:bCs/>
          <w:color w:val="auto"/>
          <w:kern w:val="0"/>
          <w:szCs w:val="16"/>
          <w:lang w:eastAsia="en-IN"/>
          <w14:ligatures w14:val="none"/>
        </w:rPr>
        <w:fldChar w:fldCharType="begin"/>
      </w:r>
      <w:r w:rsidRPr="00C409C5">
        <w:rPr>
          <w:rFonts w:eastAsia="Times New Roman" w:cs="Book Antiqua"/>
          <w:b/>
          <w:bCs/>
          <w:color w:val="auto"/>
          <w:kern w:val="0"/>
          <w:szCs w:val="16"/>
          <w:lang w:eastAsia="en-IN"/>
          <w14:ligatures w14:val="none"/>
        </w:rPr>
        <w:instrText xml:space="preserve"> SEQ Figure \* ARABIC \s 1 </w:instrText>
      </w:r>
      <w:r w:rsidRPr="00C409C5">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8</w:t>
      </w:r>
      <w:r w:rsidRPr="00C409C5">
        <w:rPr>
          <w:rFonts w:eastAsia="Times New Roman" w:cs="Book Antiqua"/>
          <w:b/>
          <w:bCs/>
          <w:color w:val="auto"/>
          <w:kern w:val="0"/>
          <w:szCs w:val="16"/>
          <w:lang w:eastAsia="en-IN"/>
          <w14:ligatures w14:val="none"/>
        </w:rPr>
        <w:fldChar w:fldCharType="end"/>
      </w:r>
      <w:r w:rsidRPr="00C409C5">
        <w:rPr>
          <w:rFonts w:eastAsia="Times New Roman" w:cs="Book Antiqua"/>
          <w:b/>
          <w:bCs/>
          <w:kern w:val="0"/>
          <w:szCs w:val="16"/>
          <w:lang w:eastAsia="en-IN"/>
          <w14:ligatures w14:val="none"/>
        </w:rPr>
        <w:t>: Repo rate in India in %</w:t>
      </w:r>
      <w:bookmarkEnd w:id="144"/>
      <w:bookmarkEnd w:id="145"/>
      <w:bookmarkEnd w:id="146"/>
      <w:bookmarkEnd w:id="147"/>
      <w:bookmarkEnd w:id="148"/>
    </w:p>
    <w:p w14:paraId="5C4C9CAA" w14:textId="77777777" w:rsidR="00C7511A" w:rsidRPr="00E532DE" w:rsidRDefault="00C7511A" w:rsidP="00662938">
      <w:pPr>
        <w:keepNext/>
        <w:keepLines/>
        <w:spacing w:before="160" w:after="0" w:line="276" w:lineRule="auto"/>
        <w:ind w:right="432"/>
        <w:rPr>
          <w:rFonts w:eastAsia="Times New Roman" w:cs="Book Antiqua"/>
          <w:b/>
          <w:bCs/>
          <w:noProof/>
          <w:kern w:val="0"/>
          <w:szCs w:val="18"/>
          <w:lang w:eastAsia="en-IN"/>
          <w14:ligatures w14:val="none"/>
        </w:rPr>
      </w:pPr>
      <w:r w:rsidRPr="004B3F93">
        <w:rPr>
          <w:rFonts w:eastAsia="Times New Roman" w:cs="Book Antiqua"/>
          <w:b/>
          <w:bCs/>
          <w:noProof/>
          <w:kern w:val="0"/>
          <w:szCs w:val="18"/>
          <w:lang w:eastAsia="en-IN"/>
          <w14:ligatures w14:val="none"/>
        </w:rPr>
        <w:drawing>
          <wp:inline distT="0" distB="0" distL="0" distR="0" wp14:anchorId="4FC5B21C" wp14:editId="21640356">
            <wp:extent cx="6391275" cy="1533378"/>
            <wp:effectExtent l="0" t="0" r="0" b="0"/>
            <wp:docPr id="1848210922" name="Chart 1">
              <a:extLst xmlns:a="http://schemas.openxmlformats.org/drawingml/2006/main">
                <a:ext uri="{FF2B5EF4-FFF2-40B4-BE49-F238E27FC236}">
                  <a16:creationId xmlns:a16="http://schemas.microsoft.com/office/drawing/2014/main" id="{34369129-BF80-0CF2-D972-ECA3FA0BB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23128F" w14:textId="77777777" w:rsidR="00C7511A" w:rsidRPr="00E532DE" w:rsidRDefault="00C7511A" w:rsidP="00662938">
      <w:pPr>
        <w:tabs>
          <w:tab w:val="center" w:pos="4680"/>
          <w:tab w:val="right" w:pos="9720"/>
        </w:tabs>
        <w:spacing w:before="0" w:after="120" w:line="240" w:lineRule="auto"/>
        <w:ind w:right="432"/>
        <w:rPr>
          <w:rFonts w:eastAsiaTheme="minorEastAsia"/>
          <w:i/>
          <w:sz w:val="16"/>
          <w:szCs w:val="15"/>
        </w:rPr>
      </w:pPr>
      <w:r w:rsidRPr="00E532DE">
        <w:rPr>
          <w:rFonts w:eastAsiaTheme="minorEastAsia"/>
          <w:i/>
          <w:sz w:val="16"/>
          <w:szCs w:val="15"/>
        </w:rPr>
        <w:t xml:space="preserve">Source: Reserve Bank of India </w:t>
      </w:r>
    </w:p>
    <w:p w14:paraId="168BA18A" w14:textId="77777777" w:rsidR="00C7511A" w:rsidRDefault="00C7511A" w:rsidP="00C7511A">
      <w:pPr>
        <w:pStyle w:val="Heading30"/>
      </w:pPr>
      <w:r>
        <w:t>Fiscal deficit</w:t>
      </w:r>
    </w:p>
    <w:p w14:paraId="05C0D759" w14:textId="77777777" w:rsidR="00C7511A" w:rsidRPr="00C63D8D" w:rsidRDefault="00C7511A" w:rsidP="00C7511A">
      <w:pPr>
        <w:ind w:right="115"/>
        <w:rPr>
          <w:szCs w:val="20"/>
        </w:rPr>
      </w:pPr>
      <w:r w:rsidRPr="00C63D8D">
        <w:rPr>
          <w:szCs w:val="20"/>
        </w:rPr>
        <w:t>A fiscal deficit occurs when a government's total expenditures exceed its total revenues, resulting in a shortfall that must be financed through borrowing or other means. Fiscal deficit is generally caused by higher government spending and reduced tax revenues. A large fiscal deficit can cause excessive borrowing by the government to finance the fiscal deficit leading to inflation. A persistent fiscal deficit can lead to a reduction in the government's credit rating, making it more expensive to borrow in the future.</w:t>
      </w:r>
    </w:p>
    <w:p w14:paraId="52121BE4" w14:textId="603DF6AE" w:rsidR="00C7511A" w:rsidRPr="00C63D8D" w:rsidRDefault="00C7511A" w:rsidP="00C7511A">
      <w:pPr>
        <w:keepNext/>
        <w:keepLines/>
        <w:spacing w:before="160" w:line="276" w:lineRule="auto"/>
        <w:ind w:right="432"/>
        <w:rPr>
          <w:rFonts w:eastAsia="Times New Roman" w:cs="Book Antiqua"/>
          <w:b/>
          <w:bCs/>
          <w:kern w:val="0"/>
          <w:szCs w:val="16"/>
          <w:lang w:eastAsia="en-IN"/>
          <w14:ligatures w14:val="none"/>
        </w:rPr>
      </w:pPr>
      <w:bookmarkStart w:id="149" w:name="_Toc192153678"/>
      <w:bookmarkStart w:id="150" w:name="_Toc192195344"/>
      <w:bookmarkStart w:id="151" w:name="_Toc198731492"/>
      <w:r w:rsidRPr="00C63D8D">
        <w:rPr>
          <w:rFonts w:eastAsia="Times New Roman" w:cs="Book Antiqua"/>
          <w:b/>
          <w:bCs/>
          <w:color w:val="auto"/>
          <w:kern w:val="0"/>
          <w:szCs w:val="16"/>
          <w:lang w:eastAsia="en-IN"/>
          <w14:ligatures w14:val="none"/>
        </w:rPr>
        <w:t xml:space="preserve">Figure </w:t>
      </w:r>
      <w:r w:rsidRPr="00C63D8D">
        <w:rPr>
          <w:rFonts w:eastAsia="Times New Roman" w:cs="Book Antiqua"/>
          <w:b/>
          <w:bCs/>
          <w:color w:val="auto"/>
          <w:kern w:val="0"/>
          <w:szCs w:val="16"/>
          <w:lang w:eastAsia="en-IN"/>
          <w14:ligatures w14:val="none"/>
        </w:rPr>
        <w:fldChar w:fldCharType="begin"/>
      </w:r>
      <w:r w:rsidRPr="00C63D8D">
        <w:rPr>
          <w:rFonts w:eastAsia="Times New Roman" w:cs="Book Antiqua"/>
          <w:b/>
          <w:bCs/>
          <w:color w:val="auto"/>
          <w:kern w:val="0"/>
          <w:szCs w:val="16"/>
          <w:lang w:eastAsia="en-IN"/>
          <w14:ligatures w14:val="none"/>
        </w:rPr>
        <w:instrText xml:space="preserve"> STYLEREF 1 \s </w:instrText>
      </w:r>
      <w:r w:rsidRPr="00C63D8D">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1</w:t>
      </w:r>
      <w:r w:rsidRPr="00C63D8D">
        <w:rPr>
          <w:rFonts w:eastAsia="Times New Roman" w:cs="Book Antiqua"/>
          <w:b/>
          <w:bCs/>
          <w:color w:val="auto"/>
          <w:kern w:val="0"/>
          <w:szCs w:val="16"/>
          <w:lang w:eastAsia="en-IN"/>
          <w14:ligatures w14:val="none"/>
        </w:rPr>
        <w:fldChar w:fldCharType="end"/>
      </w:r>
      <w:r w:rsidRPr="00C63D8D">
        <w:rPr>
          <w:rFonts w:eastAsia="Times New Roman" w:cs="Book Antiqua"/>
          <w:b/>
          <w:bCs/>
          <w:color w:val="auto"/>
          <w:kern w:val="0"/>
          <w:szCs w:val="16"/>
          <w:lang w:eastAsia="en-IN"/>
          <w14:ligatures w14:val="none"/>
        </w:rPr>
        <w:t>.</w:t>
      </w:r>
      <w:r w:rsidRPr="00C63D8D">
        <w:rPr>
          <w:rFonts w:eastAsia="Times New Roman" w:cs="Book Antiqua"/>
          <w:b/>
          <w:bCs/>
          <w:color w:val="auto"/>
          <w:kern w:val="0"/>
          <w:szCs w:val="16"/>
          <w:lang w:eastAsia="en-IN"/>
          <w14:ligatures w14:val="none"/>
        </w:rPr>
        <w:fldChar w:fldCharType="begin"/>
      </w:r>
      <w:r w:rsidRPr="00C63D8D">
        <w:rPr>
          <w:rFonts w:eastAsia="Times New Roman" w:cs="Book Antiqua"/>
          <w:b/>
          <w:bCs/>
          <w:color w:val="auto"/>
          <w:kern w:val="0"/>
          <w:szCs w:val="16"/>
          <w:lang w:eastAsia="en-IN"/>
          <w14:ligatures w14:val="none"/>
        </w:rPr>
        <w:instrText xml:space="preserve"> SEQ Figure \* ARABIC \s 1 </w:instrText>
      </w:r>
      <w:r w:rsidRPr="00C63D8D">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9</w:t>
      </w:r>
      <w:r w:rsidRPr="00C63D8D">
        <w:rPr>
          <w:rFonts w:eastAsia="Times New Roman" w:cs="Book Antiqua"/>
          <w:b/>
          <w:bCs/>
          <w:color w:val="auto"/>
          <w:kern w:val="0"/>
          <w:szCs w:val="16"/>
          <w:lang w:eastAsia="en-IN"/>
          <w14:ligatures w14:val="none"/>
        </w:rPr>
        <w:fldChar w:fldCharType="end"/>
      </w:r>
      <w:r w:rsidRPr="00C63D8D">
        <w:rPr>
          <w:rFonts w:eastAsia="Times New Roman" w:cs="Book Antiqua"/>
          <w:b/>
          <w:bCs/>
          <w:kern w:val="0"/>
          <w:szCs w:val="16"/>
          <w:lang w:eastAsia="en-IN"/>
          <w14:ligatures w14:val="none"/>
        </w:rPr>
        <w:t>: Fiscal deficit of India as a % of GDP</w:t>
      </w:r>
      <w:bookmarkEnd w:id="149"/>
      <w:bookmarkEnd w:id="150"/>
      <w:bookmarkEnd w:id="151"/>
    </w:p>
    <w:p w14:paraId="7165864E" w14:textId="07612AF5" w:rsidR="00FD13C0" w:rsidRDefault="00FD13C0" w:rsidP="00662938">
      <w:pPr>
        <w:keepNext/>
        <w:keepLines/>
        <w:spacing w:before="160" w:after="0" w:line="276" w:lineRule="auto"/>
        <w:ind w:right="432"/>
        <w:rPr>
          <w:rFonts w:eastAsia="Times New Roman" w:cs="Book Antiqua"/>
          <w:b/>
          <w:bCs/>
          <w:noProof/>
          <w:kern w:val="0"/>
          <w:szCs w:val="18"/>
          <w:lang w:eastAsia="en-IN"/>
          <w14:ligatures w14:val="none"/>
        </w:rPr>
      </w:pPr>
      <w:r>
        <w:rPr>
          <w:rFonts w:eastAsia="Times New Roman" w:cs="Book Antiqua"/>
          <w:b/>
          <w:bCs/>
          <w:noProof/>
          <w:kern w:val="0"/>
          <w:szCs w:val="16"/>
          <w:lang w:val="en-GB" w:eastAsia="en-IN"/>
        </w:rPr>
        <w:drawing>
          <wp:inline distT="0" distB="0" distL="0" distR="0" wp14:anchorId="35B9A909" wp14:editId="070405D5">
            <wp:extent cx="6591300" cy="2115047"/>
            <wp:effectExtent l="0" t="0" r="0" b="0"/>
            <wp:docPr id="33423633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F60D69" w14:textId="77777777" w:rsidR="00C7511A" w:rsidRPr="00662938" w:rsidRDefault="00C7511A" w:rsidP="00662938">
      <w:pPr>
        <w:keepNext/>
        <w:keepLines/>
        <w:spacing w:before="0" w:line="360" w:lineRule="auto"/>
        <w:ind w:right="432"/>
        <w:rPr>
          <w:sz w:val="18"/>
          <w:szCs w:val="20"/>
        </w:rPr>
      </w:pPr>
      <w:r w:rsidRPr="00662938">
        <w:rPr>
          <w:i/>
          <w:sz w:val="16"/>
          <w:szCs w:val="18"/>
        </w:rPr>
        <w:t>Source: Indian Budget documents, Economic survey, all years are fiscal</w:t>
      </w:r>
    </w:p>
    <w:p w14:paraId="1F6D6384" w14:textId="0EF3CB3A" w:rsidR="00C7511A" w:rsidRPr="00C63D8D" w:rsidRDefault="00C7511A" w:rsidP="00C7511A">
      <w:pPr>
        <w:ind w:right="112"/>
        <w:rPr>
          <w:szCs w:val="20"/>
        </w:rPr>
      </w:pPr>
      <w:r w:rsidRPr="00C63D8D">
        <w:rPr>
          <w:szCs w:val="20"/>
        </w:rPr>
        <w:t xml:space="preserve">Over the past few years, India’s fiscal deficit as a percentage of GDP has exhibited significant fluctuations, with a pre-pandemic level of 3.4% in fiscal 2019, increasing to 4.6% in fiscal 2020 and peaking at 9.2% in fiscal 2021 due to the COVID-19 pandemic. However, the government has since initiated fiscal consolidation efforts, with the deficit narrowing to 6.7% in fiscal 2022 and further reducing to </w:t>
      </w:r>
      <w:r w:rsidR="003F3DEE">
        <w:rPr>
          <w:szCs w:val="20"/>
        </w:rPr>
        <w:t>4.8</w:t>
      </w:r>
      <w:r w:rsidRPr="00C63D8D">
        <w:rPr>
          <w:szCs w:val="20"/>
        </w:rPr>
        <w:t xml:space="preserve">% in fiscal </w:t>
      </w:r>
      <w:r w:rsidR="003F3DEE">
        <w:rPr>
          <w:szCs w:val="20"/>
        </w:rPr>
        <w:t>2025.</w:t>
      </w:r>
    </w:p>
    <w:p w14:paraId="1758F2C7" w14:textId="77777777" w:rsidR="00C7511A" w:rsidRPr="00CD0657" w:rsidRDefault="00C7511A" w:rsidP="00C7511A">
      <w:pPr>
        <w:pStyle w:val="Heading30"/>
      </w:pPr>
      <w:bookmarkStart w:id="152" w:name="_Toc189499561"/>
      <w:bookmarkStart w:id="153" w:name="_Toc192073607"/>
      <w:r w:rsidRPr="00CD0657">
        <w:t>Overview of other demographic factors</w:t>
      </w:r>
      <w:bookmarkEnd w:id="152"/>
      <w:r>
        <w:t xml:space="preserve"> in India</w:t>
      </w:r>
      <w:bookmarkEnd w:id="153"/>
    </w:p>
    <w:p w14:paraId="4A667E14" w14:textId="77777777" w:rsidR="00C7511A" w:rsidRPr="00CD0657" w:rsidRDefault="00C7511A" w:rsidP="00C7511A">
      <w:pPr>
        <w:pStyle w:val="Heading40"/>
      </w:pPr>
      <w:r w:rsidRPr="00CD0657">
        <w:t xml:space="preserve">Per capita Electricity Consumption </w:t>
      </w:r>
    </w:p>
    <w:p w14:paraId="58FFB189" w14:textId="77777777" w:rsidR="00C7511A" w:rsidRPr="00C63D8D" w:rsidRDefault="00C7511A" w:rsidP="00C7511A">
      <w:pPr>
        <w:ind w:right="115"/>
        <w:rPr>
          <w:szCs w:val="20"/>
        </w:rPr>
      </w:pPr>
      <w:r w:rsidRPr="00C63D8D">
        <w:rPr>
          <w:szCs w:val="20"/>
        </w:rPr>
        <w:t>The world's electricity consumption has been steadily increasing over the years, driven by growing populations, urbanization, and industrialization. As of 2023, global electricity consumption stands at approximately 29,925</w:t>
      </w:r>
      <w:r w:rsidRPr="00C63D8D">
        <w:rPr>
          <w:color w:val="auto"/>
          <w:szCs w:val="20"/>
          <w:vertAlign w:val="superscript"/>
        </w:rPr>
        <w:footnoteReference w:id="11"/>
      </w:r>
      <w:r w:rsidRPr="00C63D8D">
        <w:rPr>
          <w:szCs w:val="20"/>
        </w:rPr>
        <w:t xml:space="preserve"> terawatt-hours (TWh). India, being the most populous country in the world, is a significant contributor to global electricity consumption. The country's electricity consumption has been growing at a rapid pace, driven by its expanding economy, increasing industrial activity, and rising household incomes. As of 2023, India's electricity consumption at 1958</w:t>
      </w:r>
      <w:r w:rsidRPr="00C63D8D">
        <w:rPr>
          <w:color w:val="auto"/>
          <w:szCs w:val="20"/>
          <w:vertAlign w:val="superscript"/>
        </w:rPr>
        <w:footnoteReference w:id="12"/>
      </w:r>
      <w:r w:rsidRPr="00C63D8D">
        <w:rPr>
          <w:szCs w:val="20"/>
        </w:rPr>
        <w:t xml:space="preserve"> TWh accounts for approximately 7% of the global total, making it the third-largest electricity consumer in the world, after China (32% of global share) and the United States (15% of global share).</w:t>
      </w:r>
    </w:p>
    <w:p w14:paraId="644AC0AA" w14:textId="269CBF2A" w:rsidR="00C7511A" w:rsidRDefault="00876717" w:rsidP="00C7511A">
      <w:pPr>
        <w:ind w:right="115"/>
        <w:rPr>
          <w:szCs w:val="20"/>
        </w:rPr>
      </w:pPr>
      <w:r>
        <w:rPr>
          <w:szCs w:val="20"/>
        </w:rPr>
        <w:t>I</w:t>
      </w:r>
      <w:r w:rsidR="00C7511A" w:rsidRPr="00C63D8D">
        <w:rPr>
          <w:szCs w:val="20"/>
        </w:rPr>
        <w:t>n terms of per capita electricity consumption, India still lags behind many developed countries, with an annual consumption of 1,395</w:t>
      </w:r>
      <w:r w:rsidR="00C7511A" w:rsidRPr="00C63D8D">
        <w:rPr>
          <w:rStyle w:val="FootnoteReference"/>
          <w:szCs w:val="20"/>
        </w:rPr>
        <w:footnoteReference w:id="13"/>
      </w:r>
      <w:r w:rsidR="00C7511A" w:rsidRPr="00C63D8D">
        <w:rPr>
          <w:szCs w:val="20"/>
        </w:rPr>
        <w:t xml:space="preserve"> kWh per person as of fiscal 2024 and was 1331</w:t>
      </w:r>
      <w:r w:rsidR="00C7511A" w:rsidRPr="00C63D8D">
        <w:rPr>
          <w:rStyle w:val="FootnoteReference"/>
          <w:szCs w:val="20"/>
        </w:rPr>
        <w:footnoteReference w:id="14"/>
      </w:r>
      <w:r w:rsidR="00C7511A" w:rsidRPr="00C63D8D">
        <w:rPr>
          <w:szCs w:val="20"/>
        </w:rPr>
        <w:t xml:space="preserve"> kWh per person for fiscal 2023. However, this figure is expected to increase significantly in the coming years, driven by the government's efforts to electrify all households and promote economic growth. A comparison of electricity consumption patterns across major countries reveals growth potential for India. The United States, for instance, has a per capita electricity consumption of 12,497 kWh, which is almost ten times that of India's. China, on the other hand, has a per capita electricity consumption of 6635 kWh, which is five times that of India. In terms of growth percentage, India's per capita electricity consumption has increased significantly over the past decade, with a rise of 46%</w:t>
      </w:r>
      <w:r w:rsidR="00C7511A">
        <w:rPr>
          <w:szCs w:val="20"/>
        </w:rPr>
        <w:t xml:space="preserve"> i.e., </w:t>
      </w:r>
      <w:r w:rsidR="00C7511A" w:rsidRPr="00C63D8D">
        <w:rPr>
          <w:szCs w:val="20"/>
        </w:rPr>
        <w:t>CAGR 3.83% from 2013 to 2023.</w:t>
      </w:r>
    </w:p>
    <w:p w14:paraId="13B46EAD" w14:textId="4C3BE7A3" w:rsidR="00C7511A" w:rsidRPr="00C63D8D" w:rsidRDefault="00C7511A" w:rsidP="00C7511A">
      <w:pPr>
        <w:pStyle w:val="Caption1"/>
        <w:ind w:right="112"/>
        <w:rPr>
          <w:sz w:val="18"/>
          <w:szCs w:val="18"/>
          <w:lang w:val="en-US" w:eastAsia="en-IN"/>
        </w:rPr>
      </w:pPr>
      <w:bookmarkStart w:id="154" w:name="_Toc189499639"/>
      <w:bookmarkStart w:id="155" w:name="_Toc192073653"/>
      <w:bookmarkStart w:id="156" w:name="_Toc192153679"/>
      <w:bookmarkStart w:id="157" w:name="_Toc192195345"/>
      <w:bookmarkStart w:id="158" w:name="_Toc198731493"/>
      <w:r w:rsidRPr="00C63D8D">
        <w:rPr>
          <w:sz w:val="18"/>
          <w:szCs w:val="18"/>
          <w:lang w:eastAsia="en-IN"/>
        </w:rPr>
        <w:t xml:space="preserve">Figure </w:t>
      </w:r>
      <w:r w:rsidRPr="00C63D8D">
        <w:rPr>
          <w:sz w:val="18"/>
          <w:szCs w:val="18"/>
          <w:lang w:eastAsia="en-IN"/>
        </w:rPr>
        <w:fldChar w:fldCharType="begin"/>
      </w:r>
      <w:r w:rsidRPr="00C63D8D">
        <w:rPr>
          <w:sz w:val="18"/>
          <w:szCs w:val="18"/>
          <w:lang w:eastAsia="en-IN"/>
        </w:rPr>
        <w:instrText xml:space="preserve"> STYLEREF 1 \s </w:instrText>
      </w:r>
      <w:r w:rsidRPr="00C63D8D">
        <w:rPr>
          <w:sz w:val="18"/>
          <w:szCs w:val="18"/>
          <w:lang w:eastAsia="en-IN"/>
        </w:rPr>
        <w:fldChar w:fldCharType="separate"/>
      </w:r>
      <w:r w:rsidR="002142B9">
        <w:rPr>
          <w:sz w:val="18"/>
          <w:szCs w:val="18"/>
          <w:lang w:eastAsia="en-IN"/>
        </w:rPr>
        <w:t>1</w:t>
      </w:r>
      <w:r w:rsidRPr="00C63D8D">
        <w:rPr>
          <w:sz w:val="18"/>
          <w:szCs w:val="18"/>
          <w:lang w:eastAsia="en-IN"/>
        </w:rPr>
        <w:fldChar w:fldCharType="end"/>
      </w:r>
      <w:r w:rsidRPr="00C63D8D">
        <w:rPr>
          <w:sz w:val="18"/>
          <w:szCs w:val="18"/>
          <w:lang w:eastAsia="en-IN"/>
        </w:rPr>
        <w:t>.</w:t>
      </w:r>
      <w:r w:rsidRPr="00C63D8D">
        <w:rPr>
          <w:sz w:val="18"/>
          <w:szCs w:val="18"/>
          <w:lang w:eastAsia="en-IN"/>
        </w:rPr>
        <w:fldChar w:fldCharType="begin"/>
      </w:r>
      <w:r w:rsidRPr="00C63D8D">
        <w:rPr>
          <w:sz w:val="18"/>
          <w:szCs w:val="18"/>
          <w:lang w:eastAsia="en-IN"/>
        </w:rPr>
        <w:instrText xml:space="preserve"> SEQ Figure \* ARABIC \s 1 </w:instrText>
      </w:r>
      <w:r w:rsidRPr="00C63D8D">
        <w:rPr>
          <w:sz w:val="18"/>
          <w:szCs w:val="18"/>
          <w:lang w:eastAsia="en-IN"/>
        </w:rPr>
        <w:fldChar w:fldCharType="separate"/>
      </w:r>
      <w:r w:rsidR="002142B9">
        <w:rPr>
          <w:sz w:val="18"/>
          <w:szCs w:val="18"/>
          <w:lang w:eastAsia="en-IN"/>
        </w:rPr>
        <w:t>10</w:t>
      </w:r>
      <w:r w:rsidRPr="00C63D8D">
        <w:rPr>
          <w:sz w:val="18"/>
          <w:szCs w:val="18"/>
          <w:lang w:eastAsia="en-IN"/>
        </w:rPr>
        <w:fldChar w:fldCharType="end"/>
      </w:r>
      <w:r w:rsidRPr="00C63D8D">
        <w:rPr>
          <w:sz w:val="18"/>
          <w:szCs w:val="18"/>
          <w:lang w:eastAsia="en-IN"/>
        </w:rPr>
        <w:t xml:space="preserve"> Per capita electricity consumption in CY2023 in kWh/ person and CAGR (10 year) from 2013 to 2023</w:t>
      </w:r>
      <w:bookmarkEnd w:id="154"/>
      <w:bookmarkEnd w:id="155"/>
      <w:bookmarkEnd w:id="156"/>
      <w:bookmarkEnd w:id="157"/>
      <w:bookmarkEnd w:id="158"/>
    </w:p>
    <w:p w14:paraId="0C069551" w14:textId="77777777" w:rsidR="00C7511A" w:rsidRPr="00CD0657" w:rsidRDefault="00C7511A" w:rsidP="00662938">
      <w:pPr>
        <w:spacing w:before="160" w:after="0"/>
        <w:ind w:right="432"/>
        <w:rPr>
          <w:lang w:eastAsia="en-IN"/>
        </w:rPr>
      </w:pPr>
      <w:r w:rsidRPr="00EB0082">
        <w:rPr>
          <w:noProof/>
          <w:shd w:val="clear" w:color="auto" w:fill="0E2841" w:themeFill="text2"/>
          <w:lang w:eastAsia="en-IN"/>
        </w:rPr>
        <w:drawing>
          <wp:inline distT="0" distB="0" distL="0" distR="0" wp14:anchorId="1F32F460" wp14:editId="367D2DB6">
            <wp:extent cx="6381750" cy="2210463"/>
            <wp:effectExtent l="0" t="0" r="0" b="0"/>
            <wp:docPr id="1741797472" name="Chart 1">
              <a:extLst xmlns:a="http://schemas.openxmlformats.org/drawingml/2006/main">
                <a:ext uri="{FF2B5EF4-FFF2-40B4-BE49-F238E27FC236}">
                  <a16:creationId xmlns:a16="http://schemas.microsoft.com/office/drawing/2014/main" id="{BC1B99D8-DFD6-781D-3785-11D8F6989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9AF191" w14:textId="4D8A9511" w:rsidR="00C7511A" w:rsidRPr="00CD0657" w:rsidRDefault="00C7511A" w:rsidP="00C7511A">
      <w:pPr>
        <w:tabs>
          <w:tab w:val="center" w:pos="4680"/>
          <w:tab w:val="right" w:pos="9720"/>
        </w:tabs>
        <w:spacing w:after="120" w:line="240" w:lineRule="auto"/>
        <w:ind w:right="112"/>
        <w:rPr>
          <w:rFonts w:eastAsiaTheme="minorEastAsia"/>
          <w:i/>
          <w:sz w:val="16"/>
          <w:szCs w:val="15"/>
        </w:rPr>
      </w:pPr>
      <w:r w:rsidRPr="00CD0657">
        <w:rPr>
          <w:rFonts w:eastAsiaTheme="minorEastAsia"/>
          <w:i/>
          <w:sz w:val="16"/>
          <w:szCs w:val="15"/>
        </w:rPr>
        <w:t>Source: BP (2024) Statistical Review of World Energy, Our World in Data, C</w:t>
      </w:r>
      <w:r>
        <w:rPr>
          <w:rFonts w:eastAsiaTheme="minorEastAsia"/>
          <w:i/>
          <w:sz w:val="16"/>
          <w:szCs w:val="15"/>
        </w:rPr>
        <w:t>risil</w:t>
      </w:r>
      <w:r w:rsidRPr="00CD0657">
        <w:rPr>
          <w:rFonts w:eastAsiaTheme="minorEastAsia"/>
          <w:i/>
          <w:sz w:val="16"/>
          <w:szCs w:val="15"/>
        </w:rPr>
        <w:t xml:space="preserve"> Intelligence, All India Electricity Statistics (General Review) by Central Electricity Authority, *European Union data is for 2022, **India’s data is for fiscal 202</w:t>
      </w:r>
      <w:r w:rsidR="00610D61">
        <w:rPr>
          <w:rFonts w:eastAsiaTheme="minorEastAsia"/>
          <w:i/>
          <w:sz w:val="16"/>
          <w:szCs w:val="15"/>
        </w:rPr>
        <w:t>4</w:t>
      </w:r>
      <w:r w:rsidRPr="00CD0657">
        <w:rPr>
          <w:rFonts w:eastAsiaTheme="minorEastAsia"/>
          <w:i/>
          <w:sz w:val="16"/>
          <w:szCs w:val="15"/>
        </w:rPr>
        <w:t xml:space="preserve">, growth rate is the </w:t>
      </w:r>
      <w:r w:rsidR="0005253B">
        <w:rPr>
          <w:rFonts w:eastAsiaTheme="minorEastAsia"/>
          <w:i/>
          <w:sz w:val="16"/>
          <w:szCs w:val="15"/>
        </w:rPr>
        <w:t>CAGR</w:t>
      </w:r>
      <w:r w:rsidRPr="00CD0657">
        <w:rPr>
          <w:rFonts w:eastAsiaTheme="minorEastAsia"/>
          <w:i/>
          <w:sz w:val="16"/>
          <w:szCs w:val="15"/>
        </w:rPr>
        <w:t xml:space="preserve"> in per capita electricity consumption from 2013 to 2023</w:t>
      </w:r>
    </w:p>
    <w:p w14:paraId="7B02C18D" w14:textId="39C83A06" w:rsidR="00C7511A" w:rsidRPr="00C63D8D" w:rsidRDefault="00C7511A" w:rsidP="00C7511A">
      <w:pPr>
        <w:ind w:right="115"/>
        <w:rPr>
          <w:szCs w:val="20"/>
        </w:rPr>
      </w:pPr>
      <w:r w:rsidRPr="00C63D8D">
        <w:rPr>
          <w:szCs w:val="20"/>
        </w:rPr>
        <w:t xml:space="preserve">Between fiscals 2023 and 2026, India’s per capita electricity consumption is expected to grow at </w:t>
      </w:r>
      <w:r w:rsidR="00C10461">
        <w:t xml:space="preserve">approximately </w:t>
      </w:r>
      <w:r w:rsidRPr="00C63D8D">
        <w:rPr>
          <w:szCs w:val="20"/>
        </w:rPr>
        <w:t>6% CAGR</w:t>
      </w:r>
      <w:r w:rsidRPr="00C63D8D">
        <w:rPr>
          <w:rStyle w:val="FootnoteReference"/>
          <w:szCs w:val="20"/>
        </w:rPr>
        <w:footnoteReference w:id="15"/>
      </w:r>
      <w:r w:rsidRPr="00C63D8D">
        <w:rPr>
          <w:szCs w:val="20"/>
        </w:rPr>
        <w:t>. Per capita electricity consumption is expected to gradually improve in the long term as well, as power demand picks up on the back of improvement in access to electricity, in terms of quality and reliability, rising per capita income, increasing EV penetration, railway electrification, intensive rural electrification, resulting in realization of latent demand from the residential segment</w:t>
      </w:r>
      <w:r w:rsidRPr="00C63D8D">
        <w:rPr>
          <w:sz w:val="18"/>
          <w:szCs w:val="18"/>
        </w:rPr>
        <w:t>,</w:t>
      </w:r>
      <w:r w:rsidRPr="00C63D8D">
        <w:rPr>
          <w:szCs w:val="20"/>
        </w:rPr>
        <w:t xml:space="preserve"> increased penetration of consumer durables.</w:t>
      </w:r>
    </w:p>
    <w:p w14:paraId="33C82C71" w14:textId="77777777" w:rsidR="00C7511A" w:rsidRPr="00CD0657" w:rsidRDefault="00C7511A" w:rsidP="00C7511A">
      <w:pPr>
        <w:pStyle w:val="Heading40"/>
      </w:pPr>
      <w:r w:rsidRPr="00CD0657">
        <w:t>Urbanization</w:t>
      </w:r>
    </w:p>
    <w:p w14:paraId="2676A392" w14:textId="110D6A04" w:rsidR="00C7511A" w:rsidRPr="00C63D8D" w:rsidRDefault="00C7511A" w:rsidP="00C7511A">
      <w:pPr>
        <w:ind w:right="115"/>
        <w:rPr>
          <w:szCs w:val="20"/>
        </w:rPr>
      </w:pPr>
      <w:r w:rsidRPr="00C63D8D">
        <w:rPr>
          <w:szCs w:val="20"/>
        </w:rPr>
        <w:t>According to</w:t>
      </w:r>
      <w:r>
        <w:rPr>
          <w:szCs w:val="20"/>
        </w:rPr>
        <w:t xml:space="preserve"> World Bank</w:t>
      </w:r>
      <w:r w:rsidRPr="00C63D8D">
        <w:rPr>
          <w:szCs w:val="20"/>
        </w:rPr>
        <w:t>, India is undergoing rapid urbanization, with its towns and cities expected to be home to 400 million people, by 2030. This represents a significant increase from 32%</w:t>
      </w:r>
      <w:r w:rsidR="002435F0">
        <w:rPr>
          <w:szCs w:val="20"/>
        </w:rPr>
        <w:t xml:space="preserve"> of the to</w:t>
      </w:r>
      <w:r w:rsidR="00042AD1">
        <w:rPr>
          <w:szCs w:val="20"/>
        </w:rPr>
        <w:t>tal population</w:t>
      </w:r>
      <w:r w:rsidRPr="00C63D8D">
        <w:rPr>
          <w:szCs w:val="20"/>
        </w:rPr>
        <w:t xml:space="preserve"> in 2013, with urban areas projected to contribute almost 70% to GDP. The success of this urban transformation will be crucial in realizing India's ambition of becoming a developed country by 2047, the 100th year of independence. To create livable, climate-resilient, and inclusive cities that drive economic growth, it is essential to invest in necessary infrastructure. As of 2023, the urban population of India accounts for </w:t>
      </w:r>
      <w:r w:rsidR="00C10461">
        <w:t xml:space="preserve">approximately </w:t>
      </w:r>
      <w:r w:rsidRPr="00C63D8D">
        <w:rPr>
          <w:szCs w:val="20"/>
        </w:rPr>
        <w:t xml:space="preserve">37% of the total population, with 523 million people living in urban areas. This represents a significant increase from 32% in 2013. In comparison to the rest of the world, India's urban population is one of the largest, with only China having a larger urban population at about 911 million people, about 60% of the population. </w:t>
      </w:r>
    </w:p>
    <w:p w14:paraId="306DD4F5" w14:textId="0C7A2AC6" w:rsidR="00C7511A" w:rsidRPr="00CD0657" w:rsidRDefault="00C7511A" w:rsidP="00C7511A">
      <w:pPr>
        <w:pStyle w:val="Caption1"/>
        <w:rPr>
          <w:lang w:eastAsia="en-IN"/>
        </w:rPr>
      </w:pPr>
      <w:bookmarkStart w:id="159" w:name="_Toc189499641"/>
      <w:bookmarkStart w:id="160" w:name="_Toc192073655"/>
      <w:bookmarkStart w:id="161" w:name="_Toc192153681"/>
      <w:bookmarkStart w:id="162" w:name="_Toc192195347"/>
      <w:bookmarkStart w:id="163" w:name="_Toc198731494"/>
      <w:r w:rsidRPr="00CD0657">
        <w:rPr>
          <w:lang w:eastAsia="en-IN"/>
        </w:rPr>
        <w:t xml:space="preserve">Figure </w:t>
      </w:r>
      <w:r w:rsidRPr="00CD0657">
        <w:rPr>
          <w:lang w:eastAsia="en-IN"/>
        </w:rPr>
        <w:fldChar w:fldCharType="begin"/>
      </w:r>
      <w:r w:rsidRPr="00CD0657">
        <w:rPr>
          <w:lang w:eastAsia="en-IN"/>
        </w:rPr>
        <w:instrText xml:space="preserve"> STYLEREF 1 \s </w:instrText>
      </w:r>
      <w:r w:rsidRPr="00CD0657">
        <w:rPr>
          <w:lang w:eastAsia="en-IN"/>
        </w:rPr>
        <w:fldChar w:fldCharType="separate"/>
      </w:r>
      <w:r w:rsidR="002142B9">
        <w:rPr>
          <w:lang w:eastAsia="en-IN"/>
        </w:rPr>
        <w:t>1</w:t>
      </w:r>
      <w:r w:rsidRPr="00CD0657">
        <w:rPr>
          <w:lang w:eastAsia="en-IN"/>
        </w:rPr>
        <w:fldChar w:fldCharType="end"/>
      </w:r>
      <w:r w:rsidRPr="00CD0657">
        <w:rPr>
          <w:lang w:eastAsia="en-IN"/>
        </w:rPr>
        <w:t>.</w:t>
      </w:r>
      <w:r w:rsidRPr="00CD0657">
        <w:rPr>
          <w:lang w:eastAsia="en-IN"/>
        </w:rPr>
        <w:fldChar w:fldCharType="begin"/>
      </w:r>
      <w:r w:rsidRPr="00CD0657">
        <w:rPr>
          <w:lang w:eastAsia="en-IN"/>
        </w:rPr>
        <w:instrText xml:space="preserve"> SEQ Figure \* ARABIC \s 1 </w:instrText>
      </w:r>
      <w:r w:rsidRPr="00CD0657">
        <w:rPr>
          <w:lang w:eastAsia="en-IN"/>
        </w:rPr>
        <w:fldChar w:fldCharType="separate"/>
      </w:r>
      <w:r w:rsidR="002142B9">
        <w:rPr>
          <w:lang w:eastAsia="en-IN"/>
        </w:rPr>
        <w:t>11</w:t>
      </w:r>
      <w:r w:rsidRPr="00CD0657">
        <w:rPr>
          <w:lang w:eastAsia="en-IN"/>
        </w:rPr>
        <w:fldChar w:fldCharType="end"/>
      </w:r>
      <w:r w:rsidRPr="00CD0657">
        <w:rPr>
          <w:lang w:eastAsia="en-IN"/>
        </w:rPr>
        <w:t xml:space="preserve"> Share of urban population of India and the World from 2013 to 2023</w:t>
      </w:r>
      <w:bookmarkEnd w:id="159"/>
      <w:bookmarkEnd w:id="160"/>
      <w:bookmarkEnd w:id="161"/>
      <w:bookmarkEnd w:id="162"/>
      <w:bookmarkEnd w:id="163"/>
    </w:p>
    <w:p w14:paraId="5CC7EAC9" w14:textId="6F598CDE" w:rsidR="00C7511A" w:rsidRPr="002642C4" w:rsidRDefault="00C7511A" w:rsidP="002642C4">
      <w:pPr>
        <w:spacing w:before="160" w:after="120"/>
        <w:ind w:right="432"/>
        <w:rPr>
          <w:rStyle w:val="CaptionChar"/>
          <w:rFonts w:eastAsiaTheme="minorEastAsia" w:cs="Arial"/>
          <w:b w:val="0"/>
          <w:bCs w:val="0"/>
          <w:i/>
          <w:kern w:val="2"/>
          <w:sz w:val="16"/>
          <w:szCs w:val="15"/>
          <w:lang w:val="en-US" w:eastAsia="en-US"/>
          <w14:ligatures w14:val="standardContextual"/>
        </w:rPr>
      </w:pPr>
      <w:r w:rsidRPr="00CD0657">
        <w:rPr>
          <w:noProof/>
          <w:lang w:eastAsia="en-IN"/>
        </w:rPr>
        <w:drawing>
          <wp:inline distT="0" distB="0" distL="0" distR="0" wp14:anchorId="6B4176D7" wp14:editId="7F50294D">
            <wp:extent cx="6426200" cy="1517484"/>
            <wp:effectExtent l="0" t="0" r="0" b="6985"/>
            <wp:docPr id="750841883" name="Chart 1">
              <a:extLst xmlns:a="http://schemas.openxmlformats.org/drawingml/2006/main">
                <a:ext uri="{FF2B5EF4-FFF2-40B4-BE49-F238E27FC236}">
                  <a16:creationId xmlns:a16="http://schemas.microsoft.com/office/drawing/2014/main" id="{10DE0A68-D0E6-2C63-C750-681C93A42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D0657">
        <w:rPr>
          <w:rFonts w:eastAsiaTheme="minorEastAsia"/>
          <w:i/>
          <w:sz w:val="16"/>
          <w:szCs w:val="15"/>
        </w:rPr>
        <w:t>Source: World Bank Group</w:t>
      </w:r>
      <w:r>
        <w:rPr>
          <w:rFonts w:eastAsiaTheme="minorEastAsia"/>
          <w:i/>
          <w:sz w:val="16"/>
          <w:szCs w:val="15"/>
        </w:rPr>
        <w:t>, all years are calendar year</w:t>
      </w:r>
    </w:p>
    <w:p w14:paraId="7C86FE27" w14:textId="40895AEB" w:rsidR="00C7511A" w:rsidRPr="00FC19BC" w:rsidRDefault="00C7511A" w:rsidP="00C7511A">
      <w:pPr>
        <w:pStyle w:val="Heading30"/>
      </w:pPr>
      <w:bookmarkStart w:id="164" w:name="_Toc176969945"/>
      <w:bookmarkStart w:id="165" w:name="_Toc177036249"/>
      <w:bookmarkStart w:id="166" w:name="_Toc177037021"/>
      <w:bookmarkStart w:id="167" w:name="_Toc177730277"/>
      <w:bookmarkStart w:id="168" w:name="_Toc178256989"/>
      <w:bookmarkStart w:id="169" w:name="_Toc186146899"/>
      <w:r w:rsidRPr="00CD0657">
        <w:t xml:space="preserve">Outlook on </w:t>
      </w:r>
      <w:r>
        <w:t xml:space="preserve">global </w:t>
      </w:r>
      <w:r w:rsidRPr="00CD0657">
        <w:t>GDP</w:t>
      </w:r>
      <w:bookmarkEnd w:id="164"/>
      <w:bookmarkEnd w:id="165"/>
      <w:bookmarkEnd w:id="166"/>
      <w:bookmarkEnd w:id="167"/>
      <w:bookmarkEnd w:id="168"/>
      <w:bookmarkEnd w:id="169"/>
      <w:r w:rsidR="004D6801">
        <w:t xml:space="preserve"> from 2023 to 2025</w:t>
      </w:r>
    </w:p>
    <w:p w14:paraId="03E5338A" w14:textId="79AFE9AB" w:rsidR="00C7511A" w:rsidRPr="00621BC1" w:rsidRDefault="00065186" w:rsidP="00C7511A">
      <w:pPr>
        <w:ind w:right="112"/>
        <w:rPr>
          <w:szCs w:val="20"/>
        </w:rPr>
      </w:pPr>
      <w:r w:rsidRPr="00065186">
        <w:rPr>
          <w:szCs w:val="20"/>
        </w:rPr>
        <w:t>The ongoing US-led tariff actions are causing global trade and growth concerns, leading to uncertainty and financial market volatility.</w:t>
      </w:r>
      <w:r w:rsidR="003878A4">
        <w:rPr>
          <w:szCs w:val="20"/>
        </w:rPr>
        <w:t xml:space="preserve"> </w:t>
      </w:r>
      <w:r w:rsidR="0075056F" w:rsidRPr="0075056F">
        <w:rPr>
          <w:szCs w:val="20"/>
        </w:rPr>
        <w:t>The ongoing trade war between the US and China has taken a dramatic turn, with the US announcing a 145% tax on imports, surpassing the initially stated 125% rate.</w:t>
      </w:r>
      <w:r w:rsidR="00811341">
        <w:rPr>
          <w:szCs w:val="20"/>
        </w:rPr>
        <w:t xml:space="preserve"> </w:t>
      </w:r>
      <w:r w:rsidR="00811341" w:rsidRPr="00811341">
        <w:rPr>
          <w:szCs w:val="20"/>
        </w:rPr>
        <w:t>China has retaliated against the US with tariffs, imposing a 125% tariff on US products, in a significant escalation of the trade war between the two countries</w:t>
      </w:r>
      <w:r w:rsidR="00811341">
        <w:rPr>
          <w:szCs w:val="20"/>
        </w:rPr>
        <w:t>.</w:t>
      </w:r>
      <w:r w:rsidR="0075056F" w:rsidRPr="0075056F">
        <w:rPr>
          <w:szCs w:val="20"/>
        </w:rPr>
        <w:t xml:space="preserve"> This move has sparked a strong response from China, which has unveiled countermeasures against the US, leading to a significant downturn in US stocks. </w:t>
      </w:r>
      <w:r w:rsidR="0075056F">
        <w:rPr>
          <w:szCs w:val="20"/>
        </w:rPr>
        <w:t xml:space="preserve"> </w:t>
      </w:r>
      <w:r w:rsidR="003878A4" w:rsidRPr="003878A4">
        <w:rPr>
          <w:szCs w:val="20"/>
        </w:rPr>
        <w:t>The impact of the US government’s fiscal support for its fiscal deficit and prospects of slower Fed cuts have also elevated 10-year US Treasury yields. Rising yield and interest rate differentials with emerging markets, and the concerns about global growth have heightened the uncertainty and financial market volatility world over.</w:t>
      </w:r>
      <w:r w:rsidR="009C72C9">
        <w:rPr>
          <w:szCs w:val="20"/>
        </w:rPr>
        <w:t xml:space="preserve"> </w:t>
      </w:r>
    </w:p>
    <w:p w14:paraId="0AF6DE46" w14:textId="1F79BE3C" w:rsidR="00C7511A" w:rsidRPr="00740FCA" w:rsidRDefault="00C7511A" w:rsidP="00C7511A">
      <w:pPr>
        <w:pStyle w:val="Heading2"/>
      </w:pPr>
      <w:bookmarkStart w:id="170" w:name="_Toc189499563"/>
      <w:bookmarkStart w:id="171" w:name="_Toc192073608"/>
      <w:bookmarkStart w:id="172" w:name="_Toc192153629"/>
      <w:bookmarkStart w:id="173" w:name="_Toc192195231"/>
      <w:bookmarkStart w:id="174" w:name="_Toc198730344"/>
      <w:r w:rsidRPr="00740FCA">
        <w:t>Growth drivers for increase in GDP in India</w:t>
      </w:r>
      <w:bookmarkEnd w:id="170"/>
      <w:bookmarkEnd w:id="171"/>
      <w:bookmarkEnd w:id="172"/>
      <w:bookmarkEnd w:id="173"/>
      <w:bookmarkEnd w:id="174"/>
    </w:p>
    <w:p w14:paraId="3BB9CC31" w14:textId="41560319" w:rsidR="00C7511A" w:rsidRPr="00621BC1" w:rsidRDefault="00C7511A" w:rsidP="00C7511A">
      <w:pPr>
        <w:spacing w:before="160" w:after="120"/>
        <w:ind w:right="202"/>
        <w:rPr>
          <w:szCs w:val="20"/>
        </w:rPr>
      </w:pPr>
      <w:r w:rsidRPr="00621BC1">
        <w:rPr>
          <w:szCs w:val="20"/>
        </w:rPr>
        <w:t xml:space="preserve">The Indian government’s total capital expenditure </w:t>
      </w:r>
      <w:r w:rsidR="003A2930">
        <w:rPr>
          <w:szCs w:val="20"/>
        </w:rPr>
        <w:t>was</w:t>
      </w:r>
      <w:r w:rsidRPr="00621BC1">
        <w:rPr>
          <w:szCs w:val="20"/>
        </w:rPr>
        <w:t xml:space="preserve"> at Rs </w:t>
      </w:r>
      <w:r w:rsidR="00EF0299">
        <w:rPr>
          <w:szCs w:val="20"/>
        </w:rPr>
        <w:t>9</w:t>
      </w:r>
      <w:r w:rsidRPr="00621BC1">
        <w:rPr>
          <w:szCs w:val="20"/>
        </w:rPr>
        <w:t>.5 trillion</w:t>
      </w:r>
      <w:r w:rsidRPr="00621BC1">
        <w:rPr>
          <w:szCs w:val="20"/>
          <w:vertAlign w:val="superscript"/>
        </w:rPr>
        <w:footnoteReference w:id="16"/>
      </w:r>
      <w:r w:rsidRPr="00621BC1">
        <w:rPr>
          <w:szCs w:val="20"/>
        </w:rPr>
        <w:t xml:space="preserve"> in fiscal 2024. </w:t>
      </w:r>
      <w:r w:rsidR="00A83DA0">
        <w:rPr>
          <w:szCs w:val="20"/>
        </w:rPr>
        <w:t>G</w:t>
      </w:r>
      <w:r w:rsidRPr="00621BC1">
        <w:rPr>
          <w:szCs w:val="20"/>
        </w:rPr>
        <w:t>iven the government’s capex push (capital expenditure has tripled in past five years, from Rs 3.1 trillion</w:t>
      </w:r>
      <w:r w:rsidRPr="00621BC1" w:rsidDel="009A1926">
        <w:rPr>
          <w:szCs w:val="20"/>
        </w:rPr>
        <w:t xml:space="preserve"> </w:t>
      </w:r>
      <w:r w:rsidRPr="00621BC1">
        <w:rPr>
          <w:szCs w:val="20"/>
        </w:rPr>
        <w:t>in fiscal 2019 to Rs 9.5 trillion</w:t>
      </w:r>
      <w:r w:rsidRPr="00621BC1" w:rsidDel="009A1926">
        <w:rPr>
          <w:szCs w:val="20"/>
        </w:rPr>
        <w:t xml:space="preserve"> </w:t>
      </w:r>
      <w:r w:rsidRPr="00621BC1">
        <w:rPr>
          <w:szCs w:val="20"/>
        </w:rPr>
        <w:t>in fiscal 2024)</w:t>
      </w:r>
      <w:r w:rsidR="00A83DA0">
        <w:rPr>
          <w:szCs w:val="20"/>
        </w:rPr>
        <w:t xml:space="preserve">, </w:t>
      </w:r>
      <w:r w:rsidR="00A83DA0" w:rsidRPr="00A83DA0">
        <w:rPr>
          <w:szCs w:val="20"/>
        </w:rPr>
        <w:t>I</w:t>
      </w:r>
      <w:r w:rsidR="00D4445F">
        <w:rPr>
          <w:szCs w:val="20"/>
        </w:rPr>
        <w:t>ndia’s i</w:t>
      </w:r>
      <w:r w:rsidR="00A83DA0" w:rsidRPr="00A83DA0">
        <w:rPr>
          <w:szCs w:val="20"/>
        </w:rPr>
        <w:t>nvestment prospects are optimistic</w:t>
      </w:r>
      <w:r w:rsidRPr="00621BC1">
        <w:rPr>
          <w:szCs w:val="20"/>
        </w:rPr>
        <w:t>.  In fiscal 2026 Government of India has allocated Rs. 11.2</w:t>
      </w:r>
      <w:r w:rsidRPr="00621BC1">
        <w:rPr>
          <w:rStyle w:val="FootnoteReference"/>
          <w:szCs w:val="20"/>
        </w:rPr>
        <w:footnoteReference w:id="17"/>
      </w:r>
      <w:r w:rsidRPr="00621BC1">
        <w:rPr>
          <w:szCs w:val="20"/>
        </w:rPr>
        <w:t xml:space="preserve"> trillion</w:t>
      </w:r>
      <w:r w:rsidR="002B7964">
        <w:rPr>
          <w:szCs w:val="20"/>
        </w:rPr>
        <w:t xml:space="preserve"> </w:t>
      </w:r>
      <w:r w:rsidR="002B7964" w:rsidRPr="002B7964">
        <w:rPr>
          <w:szCs w:val="20"/>
        </w:rPr>
        <w:t>capital expenditure</w:t>
      </w:r>
      <w:r w:rsidRPr="00621BC1">
        <w:rPr>
          <w:szCs w:val="20"/>
        </w:rPr>
        <w:t>, which is a 10% increase from previous fiscal year 2025 of Rs. 10.2 trillion.</w:t>
      </w:r>
    </w:p>
    <w:p w14:paraId="61DB4672" w14:textId="77777777" w:rsidR="00C7511A" w:rsidRDefault="00C7511A" w:rsidP="00C7511A">
      <w:pPr>
        <w:pStyle w:val="Heading30"/>
      </w:pPr>
      <w:bookmarkStart w:id="175" w:name="_Toc176969947"/>
      <w:bookmarkStart w:id="176" w:name="_Toc177036251"/>
      <w:bookmarkStart w:id="177" w:name="_Toc177037023"/>
      <w:bookmarkStart w:id="178" w:name="_Toc177730279"/>
      <w:bookmarkStart w:id="179" w:name="_Toc178256991"/>
      <w:bookmarkStart w:id="180" w:name="_Toc186146901"/>
      <w:r w:rsidRPr="00740FCA">
        <w:t>Manufacturing</w:t>
      </w:r>
      <w:bookmarkEnd w:id="175"/>
      <w:bookmarkEnd w:id="176"/>
      <w:bookmarkEnd w:id="177"/>
      <w:bookmarkEnd w:id="178"/>
      <w:bookmarkEnd w:id="179"/>
      <w:bookmarkEnd w:id="180"/>
    </w:p>
    <w:p w14:paraId="342A6AAB" w14:textId="5A5631F4" w:rsidR="00C7511A" w:rsidRPr="00621BC1" w:rsidRDefault="00C7511A" w:rsidP="00C7511A">
      <w:pPr>
        <w:ind w:right="115"/>
        <w:rPr>
          <w:szCs w:val="20"/>
        </w:rPr>
      </w:pPr>
      <w:r w:rsidRPr="00621BC1">
        <w:rPr>
          <w:szCs w:val="20"/>
        </w:rPr>
        <w:t xml:space="preserve">Indian real GDP growth has been mainly due to significant 9.9% growth in the manufacturing sector in fiscal 2024 over -2.2% in fiscal 2023 and 7.1% growth in the mining and quarrying sector in fiscal 2024 over 1.9% in fiscal 2023. The manufacturing sector has grown at an average annual rate 5.2% over the past 10 years, despite numerous disruptions. The main growth drivers in the sector have been chemicals, wood goods and furniture, transportation equipment, medicines, machinery and equipment. </w:t>
      </w:r>
    </w:p>
    <w:p w14:paraId="5A4AE122" w14:textId="77777777" w:rsidR="00C7511A" w:rsidRPr="00740FCA" w:rsidRDefault="00C7511A" w:rsidP="00C7511A">
      <w:pPr>
        <w:pStyle w:val="Heading30"/>
      </w:pPr>
      <w:bookmarkStart w:id="181" w:name="_Toc176969948"/>
      <w:bookmarkStart w:id="182" w:name="_Toc177036252"/>
      <w:bookmarkStart w:id="183" w:name="_Toc177037024"/>
      <w:bookmarkStart w:id="184" w:name="_Toc177730280"/>
      <w:bookmarkStart w:id="185" w:name="_Toc178256992"/>
      <w:bookmarkStart w:id="186" w:name="_Toc186146902"/>
      <w:r w:rsidRPr="00740FCA">
        <w:t>Infrastructure</w:t>
      </w:r>
      <w:bookmarkEnd w:id="181"/>
      <w:bookmarkEnd w:id="182"/>
      <w:bookmarkEnd w:id="183"/>
      <w:bookmarkEnd w:id="184"/>
      <w:bookmarkEnd w:id="185"/>
      <w:bookmarkEnd w:id="186"/>
    </w:p>
    <w:p w14:paraId="05ABCC57" w14:textId="77777777" w:rsidR="00C7511A" w:rsidRPr="00621BC1" w:rsidRDefault="00C7511A" w:rsidP="00C7511A">
      <w:pPr>
        <w:ind w:right="115"/>
        <w:rPr>
          <w:szCs w:val="20"/>
        </w:rPr>
      </w:pPr>
      <w:r w:rsidRPr="00621BC1">
        <w:rPr>
          <w:szCs w:val="20"/>
        </w:rPr>
        <w:t>In recent years, the funding of large-scale infrastructure projects has been aided by buoyant public sector investment. Between fiscal 2014 and fiscal 2024, the average daily speed of national highway construction grew nearly three times, from 11.7 km to approximately 34 km. In the past five years, capital spending on railroads has surged 77%, primarily due to large investments in new-line construction, gauge conversion and doubling. The operationalization of new terminal buildings at 21 airports in fiscal 2024 has increased the capacity to handle 62 million more passengers annually overall.</w:t>
      </w:r>
    </w:p>
    <w:p w14:paraId="2ACAEA2B" w14:textId="568998BF" w:rsidR="00C7511A" w:rsidRPr="00621BC1" w:rsidRDefault="00C7511A" w:rsidP="00C7511A">
      <w:pPr>
        <w:ind w:right="115"/>
        <w:rPr>
          <w:szCs w:val="20"/>
        </w:rPr>
      </w:pPr>
      <w:r w:rsidRPr="00621BC1">
        <w:rPr>
          <w:szCs w:val="20"/>
        </w:rPr>
        <w:t xml:space="preserve">India rose from 54 in 2014 to 38 in 2023 in the World Bank </w:t>
      </w:r>
      <w:r w:rsidRPr="00621BC1">
        <w:rPr>
          <w:i/>
          <w:iCs/>
          <w:szCs w:val="20"/>
        </w:rPr>
        <w:t>Logistics Performance Index</w:t>
      </w:r>
      <w:r w:rsidRPr="00621BC1">
        <w:rPr>
          <w:szCs w:val="20"/>
        </w:rPr>
        <w:t>. Between 2014 and 2023, India's clean energy sector received Rs 8.5 trillion</w:t>
      </w:r>
      <w:r w:rsidRPr="00621BC1">
        <w:rPr>
          <w:szCs w:val="20"/>
          <w:vertAlign w:val="superscript"/>
        </w:rPr>
        <w:footnoteReference w:id="18"/>
      </w:r>
      <w:r w:rsidRPr="00621BC1">
        <w:rPr>
          <w:szCs w:val="20"/>
          <w:vertAlign w:val="superscript"/>
        </w:rPr>
        <w:t xml:space="preserve"> </w:t>
      </w:r>
      <w:r w:rsidRPr="00621BC1">
        <w:rPr>
          <w:szCs w:val="20"/>
        </w:rPr>
        <w:t xml:space="preserve">in new investments. The </w:t>
      </w:r>
      <w:r w:rsidRPr="00621BC1">
        <w:rPr>
          <w:i/>
          <w:iCs/>
          <w:szCs w:val="20"/>
        </w:rPr>
        <w:t xml:space="preserve">National </w:t>
      </w:r>
      <w:r w:rsidR="00C95DE9" w:rsidRPr="00621BC1">
        <w:rPr>
          <w:i/>
          <w:iCs/>
          <w:szCs w:val="20"/>
        </w:rPr>
        <w:t>Monetization</w:t>
      </w:r>
      <w:r w:rsidRPr="00621BC1">
        <w:rPr>
          <w:i/>
          <w:iCs/>
          <w:szCs w:val="20"/>
        </w:rPr>
        <w:t xml:space="preserve"> Pipeline</w:t>
      </w:r>
      <w:r w:rsidRPr="00621BC1">
        <w:rPr>
          <w:szCs w:val="20"/>
        </w:rPr>
        <w:t xml:space="preserve"> included assets with a </w:t>
      </w:r>
      <w:r w:rsidR="00C95DE9" w:rsidRPr="00621BC1">
        <w:rPr>
          <w:szCs w:val="20"/>
        </w:rPr>
        <w:t>monetization</w:t>
      </w:r>
      <w:r w:rsidRPr="00621BC1">
        <w:rPr>
          <w:szCs w:val="20"/>
        </w:rPr>
        <w:t xml:space="preserve"> potential of Rs 6 trillion</w:t>
      </w:r>
      <w:r w:rsidRPr="00621BC1" w:rsidDel="009471F3">
        <w:rPr>
          <w:szCs w:val="20"/>
        </w:rPr>
        <w:t xml:space="preserve"> </w:t>
      </w:r>
      <w:r w:rsidRPr="00621BC1">
        <w:rPr>
          <w:szCs w:val="20"/>
        </w:rPr>
        <w:t xml:space="preserve">during the four-year period. </w:t>
      </w:r>
    </w:p>
    <w:p w14:paraId="45862ED0" w14:textId="77777777" w:rsidR="00C7511A" w:rsidRPr="00740FCA" w:rsidRDefault="00C7511A" w:rsidP="00C7511A">
      <w:pPr>
        <w:pStyle w:val="Heading30"/>
      </w:pPr>
      <w:bookmarkStart w:id="187" w:name="_Toc176969949"/>
      <w:bookmarkStart w:id="188" w:name="_Toc177036253"/>
      <w:bookmarkStart w:id="189" w:name="_Toc177037025"/>
      <w:bookmarkStart w:id="190" w:name="_Toc177730281"/>
      <w:bookmarkStart w:id="191" w:name="_Toc178256993"/>
      <w:bookmarkStart w:id="192" w:name="_Toc186146903"/>
      <w:r w:rsidRPr="00740FCA">
        <w:t>Services</w:t>
      </w:r>
      <w:bookmarkEnd w:id="187"/>
      <w:bookmarkEnd w:id="188"/>
      <w:bookmarkEnd w:id="189"/>
      <w:bookmarkEnd w:id="190"/>
      <w:bookmarkEnd w:id="191"/>
      <w:bookmarkEnd w:id="192"/>
    </w:p>
    <w:p w14:paraId="47BECE6F" w14:textId="77777777" w:rsidR="00C7511A" w:rsidRPr="00621BC1" w:rsidRDefault="00C7511A" w:rsidP="00C7511A">
      <w:pPr>
        <w:tabs>
          <w:tab w:val="left" w:pos="9720"/>
        </w:tabs>
        <w:ind w:right="112"/>
        <w:rPr>
          <w:szCs w:val="20"/>
        </w:rPr>
      </w:pPr>
      <w:r w:rsidRPr="00621BC1">
        <w:rPr>
          <w:szCs w:val="20"/>
        </w:rPr>
        <w:t>The services sector's share of the total GVA has increased to 54.6% (fiscal 2024), the level observed before the epidemic. As of March 31, 2024, there were 1,691,495 active firms in India. In 2022, India's services exports made up 4.4% of all commercial services exported worldwide. About 73% of India's services exports were made up of business and computer services, which increased 9.6% on-year in fiscal 2024. India's percentage of the world's exports of digitally delivered services climbed from 4.4% in 2019 to 6.0% in 2023. In 2023, the tourism industry saw over 9.2 million foreign visitor visits, indicating a 43.5% on-year rise. With a 33% on-year gain and 0.41 million units sold in the top eight cities, residential real estate sales in India reached their highest level since 2013.</w:t>
      </w:r>
      <w:r w:rsidRPr="00621BC1">
        <w:rPr>
          <w:szCs w:val="20"/>
          <w:vertAlign w:val="superscript"/>
        </w:rPr>
        <w:footnoteReference w:id="19"/>
      </w:r>
    </w:p>
    <w:p w14:paraId="5F9DD14C" w14:textId="691414FE" w:rsidR="00A70BE5" w:rsidRDefault="00A70BE5" w:rsidP="00C7511A">
      <w:pPr>
        <w:pStyle w:val="Heading2"/>
      </w:pPr>
      <w:bookmarkStart w:id="193" w:name="_Toc192066891"/>
      <w:bookmarkStart w:id="194" w:name="_Toc192066892"/>
      <w:bookmarkStart w:id="195" w:name="_Toc192066893"/>
      <w:bookmarkStart w:id="196" w:name="_Toc192066897"/>
      <w:bookmarkStart w:id="197" w:name="_Toc192066898"/>
      <w:bookmarkStart w:id="198" w:name="_Toc192066899"/>
      <w:bookmarkStart w:id="199" w:name="_Toc198470962"/>
      <w:bookmarkStart w:id="200" w:name="_Toc198727000"/>
      <w:bookmarkStart w:id="201" w:name="_Toc198728115"/>
      <w:bookmarkStart w:id="202" w:name="_Toc198729230"/>
      <w:bookmarkStart w:id="203" w:name="_Toc198730345"/>
      <w:bookmarkStart w:id="204" w:name="_Toc198470963"/>
      <w:bookmarkStart w:id="205" w:name="_Toc198727001"/>
      <w:bookmarkStart w:id="206" w:name="_Toc198728116"/>
      <w:bookmarkStart w:id="207" w:name="_Toc198729231"/>
      <w:bookmarkStart w:id="208" w:name="_Toc198730346"/>
      <w:bookmarkStart w:id="209" w:name="_Toc198470964"/>
      <w:bookmarkStart w:id="210" w:name="_Toc198727002"/>
      <w:bookmarkStart w:id="211" w:name="_Toc198728117"/>
      <w:bookmarkStart w:id="212" w:name="_Toc198729232"/>
      <w:bookmarkStart w:id="213" w:name="_Toc198730347"/>
      <w:bookmarkStart w:id="214" w:name="_Toc198470965"/>
      <w:bookmarkStart w:id="215" w:name="_Toc198727003"/>
      <w:bookmarkStart w:id="216" w:name="_Toc198728118"/>
      <w:bookmarkStart w:id="217" w:name="_Toc198729233"/>
      <w:bookmarkStart w:id="218" w:name="_Toc198730348"/>
      <w:bookmarkStart w:id="219" w:name="_Toc198470966"/>
      <w:bookmarkStart w:id="220" w:name="_Toc198727004"/>
      <w:bookmarkStart w:id="221" w:name="_Toc198728119"/>
      <w:bookmarkStart w:id="222" w:name="_Toc198729234"/>
      <w:bookmarkStart w:id="223" w:name="_Toc198730349"/>
      <w:bookmarkStart w:id="224" w:name="_Toc198470967"/>
      <w:bookmarkStart w:id="225" w:name="_Toc198727005"/>
      <w:bookmarkStart w:id="226" w:name="_Toc198728120"/>
      <w:bookmarkStart w:id="227" w:name="_Toc198729235"/>
      <w:bookmarkStart w:id="228" w:name="_Toc198730350"/>
      <w:bookmarkStart w:id="229" w:name="_Toc198470968"/>
      <w:bookmarkStart w:id="230" w:name="_Toc198727006"/>
      <w:bookmarkStart w:id="231" w:name="_Toc198728121"/>
      <w:bookmarkStart w:id="232" w:name="_Toc198729236"/>
      <w:bookmarkStart w:id="233" w:name="_Toc198730351"/>
      <w:bookmarkStart w:id="234" w:name="_Toc198470969"/>
      <w:bookmarkStart w:id="235" w:name="_Toc198727007"/>
      <w:bookmarkStart w:id="236" w:name="_Toc198728122"/>
      <w:bookmarkStart w:id="237" w:name="_Toc198729237"/>
      <w:bookmarkStart w:id="238" w:name="_Toc198730352"/>
      <w:bookmarkStart w:id="239" w:name="_Toc198470970"/>
      <w:bookmarkStart w:id="240" w:name="_Toc198727008"/>
      <w:bookmarkStart w:id="241" w:name="_Toc198728123"/>
      <w:bookmarkStart w:id="242" w:name="_Toc198729238"/>
      <w:bookmarkStart w:id="243" w:name="_Toc198730353"/>
      <w:bookmarkStart w:id="244" w:name="_Toc198470971"/>
      <w:bookmarkStart w:id="245" w:name="_Toc198727009"/>
      <w:bookmarkStart w:id="246" w:name="_Toc198728124"/>
      <w:bookmarkStart w:id="247" w:name="_Toc198729239"/>
      <w:bookmarkStart w:id="248" w:name="_Toc198730354"/>
      <w:bookmarkStart w:id="249" w:name="_Toc198470972"/>
      <w:bookmarkStart w:id="250" w:name="_Toc198727010"/>
      <w:bookmarkStart w:id="251" w:name="_Toc198728125"/>
      <w:bookmarkStart w:id="252" w:name="_Toc198729240"/>
      <w:bookmarkStart w:id="253" w:name="_Toc198730355"/>
      <w:bookmarkStart w:id="254" w:name="_Toc198470973"/>
      <w:bookmarkStart w:id="255" w:name="_Toc198727011"/>
      <w:bookmarkStart w:id="256" w:name="_Toc198728126"/>
      <w:bookmarkStart w:id="257" w:name="_Toc198729241"/>
      <w:bookmarkStart w:id="258" w:name="_Toc198730356"/>
      <w:bookmarkStart w:id="259" w:name="_Toc198470974"/>
      <w:bookmarkStart w:id="260" w:name="_Toc198727012"/>
      <w:bookmarkStart w:id="261" w:name="_Toc198728127"/>
      <w:bookmarkStart w:id="262" w:name="_Toc198729242"/>
      <w:bookmarkStart w:id="263" w:name="_Toc198730357"/>
      <w:bookmarkStart w:id="264" w:name="_Toc198470975"/>
      <w:bookmarkStart w:id="265" w:name="_Toc198727013"/>
      <w:bookmarkStart w:id="266" w:name="_Toc198728128"/>
      <w:bookmarkStart w:id="267" w:name="_Toc198729243"/>
      <w:bookmarkStart w:id="268" w:name="_Toc198730358"/>
      <w:bookmarkStart w:id="269" w:name="_Toc198730359"/>
      <w:bookmarkStart w:id="270" w:name="_Hlk192161279"/>
      <w:bookmarkStart w:id="271" w:name="_Toc192073610"/>
      <w:bookmarkStart w:id="272" w:name="_Toc192153631"/>
      <w:bookmarkStart w:id="273" w:name="_Toc19219523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A70BE5">
        <w:t>Energy requirements and availability</w:t>
      </w:r>
      <w:r w:rsidR="002279E1">
        <w:t xml:space="preserve"> of India</w:t>
      </w:r>
      <w:bookmarkEnd w:id="269"/>
    </w:p>
    <w:p w14:paraId="6B6EFD1C" w14:textId="77777777" w:rsidR="00C03E46" w:rsidRDefault="00C03E46" w:rsidP="00BE7F56">
      <w:pPr>
        <w:rPr>
          <w:rFonts w:eastAsia="Times New Roman" w:cs="Book Antiqua"/>
          <w:b/>
          <w:bCs/>
          <w:color w:val="auto"/>
          <w:kern w:val="0"/>
          <w:szCs w:val="16"/>
          <w:lang w:eastAsia="en-IN"/>
          <w14:ligatures w14:val="none"/>
        </w:rPr>
      </w:pPr>
    </w:p>
    <w:p w14:paraId="17BE1693" w14:textId="77777777" w:rsidR="00C03E46" w:rsidRDefault="00C03E46" w:rsidP="00BE7F56">
      <w:pPr>
        <w:rPr>
          <w:rFonts w:eastAsia="Times New Roman" w:cs="Book Antiqua"/>
          <w:b/>
          <w:bCs/>
          <w:color w:val="auto"/>
          <w:kern w:val="0"/>
          <w:szCs w:val="16"/>
          <w:lang w:eastAsia="en-IN"/>
          <w14:ligatures w14:val="none"/>
        </w:rPr>
      </w:pPr>
    </w:p>
    <w:p w14:paraId="31F33811" w14:textId="77777777" w:rsidR="00C03E46" w:rsidRDefault="00C03E46" w:rsidP="00BE7F56">
      <w:pPr>
        <w:rPr>
          <w:rFonts w:eastAsia="Times New Roman" w:cs="Book Antiqua"/>
          <w:b/>
          <w:bCs/>
          <w:color w:val="auto"/>
          <w:kern w:val="0"/>
          <w:szCs w:val="16"/>
          <w:lang w:eastAsia="en-IN"/>
          <w14:ligatures w14:val="none"/>
        </w:rPr>
      </w:pPr>
    </w:p>
    <w:p w14:paraId="735F3C59" w14:textId="77777777" w:rsidR="00C03E46" w:rsidRDefault="00C03E46" w:rsidP="00BE7F56">
      <w:pPr>
        <w:rPr>
          <w:rFonts w:eastAsia="Times New Roman" w:cs="Book Antiqua"/>
          <w:b/>
          <w:bCs/>
          <w:color w:val="auto"/>
          <w:kern w:val="0"/>
          <w:szCs w:val="16"/>
          <w:lang w:eastAsia="en-IN"/>
          <w14:ligatures w14:val="none"/>
        </w:rPr>
      </w:pPr>
    </w:p>
    <w:p w14:paraId="548EFC78" w14:textId="77777777" w:rsidR="00C03E46" w:rsidRDefault="00C03E46" w:rsidP="00BE7F56">
      <w:pPr>
        <w:rPr>
          <w:rFonts w:eastAsia="Times New Roman" w:cs="Book Antiqua"/>
          <w:b/>
          <w:bCs/>
          <w:color w:val="auto"/>
          <w:kern w:val="0"/>
          <w:szCs w:val="16"/>
          <w:lang w:eastAsia="en-IN"/>
          <w14:ligatures w14:val="none"/>
        </w:rPr>
      </w:pPr>
    </w:p>
    <w:p w14:paraId="0A44EC02" w14:textId="77777777" w:rsidR="00C03E46" w:rsidRDefault="00C03E46" w:rsidP="00BE7F56">
      <w:pPr>
        <w:rPr>
          <w:rFonts w:eastAsia="Times New Roman" w:cs="Book Antiqua"/>
          <w:b/>
          <w:bCs/>
          <w:color w:val="auto"/>
          <w:kern w:val="0"/>
          <w:szCs w:val="16"/>
          <w:lang w:eastAsia="en-IN"/>
          <w14:ligatures w14:val="none"/>
        </w:rPr>
      </w:pPr>
    </w:p>
    <w:p w14:paraId="168D97F3" w14:textId="73F6DF3B" w:rsidR="00BE7F56" w:rsidRPr="00BE7F56" w:rsidRDefault="00BE7F56" w:rsidP="00BE7F56">
      <w:bookmarkStart w:id="274" w:name="_Toc198731495"/>
      <w:r w:rsidRPr="00621BC1">
        <w:rPr>
          <w:rFonts w:eastAsia="Times New Roman" w:cs="Book Antiqua"/>
          <w:b/>
          <w:bCs/>
          <w:color w:val="auto"/>
          <w:kern w:val="0"/>
          <w:szCs w:val="16"/>
          <w:lang w:eastAsia="en-IN"/>
          <w14:ligatures w14:val="none"/>
        </w:rPr>
        <w:t xml:space="preserve">Figure </w:t>
      </w:r>
      <w:r w:rsidRPr="00621BC1">
        <w:rPr>
          <w:rFonts w:eastAsia="Times New Roman" w:cs="Book Antiqua"/>
          <w:b/>
          <w:bCs/>
          <w:color w:val="auto"/>
          <w:kern w:val="0"/>
          <w:szCs w:val="16"/>
          <w:lang w:eastAsia="en-IN"/>
          <w14:ligatures w14:val="none"/>
        </w:rPr>
        <w:fldChar w:fldCharType="begin"/>
      </w:r>
      <w:r w:rsidRPr="00621BC1">
        <w:rPr>
          <w:rFonts w:eastAsia="Times New Roman" w:cs="Book Antiqua"/>
          <w:b/>
          <w:bCs/>
          <w:color w:val="auto"/>
          <w:kern w:val="0"/>
          <w:szCs w:val="16"/>
          <w:lang w:eastAsia="en-IN"/>
          <w14:ligatures w14:val="none"/>
        </w:rPr>
        <w:instrText xml:space="preserve"> STYLEREF 1 \s </w:instrText>
      </w:r>
      <w:r w:rsidRPr="00621BC1">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1</w:t>
      </w:r>
      <w:r w:rsidRPr="00621BC1">
        <w:rPr>
          <w:rFonts w:eastAsia="Times New Roman" w:cs="Book Antiqua"/>
          <w:b/>
          <w:bCs/>
          <w:color w:val="auto"/>
          <w:kern w:val="0"/>
          <w:szCs w:val="16"/>
          <w:lang w:eastAsia="en-IN"/>
          <w14:ligatures w14:val="none"/>
        </w:rPr>
        <w:fldChar w:fldCharType="end"/>
      </w:r>
      <w:r w:rsidRPr="00621BC1">
        <w:rPr>
          <w:rFonts w:eastAsia="Times New Roman" w:cs="Book Antiqua"/>
          <w:b/>
          <w:bCs/>
          <w:color w:val="auto"/>
          <w:kern w:val="0"/>
          <w:szCs w:val="16"/>
          <w:lang w:eastAsia="en-IN"/>
          <w14:ligatures w14:val="none"/>
        </w:rPr>
        <w:t>.</w:t>
      </w:r>
      <w:r w:rsidRPr="00621BC1">
        <w:rPr>
          <w:rFonts w:eastAsia="Times New Roman" w:cs="Book Antiqua"/>
          <w:b/>
          <w:bCs/>
          <w:color w:val="auto"/>
          <w:kern w:val="0"/>
          <w:szCs w:val="16"/>
          <w:lang w:eastAsia="en-IN"/>
          <w14:ligatures w14:val="none"/>
        </w:rPr>
        <w:fldChar w:fldCharType="begin"/>
      </w:r>
      <w:r w:rsidRPr="00621BC1">
        <w:rPr>
          <w:rFonts w:eastAsia="Times New Roman" w:cs="Book Antiqua"/>
          <w:b/>
          <w:bCs/>
          <w:color w:val="auto"/>
          <w:kern w:val="0"/>
          <w:szCs w:val="16"/>
          <w:lang w:eastAsia="en-IN"/>
          <w14:ligatures w14:val="none"/>
        </w:rPr>
        <w:instrText xml:space="preserve"> SEQ Figure \* ARABIC \s 1 </w:instrText>
      </w:r>
      <w:r w:rsidRPr="00621BC1">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12</w:t>
      </w:r>
      <w:r w:rsidRPr="00621BC1">
        <w:rPr>
          <w:rFonts w:eastAsia="Times New Roman" w:cs="Book Antiqua"/>
          <w:b/>
          <w:bCs/>
          <w:color w:val="auto"/>
          <w:kern w:val="0"/>
          <w:szCs w:val="16"/>
          <w:lang w:eastAsia="en-IN"/>
          <w14:ligatures w14:val="none"/>
        </w:rPr>
        <w:fldChar w:fldCharType="end"/>
      </w:r>
      <w:r w:rsidRPr="00621BC1">
        <w:rPr>
          <w:rFonts w:eastAsia="Times New Roman" w:cs="Book Antiqua"/>
          <w:b/>
          <w:bCs/>
          <w:kern w:val="0"/>
          <w:szCs w:val="16"/>
          <w:lang w:val="en-GB" w:eastAsia="en-IN"/>
          <w14:ligatures w14:val="none"/>
        </w:rPr>
        <w:t>:</w:t>
      </w:r>
      <w:r w:rsidR="00D9717A">
        <w:rPr>
          <w:rFonts w:eastAsia="Times New Roman" w:cs="Book Antiqua"/>
          <w:b/>
          <w:bCs/>
          <w:kern w:val="0"/>
          <w:szCs w:val="16"/>
          <w:lang w:val="en-GB" w:eastAsia="en-IN"/>
          <w14:ligatures w14:val="none"/>
        </w:rPr>
        <w:t xml:space="preserve"> </w:t>
      </w:r>
      <w:r w:rsidR="009E6686">
        <w:rPr>
          <w:rFonts w:eastAsia="Times New Roman" w:cs="Book Antiqua"/>
          <w:b/>
          <w:bCs/>
          <w:kern w:val="0"/>
          <w:szCs w:val="16"/>
          <w:lang w:val="en-GB" w:eastAsia="en-IN"/>
          <w14:ligatures w14:val="none"/>
        </w:rPr>
        <w:t>India’s electricity demand in Billion Units</w:t>
      </w:r>
      <w:bookmarkEnd w:id="274"/>
    </w:p>
    <w:p w14:paraId="3A42E37D" w14:textId="48423A3B" w:rsidR="00A70BE5" w:rsidRDefault="000E1423" w:rsidP="00A70BE5">
      <w:r w:rsidRPr="000E1423">
        <w:rPr>
          <w:noProof/>
        </w:rPr>
        <w:drawing>
          <wp:inline distT="0" distB="0" distL="0" distR="0" wp14:anchorId="2FC0B7E3" wp14:editId="24255D08">
            <wp:extent cx="6686550" cy="1844703"/>
            <wp:effectExtent l="0" t="0" r="0" b="3175"/>
            <wp:docPr id="181752110" name="Chart 1">
              <a:extLst xmlns:a="http://schemas.openxmlformats.org/drawingml/2006/main">
                <a:ext uri="{FF2B5EF4-FFF2-40B4-BE49-F238E27FC236}">
                  <a16:creationId xmlns:a16="http://schemas.microsoft.com/office/drawing/2014/main" id="{2A983CB6-0D6D-AF0C-BB27-AC78F4E6C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800CC6" w14:textId="1C22D23D" w:rsidR="00BE7F56" w:rsidRDefault="00BE7F56" w:rsidP="00BE7F56">
      <w:pPr>
        <w:tabs>
          <w:tab w:val="center" w:pos="4680"/>
          <w:tab w:val="right" w:pos="9720"/>
        </w:tabs>
        <w:spacing w:before="160" w:after="120" w:line="240" w:lineRule="auto"/>
        <w:ind w:right="432"/>
        <w:rPr>
          <w:rFonts w:eastAsiaTheme="minorEastAsia"/>
          <w:i/>
          <w:sz w:val="16"/>
          <w:szCs w:val="15"/>
        </w:rPr>
      </w:pPr>
      <w:r w:rsidRPr="00740FCA">
        <w:rPr>
          <w:rFonts w:eastAsiaTheme="minorEastAsia"/>
          <w:i/>
          <w:sz w:val="16"/>
          <w:szCs w:val="15"/>
        </w:rPr>
        <w:t xml:space="preserve">Source: </w:t>
      </w:r>
      <w:r w:rsidR="00D9717A" w:rsidRPr="00D9717A">
        <w:rPr>
          <w:rFonts w:eastAsiaTheme="minorEastAsia"/>
          <w:i/>
          <w:sz w:val="16"/>
          <w:szCs w:val="15"/>
        </w:rPr>
        <w:t>Central Electricity Authority</w:t>
      </w:r>
      <w:r w:rsidR="00D9717A">
        <w:rPr>
          <w:rFonts w:eastAsiaTheme="minorEastAsia"/>
          <w:i/>
          <w:sz w:val="16"/>
          <w:szCs w:val="15"/>
        </w:rPr>
        <w:t>- Annual Report of various years</w:t>
      </w:r>
      <w:r w:rsidRPr="00740FCA">
        <w:rPr>
          <w:rFonts w:eastAsiaTheme="minorEastAsia"/>
          <w:i/>
          <w:sz w:val="16"/>
          <w:szCs w:val="15"/>
        </w:rPr>
        <w:t>, Crisil Intelligence; All years are fiscal years</w:t>
      </w:r>
      <w:r>
        <w:rPr>
          <w:rFonts w:eastAsiaTheme="minorEastAsia"/>
          <w:i/>
          <w:sz w:val="16"/>
          <w:szCs w:val="15"/>
        </w:rPr>
        <w:t>, F: Forecast</w:t>
      </w:r>
    </w:p>
    <w:p w14:paraId="2705D5D7" w14:textId="7545077F" w:rsidR="0018558C" w:rsidRDefault="005E69BD" w:rsidP="00313A2E">
      <w:r w:rsidRPr="001B27DB">
        <w:t>India's energy demand is rapidly growing, driven by economic expansion and population growth</w:t>
      </w:r>
      <w:r>
        <w:t xml:space="preserve">. </w:t>
      </w:r>
      <w:r w:rsidRPr="0098726C">
        <w:t xml:space="preserve">The demand in </w:t>
      </w:r>
      <w:r>
        <w:t xml:space="preserve">fiscal </w:t>
      </w:r>
      <w:r w:rsidRPr="0098726C">
        <w:t xml:space="preserve">2024 is expected to be 16,29,670 </w:t>
      </w:r>
      <w:r>
        <w:t>MU</w:t>
      </w:r>
      <w:r w:rsidR="00975F97">
        <w:t xml:space="preserve"> at a </w:t>
      </w:r>
      <w:r>
        <w:t>CAGR of 6.0</w:t>
      </w:r>
      <w:r w:rsidRPr="0098726C">
        <w:t xml:space="preserve">% from </w:t>
      </w:r>
      <w:r>
        <w:t>fiscal 2020 to fiscal 2024,</w:t>
      </w:r>
      <w:r w:rsidRPr="0098726C">
        <w:t xml:space="preserve"> driven by continued economic growth. </w:t>
      </w:r>
      <w:r w:rsidRPr="00E74BAE">
        <w:t xml:space="preserve">The demand is expected to continue growing at an accelerated rate, reaching 23,77,763 </w:t>
      </w:r>
      <w:r>
        <w:t>MU</w:t>
      </w:r>
      <w:r w:rsidRPr="00E74BAE">
        <w:t xml:space="preserve"> by 2030, with a </w:t>
      </w:r>
      <w:r>
        <w:t>CAGR</w:t>
      </w:r>
      <w:r w:rsidRPr="00E74BAE">
        <w:t xml:space="preserve"> of 6.</w:t>
      </w:r>
      <w:r>
        <w:t>4% from fiscal 2025 to fiscal 2030</w:t>
      </w:r>
      <w:r w:rsidRPr="00E74BAE">
        <w:t>.</w:t>
      </w:r>
      <w:r w:rsidR="00235B28">
        <w:t xml:space="preserve"> </w:t>
      </w:r>
      <w:r w:rsidR="00235B28" w:rsidRPr="00235B28">
        <w:t>The analysis of India's electricity demand from 2020 to 2030 shows a steady increase in demand, with an accelerating growth rate in the later years.</w:t>
      </w:r>
      <w:r w:rsidR="00975F97">
        <w:t xml:space="preserve"> </w:t>
      </w:r>
      <w:r w:rsidR="00AA4F6C" w:rsidRPr="00AA4F6C">
        <w:t>The peak demand is the highest amount of electricity demanded by the grid at a given time</w:t>
      </w:r>
      <w:r w:rsidR="00A165D0">
        <w:t xml:space="preserve"> which</w:t>
      </w:r>
      <w:r w:rsidR="00AA4F6C" w:rsidRPr="00AA4F6C">
        <w:t xml:space="preserve"> has been increasing steadily over the years, with a </w:t>
      </w:r>
      <w:r w:rsidR="00AA4F6C">
        <w:t xml:space="preserve">CAGR </w:t>
      </w:r>
      <w:r w:rsidR="00AA4F6C" w:rsidRPr="00AA4F6C">
        <w:t xml:space="preserve">of around </w:t>
      </w:r>
      <w:r w:rsidR="00EE146D">
        <w:t>6.9</w:t>
      </w:r>
      <w:r w:rsidR="00AA4F6C" w:rsidRPr="00AA4F6C">
        <w:t xml:space="preserve">% </w:t>
      </w:r>
      <w:r w:rsidR="00AA4F6C">
        <w:t>from fiscal 2020 to fiscal 2024</w:t>
      </w:r>
      <w:r w:rsidR="00AA4F6C" w:rsidRPr="00AA4F6C">
        <w:t>.</w:t>
      </w:r>
      <w:r w:rsidR="00313A2E">
        <w:t xml:space="preserve"> </w:t>
      </w:r>
      <w:r w:rsidR="00313A2E" w:rsidRPr="00313A2E">
        <w:t xml:space="preserve">The peak demand in </w:t>
      </w:r>
      <w:r w:rsidR="00313A2E">
        <w:t xml:space="preserve">fiscal </w:t>
      </w:r>
      <w:r w:rsidR="00313A2E" w:rsidRPr="00313A2E">
        <w:t>2020 was 1,83,804 MW, with a slight shortfall of 1,271 MW.</w:t>
      </w:r>
      <w:r w:rsidR="00313A2E">
        <w:t xml:space="preserve"> </w:t>
      </w:r>
      <w:r w:rsidR="00313A2E" w:rsidRPr="00313A2E">
        <w:t xml:space="preserve">The peak demand in </w:t>
      </w:r>
      <w:r w:rsidR="00313A2E">
        <w:t xml:space="preserve">fiscal </w:t>
      </w:r>
      <w:r w:rsidR="00313A2E" w:rsidRPr="00313A2E">
        <w:t>2021 was 1,90,198 MW, with a shortfall of 803 MW.</w:t>
      </w:r>
      <w:r w:rsidR="00313A2E">
        <w:t xml:space="preserve"> </w:t>
      </w:r>
      <w:r w:rsidR="00313A2E" w:rsidRPr="00313A2E">
        <w:t xml:space="preserve">The peak demand in </w:t>
      </w:r>
      <w:r w:rsidR="00313A2E">
        <w:t xml:space="preserve">fiscal </w:t>
      </w:r>
      <w:r w:rsidR="00313A2E" w:rsidRPr="00313A2E">
        <w:t>2022 was 2,03,014 MW, with a shortfall of 2,475 MW.</w:t>
      </w:r>
      <w:r w:rsidR="00313A2E">
        <w:t xml:space="preserve"> </w:t>
      </w:r>
      <w:r w:rsidR="00313A2E" w:rsidRPr="00313A2E">
        <w:t xml:space="preserve">The peak demand in </w:t>
      </w:r>
      <w:r w:rsidR="00EE146D">
        <w:t xml:space="preserve">fiscal </w:t>
      </w:r>
      <w:r w:rsidR="00313A2E" w:rsidRPr="00313A2E">
        <w:t>2023 was 2,15,888 MW, with a shortfall of 8,657 MW.</w:t>
      </w:r>
      <w:r w:rsidR="00313A2E">
        <w:t xml:space="preserve"> </w:t>
      </w:r>
      <w:r w:rsidR="00313A2E" w:rsidRPr="00313A2E">
        <w:t xml:space="preserve">The peak demand in </w:t>
      </w:r>
      <w:r w:rsidR="00EE146D">
        <w:t xml:space="preserve">fiscal </w:t>
      </w:r>
      <w:r w:rsidR="00313A2E" w:rsidRPr="00313A2E">
        <w:t>2023 was 2,15,888 MW, with a shortfall of 8,657 MW.</w:t>
      </w:r>
      <w:r w:rsidR="00503CDB">
        <w:t xml:space="preserve"> </w:t>
      </w:r>
      <w:r w:rsidR="00503CDB" w:rsidRPr="00503CDB">
        <w:t>The increasing peak demand highlights the need for additional power generation capacity to meet the growing demand.</w:t>
      </w:r>
    </w:p>
    <w:p w14:paraId="6CA3206F" w14:textId="33E6DDE2" w:rsidR="00ED173E" w:rsidRPr="00740FCA" w:rsidRDefault="00ED173E" w:rsidP="00ED173E">
      <w:pPr>
        <w:spacing w:before="160" w:after="120" w:line="276" w:lineRule="auto"/>
        <w:ind w:right="432"/>
        <w:rPr>
          <w:rFonts w:ascii="Aptos" w:eastAsia="Times New Roman" w:hAnsi="Aptos"/>
          <w:b/>
          <w:bCs/>
          <w:spacing w:val="12"/>
          <w:szCs w:val="20"/>
        </w:rPr>
      </w:pPr>
      <w:bookmarkStart w:id="275" w:name="_Toc198731456"/>
      <w:r w:rsidRPr="00740FCA">
        <w:rPr>
          <w:b/>
          <w:bCs/>
          <w:color w:val="auto"/>
        </w:rPr>
        <w:t xml:space="preserve">Table </w:t>
      </w:r>
      <w:r w:rsidRPr="00740FCA">
        <w:rPr>
          <w:b/>
          <w:bCs/>
          <w:color w:val="auto"/>
        </w:rPr>
        <w:fldChar w:fldCharType="begin"/>
      </w:r>
      <w:r w:rsidRPr="00740FCA">
        <w:rPr>
          <w:b/>
          <w:bCs/>
          <w:color w:val="auto"/>
        </w:rPr>
        <w:instrText xml:space="preserve"> STYLEREF 1 \s </w:instrText>
      </w:r>
      <w:r w:rsidRPr="00740FCA">
        <w:rPr>
          <w:b/>
          <w:bCs/>
          <w:color w:val="auto"/>
        </w:rPr>
        <w:fldChar w:fldCharType="separate"/>
      </w:r>
      <w:r w:rsidR="002142B9">
        <w:rPr>
          <w:b/>
          <w:bCs/>
          <w:noProof/>
          <w:color w:val="auto"/>
        </w:rPr>
        <w:t>1</w:t>
      </w:r>
      <w:r w:rsidRPr="00740FCA">
        <w:rPr>
          <w:b/>
          <w:bCs/>
          <w:color w:val="auto"/>
        </w:rPr>
        <w:fldChar w:fldCharType="end"/>
      </w:r>
      <w:r w:rsidRPr="00740FCA">
        <w:rPr>
          <w:b/>
          <w:bCs/>
          <w:color w:val="auto"/>
        </w:rPr>
        <w:t>.</w:t>
      </w:r>
      <w:r w:rsidRPr="00740FCA">
        <w:rPr>
          <w:b/>
          <w:bCs/>
          <w:color w:val="auto"/>
        </w:rPr>
        <w:fldChar w:fldCharType="begin"/>
      </w:r>
      <w:r w:rsidRPr="00740FCA">
        <w:rPr>
          <w:b/>
          <w:bCs/>
          <w:color w:val="auto"/>
        </w:rPr>
        <w:instrText xml:space="preserve"> SEQ Table \* ARABIC \s 1 </w:instrText>
      </w:r>
      <w:r w:rsidRPr="00740FCA">
        <w:rPr>
          <w:b/>
          <w:bCs/>
          <w:color w:val="auto"/>
        </w:rPr>
        <w:fldChar w:fldCharType="separate"/>
      </w:r>
      <w:r w:rsidR="002142B9">
        <w:rPr>
          <w:b/>
          <w:bCs/>
          <w:noProof/>
          <w:color w:val="auto"/>
        </w:rPr>
        <w:t>8</w:t>
      </w:r>
      <w:r w:rsidRPr="00740FCA">
        <w:rPr>
          <w:b/>
          <w:bCs/>
          <w:color w:val="auto"/>
        </w:rPr>
        <w:fldChar w:fldCharType="end"/>
      </w:r>
      <w:r w:rsidRPr="00740FCA">
        <w:rPr>
          <w:rFonts w:ascii="Aptos" w:eastAsia="Times New Roman" w:hAnsi="Aptos"/>
          <w:b/>
          <w:bCs/>
          <w:spacing w:val="12"/>
          <w:szCs w:val="20"/>
        </w:rPr>
        <w:t xml:space="preserve">: </w:t>
      </w:r>
      <w:r w:rsidR="00EE447F">
        <w:rPr>
          <w:b/>
          <w:bCs/>
          <w:color w:val="auto"/>
        </w:rPr>
        <w:t xml:space="preserve">Peak Power Demand </w:t>
      </w:r>
      <w:r w:rsidR="00BA6B83">
        <w:rPr>
          <w:b/>
          <w:bCs/>
          <w:color w:val="auto"/>
        </w:rPr>
        <w:t>in India in MW</w:t>
      </w:r>
      <w:bookmarkEnd w:id="275"/>
    </w:p>
    <w:tbl>
      <w:tblPr>
        <w:tblStyle w:val="GridTable4-Accent6"/>
        <w:tblW w:w="5000" w:type="pct"/>
        <w:tblLook w:val="0420" w:firstRow="1" w:lastRow="0" w:firstColumn="0" w:lastColumn="0" w:noHBand="0" w:noVBand="1"/>
      </w:tblPr>
      <w:tblGrid>
        <w:gridCol w:w="1287"/>
        <w:gridCol w:w="1955"/>
        <w:gridCol w:w="2428"/>
        <w:gridCol w:w="2428"/>
        <w:gridCol w:w="2422"/>
      </w:tblGrid>
      <w:tr w:rsidR="008B481B" w:rsidRPr="00644B04" w14:paraId="5838BFEA" w14:textId="116AEDA4" w:rsidTr="00E7491F">
        <w:trPr>
          <w:cnfStyle w:val="100000000000" w:firstRow="1" w:lastRow="0" w:firstColumn="0" w:lastColumn="0" w:oddVBand="0" w:evenVBand="0" w:oddHBand="0" w:evenHBand="0" w:firstRowFirstColumn="0" w:firstRowLastColumn="0" w:lastRowFirstColumn="0" w:lastRowLastColumn="0"/>
          <w:trHeight w:val="351"/>
        </w:trPr>
        <w:tc>
          <w:tcPr>
            <w:tcW w:w="612" w:type="pct"/>
            <w:vMerge w:val="restart"/>
            <w:tcBorders>
              <w:top w:val="single" w:sz="4" w:space="0" w:color="000000"/>
              <w:left w:val="single" w:sz="4" w:space="0" w:color="000000"/>
              <w:right w:val="single" w:sz="4" w:space="0" w:color="000000"/>
            </w:tcBorders>
            <w:shd w:val="clear" w:color="auto" w:fill="005B72"/>
            <w:vAlign w:val="center"/>
          </w:tcPr>
          <w:p w14:paraId="4920271A" w14:textId="7F229F29" w:rsidR="008B481B" w:rsidRPr="00D26657" w:rsidRDefault="008B481B" w:rsidP="00662938">
            <w:pPr>
              <w:spacing w:before="80" w:after="80" w:line="240" w:lineRule="auto"/>
              <w:ind w:left="-120" w:right="-75"/>
              <w:jc w:val="center"/>
              <w:rPr>
                <w:color w:val="F8F8F8"/>
                <w:sz w:val="18"/>
                <w:szCs w:val="18"/>
              </w:rPr>
            </w:pPr>
            <w:r w:rsidRPr="00D26657">
              <w:rPr>
                <w:color w:val="F8F8F8"/>
                <w:sz w:val="18"/>
                <w:szCs w:val="18"/>
              </w:rPr>
              <w:t>Fiscal Year</w:t>
            </w:r>
          </w:p>
        </w:tc>
        <w:tc>
          <w:tcPr>
            <w:tcW w:w="929" w:type="pct"/>
            <w:vMerge w:val="restart"/>
            <w:tcBorders>
              <w:top w:val="single" w:sz="4" w:space="0" w:color="000000"/>
              <w:left w:val="single" w:sz="4" w:space="0" w:color="000000"/>
              <w:right w:val="single" w:sz="4" w:space="0" w:color="000000"/>
            </w:tcBorders>
            <w:shd w:val="clear" w:color="auto" w:fill="005B72"/>
            <w:vAlign w:val="center"/>
          </w:tcPr>
          <w:p w14:paraId="7188F61F" w14:textId="19FC6C5B" w:rsidR="008B481B" w:rsidRPr="00D26657" w:rsidRDefault="008B481B" w:rsidP="00662938">
            <w:pPr>
              <w:spacing w:before="80" w:after="80" w:line="240" w:lineRule="auto"/>
              <w:ind w:left="-134" w:right="-105"/>
              <w:jc w:val="center"/>
              <w:rPr>
                <w:color w:val="F8F8F8"/>
                <w:sz w:val="18"/>
                <w:szCs w:val="18"/>
              </w:rPr>
            </w:pPr>
            <w:r w:rsidRPr="00D26657">
              <w:rPr>
                <w:color w:val="F8F8F8"/>
                <w:sz w:val="18"/>
                <w:szCs w:val="18"/>
              </w:rPr>
              <w:t>Peak Demand (MW)</w:t>
            </w:r>
          </w:p>
        </w:tc>
        <w:tc>
          <w:tcPr>
            <w:tcW w:w="1154" w:type="pct"/>
            <w:vMerge w:val="restart"/>
            <w:tcBorders>
              <w:top w:val="single" w:sz="4" w:space="0" w:color="000000"/>
              <w:left w:val="single" w:sz="4" w:space="0" w:color="000000"/>
              <w:right w:val="single" w:sz="4" w:space="0" w:color="000000"/>
            </w:tcBorders>
            <w:shd w:val="clear" w:color="auto" w:fill="005B72"/>
            <w:vAlign w:val="center"/>
          </w:tcPr>
          <w:p w14:paraId="2E56EFC2" w14:textId="3723783F" w:rsidR="008B481B" w:rsidRPr="00D26657" w:rsidRDefault="008B481B" w:rsidP="00662938">
            <w:pPr>
              <w:spacing w:before="80" w:after="80" w:line="240" w:lineRule="auto"/>
              <w:ind w:right="-15"/>
              <w:jc w:val="center"/>
              <w:rPr>
                <w:color w:val="F8F8F8"/>
                <w:sz w:val="18"/>
                <w:szCs w:val="18"/>
              </w:rPr>
            </w:pPr>
            <w:r w:rsidRPr="00D26657">
              <w:rPr>
                <w:color w:val="F8F8F8"/>
                <w:sz w:val="18"/>
                <w:szCs w:val="18"/>
              </w:rPr>
              <w:t>Peak Demand (MW)</w:t>
            </w:r>
          </w:p>
        </w:tc>
        <w:tc>
          <w:tcPr>
            <w:tcW w:w="2305" w:type="pct"/>
            <w:gridSpan w:val="2"/>
            <w:tcBorders>
              <w:top w:val="single" w:sz="4" w:space="0" w:color="000000"/>
              <w:left w:val="single" w:sz="4" w:space="0" w:color="000000"/>
              <w:bottom w:val="single" w:sz="4" w:space="0" w:color="000000"/>
              <w:right w:val="single" w:sz="4" w:space="0" w:color="000000"/>
            </w:tcBorders>
            <w:shd w:val="clear" w:color="auto" w:fill="005B72"/>
          </w:tcPr>
          <w:p w14:paraId="71196A5E" w14:textId="765382CA" w:rsidR="008B481B" w:rsidRPr="00D26657" w:rsidRDefault="008B481B" w:rsidP="00662938">
            <w:pPr>
              <w:spacing w:before="80" w:after="80" w:line="240" w:lineRule="auto"/>
              <w:ind w:left="-119" w:right="-15" w:firstLine="119"/>
              <w:jc w:val="center"/>
              <w:rPr>
                <w:color w:val="F8F8F8"/>
                <w:sz w:val="18"/>
                <w:szCs w:val="18"/>
              </w:rPr>
            </w:pPr>
            <w:r w:rsidRPr="00D26657">
              <w:rPr>
                <w:color w:val="F8F8F8"/>
                <w:sz w:val="18"/>
                <w:szCs w:val="18"/>
              </w:rPr>
              <w:t>Demand not Met</w:t>
            </w:r>
          </w:p>
        </w:tc>
      </w:tr>
      <w:tr w:rsidR="008B481B" w:rsidRPr="00644B04" w14:paraId="7614CE34" w14:textId="77777777" w:rsidTr="002F7E18">
        <w:trPr>
          <w:cnfStyle w:val="000000100000" w:firstRow="0" w:lastRow="0" w:firstColumn="0" w:lastColumn="0" w:oddVBand="0" w:evenVBand="0" w:oddHBand="1" w:evenHBand="0" w:firstRowFirstColumn="0" w:firstRowLastColumn="0" w:lastRowFirstColumn="0" w:lastRowLastColumn="0"/>
          <w:trHeight w:val="351"/>
        </w:trPr>
        <w:tc>
          <w:tcPr>
            <w:tcW w:w="612" w:type="pct"/>
            <w:vMerge/>
            <w:tcBorders>
              <w:left w:val="single" w:sz="4" w:space="0" w:color="000000"/>
              <w:bottom w:val="single" w:sz="4" w:space="0" w:color="000000"/>
              <w:right w:val="single" w:sz="4" w:space="0" w:color="000000"/>
            </w:tcBorders>
            <w:shd w:val="clear" w:color="auto" w:fill="005B72"/>
          </w:tcPr>
          <w:p w14:paraId="4A407DEF" w14:textId="77777777" w:rsidR="008B481B" w:rsidRPr="00D26657" w:rsidRDefault="008B481B" w:rsidP="00662938">
            <w:pPr>
              <w:spacing w:before="80" w:after="80" w:line="240" w:lineRule="auto"/>
              <w:ind w:left="-120" w:right="-75"/>
              <w:jc w:val="center"/>
              <w:rPr>
                <w:b/>
                <w:bCs/>
                <w:color w:val="F8F8F8"/>
                <w:sz w:val="18"/>
                <w:szCs w:val="18"/>
              </w:rPr>
            </w:pPr>
          </w:p>
        </w:tc>
        <w:tc>
          <w:tcPr>
            <w:tcW w:w="929" w:type="pct"/>
            <w:vMerge/>
            <w:tcBorders>
              <w:left w:val="single" w:sz="4" w:space="0" w:color="000000"/>
              <w:bottom w:val="single" w:sz="4" w:space="0" w:color="000000"/>
              <w:right w:val="single" w:sz="4" w:space="0" w:color="000000"/>
            </w:tcBorders>
            <w:shd w:val="clear" w:color="auto" w:fill="005B72"/>
          </w:tcPr>
          <w:p w14:paraId="272C0AAC" w14:textId="77777777" w:rsidR="008B481B" w:rsidRPr="00D26657" w:rsidRDefault="008B481B" w:rsidP="00662938">
            <w:pPr>
              <w:spacing w:before="80" w:after="80" w:line="240" w:lineRule="auto"/>
              <w:ind w:left="-134" w:right="-105"/>
              <w:jc w:val="center"/>
              <w:rPr>
                <w:b/>
                <w:bCs/>
                <w:color w:val="F8F8F8"/>
                <w:sz w:val="18"/>
                <w:szCs w:val="18"/>
              </w:rPr>
            </w:pPr>
          </w:p>
        </w:tc>
        <w:tc>
          <w:tcPr>
            <w:tcW w:w="1154" w:type="pct"/>
            <w:vMerge/>
            <w:tcBorders>
              <w:left w:val="single" w:sz="4" w:space="0" w:color="000000"/>
              <w:bottom w:val="single" w:sz="4" w:space="0" w:color="000000"/>
              <w:right w:val="single" w:sz="4" w:space="0" w:color="000000"/>
            </w:tcBorders>
            <w:shd w:val="clear" w:color="auto" w:fill="005B72"/>
          </w:tcPr>
          <w:p w14:paraId="5FA241F2" w14:textId="77777777" w:rsidR="008B481B" w:rsidRPr="00D26657" w:rsidRDefault="008B481B" w:rsidP="00662938">
            <w:pPr>
              <w:spacing w:before="80" w:after="80" w:line="240" w:lineRule="auto"/>
              <w:ind w:right="-15"/>
              <w:jc w:val="center"/>
              <w:rPr>
                <w:b/>
                <w:bCs/>
                <w:color w:val="F8F8F8"/>
                <w:sz w:val="18"/>
                <w:szCs w:val="18"/>
              </w:rPr>
            </w:pPr>
          </w:p>
        </w:tc>
        <w:tc>
          <w:tcPr>
            <w:tcW w:w="1154" w:type="pct"/>
            <w:tcBorders>
              <w:top w:val="single" w:sz="4" w:space="0" w:color="000000"/>
              <w:left w:val="single" w:sz="4" w:space="0" w:color="000000"/>
              <w:bottom w:val="single" w:sz="4" w:space="0" w:color="000000"/>
              <w:right w:val="single" w:sz="4" w:space="0" w:color="000000"/>
            </w:tcBorders>
            <w:shd w:val="clear" w:color="auto" w:fill="005B72"/>
          </w:tcPr>
          <w:p w14:paraId="6EC8DC78" w14:textId="11A49F12" w:rsidR="008B481B" w:rsidRPr="00D26657" w:rsidRDefault="008B481B" w:rsidP="00662938">
            <w:pPr>
              <w:spacing w:before="80" w:after="80" w:line="240" w:lineRule="auto"/>
              <w:ind w:left="-119" w:right="-15" w:firstLine="119"/>
              <w:jc w:val="center"/>
              <w:rPr>
                <w:b/>
                <w:bCs/>
                <w:color w:val="F8F8F8"/>
                <w:sz w:val="18"/>
                <w:szCs w:val="18"/>
              </w:rPr>
            </w:pPr>
            <w:r w:rsidRPr="00D26657">
              <w:rPr>
                <w:b/>
                <w:bCs/>
                <w:color w:val="F8F8F8"/>
                <w:sz w:val="18"/>
                <w:szCs w:val="18"/>
              </w:rPr>
              <w:t>MW</w:t>
            </w:r>
          </w:p>
        </w:tc>
        <w:tc>
          <w:tcPr>
            <w:tcW w:w="1151" w:type="pct"/>
            <w:tcBorders>
              <w:top w:val="single" w:sz="4" w:space="0" w:color="000000"/>
              <w:left w:val="single" w:sz="4" w:space="0" w:color="000000"/>
              <w:bottom w:val="single" w:sz="4" w:space="0" w:color="000000"/>
              <w:right w:val="single" w:sz="4" w:space="0" w:color="000000"/>
            </w:tcBorders>
            <w:shd w:val="clear" w:color="auto" w:fill="005B72"/>
          </w:tcPr>
          <w:p w14:paraId="2ABED597" w14:textId="737731B4" w:rsidR="008B481B" w:rsidRPr="00D26657" w:rsidRDefault="008B481B" w:rsidP="00662938">
            <w:pPr>
              <w:spacing w:before="80" w:after="80" w:line="240" w:lineRule="auto"/>
              <w:ind w:left="-119" w:right="-15" w:firstLine="119"/>
              <w:jc w:val="center"/>
              <w:rPr>
                <w:b/>
                <w:bCs/>
                <w:color w:val="F8F8F8"/>
                <w:sz w:val="18"/>
                <w:szCs w:val="18"/>
              </w:rPr>
            </w:pPr>
            <w:r w:rsidRPr="00D26657">
              <w:rPr>
                <w:b/>
                <w:bCs/>
                <w:color w:val="F8F8F8"/>
                <w:sz w:val="18"/>
                <w:szCs w:val="18"/>
              </w:rPr>
              <w:t>%</w:t>
            </w:r>
          </w:p>
        </w:tc>
      </w:tr>
      <w:tr w:rsidR="008B481B" w:rsidRPr="00644B04" w14:paraId="5B48D1C7" w14:textId="5205E24F" w:rsidTr="008B481B">
        <w:trPr>
          <w:trHeight w:val="351"/>
        </w:trPr>
        <w:tc>
          <w:tcPr>
            <w:tcW w:w="612" w:type="pct"/>
            <w:tcBorders>
              <w:top w:val="single" w:sz="4" w:space="0" w:color="000000"/>
              <w:left w:val="single" w:sz="4" w:space="0" w:color="000000"/>
              <w:bottom w:val="single" w:sz="4" w:space="0" w:color="000000"/>
              <w:right w:val="single" w:sz="4" w:space="0" w:color="000000"/>
            </w:tcBorders>
            <w:shd w:val="clear" w:color="auto" w:fill="C9D8E1"/>
          </w:tcPr>
          <w:p w14:paraId="14275711" w14:textId="7116BAC4" w:rsidR="008B481B" w:rsidRPr="00D26657" w:rsidRDefault="008B481B" w:rsidP="00662938">
            <w:pPr>
              <w:spacing w:line="240" w:lineRule="auto"/>
              <w:ind w:left="-120" w:right="-75"/>
              <w:jc w:val="center"/>
              <w:rPr>
                <w:rFonts w:eastAsia="Arial"/>
                <w:color w:val="000000"/>
                <w:sz w:val="18"/>
                <w:szCs w:val="18"/>
              </w:rPr>
            </w:pPr>
            <w:r w:rsidRPr="00D26657">
              <w:rPr>
                <w:rFonts w:eastAsia="Arial"/>
                <w:color w:val="000000"/>
                <w:sz w:val="18"/>
                <w:szCs w:val="18"/>
              </w:rPr>
              <w:t>2020</w:t>
            </w:r>
          </w:p>
        </w:tc>
        <w:tc>
          <w:tcPr>
            <w:tcW w:w="929" w:type="pct"/>
            <w:tcBorders>
              <w:top w:val="single" w:sz="4" w:space="0" w:color="000000"/>
              <w:left w:val="single" w:sz="4" w:space="0" w:color="000000"/>
              <w:bottom w:val="single" w:sz="4" w:space="0" w:color="000000"/>
              <w:right w:val="single" w:sz="4" w:space="0" w:color="000000"/>
            </w:tcBorders>
            <w:shd w:val="clear" w:color="auto" w:fill="C9D8E1"/>
          </w:tcPr>
          <w:p w14:paraId="4443DF99" w14:textId="189D38F2" w:rsidR="008B481B" w:rsidRPr="00D26657" w:rsidRDefault="008B481B" w:rsidP="00662938">
            <w:pPr>
              <w:spacing w:line="240" w:lineRule="auto"/>
              <w:ind w:left="-134" w:right="-105"/>
              <w:jc w:val="center"/>
              <w:rPr>
                <w:rFonts w:eastAsia="Arial"/>
                <w:color w:val="000000"/>
                <w:sz w:val="18"/>
                <w:szCs w:val="18"/>
              </w:rPr>
            </w:pPr>
            <w:r w:rsidRPr="00D26657">
              <w:rPr>
                <w:rFonts w:eastAsia="Arial"/>
                <w:color w:val="000000"/>
                <w:sz w:val="18"/>
                <w:szCs w:val="18"/>
              </w:rPr>
              <w:t>1,83,804</w:t>
            </w:r>
          </w:p>
        </w:tc>
        <w:tc>
          <w:tcPr>
            <w:tcW w:w="1154" w:type="pct"/>
            <w:tcBorders>
              <w:top w:val="single" w:sz="4" w:space="0" w:color="000000"/>
              <w:left w:val="single" w:sz="4" w:space="0" w:color="000000"/>
              <w:bottom w:val="single" w:sz="4" w:space="0" w:color="000000"/>
              <w:right w:val="single" w:sz="4" w:space="0" w:color="000000"/>
            </w:tcBorders>
            <w:shd w:val="clear" w:color="auto" w:fill="C9D8E1"/>
          </w:tcPr>
          <w:p w14:paraId="7AE5C1CD" w14:textId="716EFD6F" w:rsidR="008B481B" w:rsidRPr="00D26657" w:rsidRDefault="008B481B" w:rsidP="00662938">
            <w:pPr>
              <w:spacing w:line="240" w:lineRule="auto"/>
              <w:ind w:right="-15"/>
              <w:jc w:val="center"/>
              <w:rPr>
                <w:rFonts w:eastAsia="Arial"/>
                <w:color w:val="000000"/>
                <w:sz w:val="18"/>
                <w:szCs w:val="18"/>
              </w:rPr>
            </w:pPr>
            <w:r w:rsidRPr="00D26657">
              <w:rPr>
                <w:rFonts w:eastAsia="Arial"/>
                <w:color w:val="000000"/>
                <w:sz w:val="18"/>
                <w:szCs w:val="18"/>
              </w:rPr>
              <w:t>1,82,533</w:t>
            </w:r>
          </w:p>
        </w:tc>
        <w:tc>
          <w:tcPr>
            <w:tcW w:w="1154" w:type="pct"/>
            <w:tcBorders>
              <w:top w:val="single" w:sz="4" w:space="0" w:color="000000"/>
              <w:left w:val="single" w:sz="4" w:space="0" w:color="000000"/>
              <w:bottom w:val="single" w:sz="4" w:space="0" w:color="000000"/>
              <w:right w:val="single" w:sz="4" w:space="0" w:color="000000"/>
            </w:tcBorders>
            <w:shd w:val="clear" w:color="auto" w:fill="C9D8E1"/>
          </w:tcPr>
          <w:p w14:paraId="46C7D28E" w14:textId="49FD7652"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1,271</w:t>
            </w:r>
          </w:p>
        </w:tc>
        <w:tc>
          <w:tcPr>
            <w:tcW w:w="1151" w:type="pct"/>
            <w:tcBorders>
              <w:top w:val="single" w:sz="4" w:space="0" w:color="000000"/>
              <w:left w:val="single" w:sz="4" w:space="0" w:color="000000"/>
              <w:bottom w:val="single" w:sz="4" w:space="0" w:color="000000"/>
              <w:right w:val="single" w:sz="4" w:space="0" w:color="000000"/>
            </w:tcBorders>
            <w:shd w:val="clear" w:color="auto" w:fill="C9D8E1"/>
          </w:tcPr>
          <w:p w14:paraId="7AE573F7" w14:textId="1BB11051"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0.7</w:t>
            </w:r>
          </w:p>
        </w:tc>
      </w:tr>
      <w:tr w:rsidR="008B481B" w:rsidRPr="00644B04" w14:paraId="6383ECF3" w14:textId="176833D9" w:rsidTr="008B481B">
        <w:trPr>
          <w:cnfStyle w:val="000000100000" w:firstRow="0" w:lastRow="0" w:firstColumn="0" w:lastColumn="0" w:oddVBand="0" w:evenVBand="0" w:oddHBand="1" w:evenHBand="0" w:firstRowFirstColumn="0" w:firstRowLastColumn="0" w:lastRowFirstColumn="0" w:lastRowLastColumn="0"/>
          <w:trHeight w:val="351"/>
        </w:trPr>
        <w:tc>
          <w:tcPr>
            <w:tcW w:w="612" w:type="pct"/>
            <w:tcBorders>
              <w:top w:val="single" w:sz="4" w:space="0" w:color="000000"/>
              <w:left w:val="single" w:sz="4" w:space="0" w:color="000000"/>
              <w:bottom w:val="single" w:sz="4" w:space="0" w:color="000000"/>
              <w:right w:val="single" w:sz="4" w:space="0" w:color="000000"/>
            </w:tcBorders>
            <w:shd w:val="clear" w:color="auto" w:fill="auto"/>
          </w:tcPr>
          <w:p w14:paraId="13A4A653" w14:textId="0C0AC3DC" w:rsidR="008B481B" w:rsidRPr="00D26657" w:rsidRDefault="008B481B" w:rsidP="00662938">
            <w:pPr>
              <w:spacing w:line="240" w:lineRule="auto"/>
              <w:ind w:left="-120" w:right="-75"/>
              <w:jc w:val="center"/>
              <w:rPr>
                <w:rFonts w:eastAsia="Arial"/>
                <w:color w:val="000000"/>
                <w:sz w:val="18"/>
                <w:szCs w:val="18"/>
              </w:rPr>
            </w:pPr>
            <w:r w:rsidRPr="00D26657">
              <w:rPr>
                <w:rFonts w:eastAsia="Arial"/>
                <w:color w:val="000000"/>
                <w:sz w:val="18"/>
                <w:szCs w:val="18"/>
              </w:rPr>
              <w:t>2021</w:t>
            </w:r>
          </w:p>
        </w:tc>
        <w:tc>
          <w:tcPr>
            <w:tcW w:w="929" w:type="pct"/>
            <w:tcBorders>
              <w:top w:val="single" w:sz="4" w:space="0" w:color="000000"/>
              <w:left w:val="single" w:sz="4" w:space="0" w:color="000000"/>
              <w:bottom w:val="single" w:sz="4" w:space="0" w:color="000000"/>
              <w:right w:val="single" w:sz="4" w:space="0" w:color="000000"/>
            </w:tcBorders>
            <w:shd w:val="clear" w:color="auto" w:fill="auto"/>
          </w:tcPr>
          <w:p w14:paraId="2E8D6843" w14:textId="23462E56" w:rsidR="008B481B" w:rsidRPr="00D26657" w:rsidRDefault="008B481B" w:rsidP="00662938">
            <w:pPr>
              <w:spacing w:line="240" w:lineRule="auto"/>
              <w:ind w:left="-134" w:right="-105"/>
              <w:jc w:val="center"/>
              <w:rPr>
                <w:rFonts w:eastAsia="Arial"/>
                <w:color w:val="000000"/>
                <w:sz w:val="18"/>
                <w:szCs w:val="18"/>
              </w:rPr>
            </w:pPr>
            <w:r w:rsidRPr="00D26657">
              <w:rPr>
                <w:rFonts w:eastAsia="Arial"/>
                <w:color w:val="000000"/>
                <w:sz w:val="18"/>
                <w:szCs w:val="18"/>
              </w:rPr>
              <w:t>1,90,198</w:t>
            </w:r>
          </w:p>
        </w:tc>
        <w:tc>
          <w:tcPr>
            <w:tcW w:w="1154" w:type="pct"/>
            <w:tcBorders>
              <w:top w:val="single" w:sz="4" w:space="0" w:color="000000"/>
              <w:left w:val="single" w:sz="4" w:space="0" w:color="000000"/>
              <w:bottom w:val="single" w:sz="4" w:space="0" w:color="000000"/>
              <w:right w:val="single" w:sz="4" w:space="0" w:color="000000"/>
            </w:tcBorders>
            <w:shd w:val="clear" w:color="auto" w:fill="auto"/>
          </w:tcPr>
          <w:p w14:paraId="01E5AF54" w14:textId="15436F73" w:rsidR="008B481B" w:rsidRPr="00D26657" w:rsidRDefault="008B481B" w:rsidP="00662938">
            <w:pPr>
              <w:spacing w:line="240" w:lineRule="auto"/>
              <w:ind w:right="-15"/>
              <w:jc w:val="center"/>
              <w:rPr>
                <w:rFonts w:eastAsia="Arial"/>
                <w:color w:val="000000"/>
                <w:sz w:val="18"/>
                <w:szCs w:val="18"/>
              </w:rPr>
            </w:pPr>
            <w:r w:rsidRPr="00D26657">
              <w:rPr>
                <w:rFonts w:eastAsia="Arial"/>
                <w:color w:val="000000"/>
                <w:sz w:val="18"/>
                <w:szCs w:val="18"/>
              </w:rPr>
              <w:t>1,89,395</w:t>
            </w:r>
          </w:p>
        </w:tc>
        <w:tc>
          <w:tcPr>
            <w:tcW w:w="1154" w:type="pct"/>
            <w:tcBorders>
              <w:top w:val="single" w:sz="4" w:space="0" w:color="000000"/>
              <w:left w:val="single" w:sz="4" w:space="0" w:color="000000"/>
              <w:bottom w:val="single" w:sz="4" w:space="0" w:color="000000"/>
              <w:right w:val="single" w:sz="4" w:space="0" w:color="000000"/>
            </w:tcBorders>
            <w:shd w:val="clear" w:color="auto" w:fill="auto"/>
          </w:tcPr>
          <w:p w14:paraId="1399C5C1" w14:textId="57173AE9"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802</w:t>
            </w:r>
          </w:p>
        </w:tc>
        <w:tc>
          <w:tcPr>
            <w:tcW w:w="1151" w:type="pct"/>
            <w:tcBorders>
              <w:top w:val="single" w:sz="4" w:space="0" w:color="000000"/>
              <w:left w:val="single" w:sz="4" w:space="0" w:color="000000"/>
              <w:bottom w:val="single" w:sz="4" w:space="0" w:color="000000"/>
              <w:right w:val="single" w:sz="4" w:space="0" w:color="000000"/>
            </w:tcBorders>
            <w:shd w:val="clear" w:color="auto" w:fill="auto"/>
          </w:tcPr>
          <w:p w14:paraId="0D444041" w14:textId="37578357" w:rsidR="008B481B" w:rsidRPr="00D26657" w:rsidRDefault="008B481B" w:rsidP="00662938">
            <w:pPr>
              <w:tabs>
                <w:tab w:val="center" w:pos="887"/>
                <w:tab w:val="right" w:pos="1774"/>
              </w:tabs>
              <w:spacing w:line="240" w:lineRule="auto"/>
              <w:ind w:left="-119" w:right="-15" w:firstLine="119"/>
              <w:jc w:val="center"/>
              <w:rPr>
                <w:rFonts w:eastAsia="Arial"/>
                <w:color w:val="000000"/>
                <w:sz w:val="18"/>
                <w:szCs w:val="18"/>
              </w:rPr>
            </w:pPr>
            <w:r w:rsidRPr="00D26657">
              <w:rPr>
                <w:rFonts w:eastAsia="Arial"/>
                <w:color w:val="000000"/>
                <w:sz w:val="18"/>
                <w:szCs w:val="18"/>
              </w:rPr>
              <w:t>0.4</w:t>
            </w:r>
          </w:p>
        </w:tc>
      </w:tr>
      <w:tr w:rsidR="008B481B" w:rsidRPr="00644B04" w14:paraId="1DEA1A19" w14:textId="303AA0EE" w:rsidTr="008B481B">
        <w:trPr>
          <w:trHeight w:val="351"/>
        </w:trPr>
        <w:tc>
          <w:tcPr>
            <w:tcW w:w="612" w:type="pct"/>
            <w:tcBorders>
              <w:top w:val="single" w:sz="4" w:space="0" w:color="000000"/>
              <w:left w:val="single" w:sz="4" w:space="0" w:color="000000"/>
              <w:bottom w:val="single" w:sz="4" w:space="0" w:color="000000"/>
              <w:right w:val="single" w:sz="4" w:space="0" w:color="000000"/>
            </w:tcBorders>
            <w:shd w:val="clear" w:color="auto" w:fill="C9D8E1"/>
          </w:tcPr>
          <w:p w14:paraId="57261266" w14:textId="19C09B00" w:rsidR="008B481B" w:rsidRPr="00D26657" w:rsidRDefault="008B481B" w:rsidP="00662938">
            <w:pPr>
              <w:spacing w:line="240" w:lineRule="auto"/>
              <w:ind w:left="-120" w:right="-75"/>
              <w:jc w:val="center"/>
              <w:rPr>
                <w:rFonts w:eastAsia="Arial"/>
                <w:color w:val="000000"/>
                <w:sz w:val="18"/>
                <w:szCs w:val="18"/>
              </w:rPr>
            </w:pPr>
            <w:r w:rsidRPr="00D26657">
              <w:rPr>
                <w:rFonts w:eastAsia="Arial"/>
                <w:color w:val="000000"/>
                <w:sz w:val="18"/>
                <w:szCs w:val="18"/>
              </w:rPr>
              <w:t>2022</w:t>
            </w:r>
          </w:p>
        </w:tc>
        <w:tc>
          <w:tcPr>
            <w:tcW w:w="929" w:type="pct"/>
            <w:tcBorders>
              <w:top w:val="single" w:sz="4" w:space="0" w:color="000000"/>
              <w:left w:val="single" w:sz="4" w:space="0" w:color="000000"/>
              <w:bottom w:val="single" w:sz="4" w:space="0" w:color="000000"/>
              <w:right w:val="single" w:sz="4" w:space="0" w:color="000000"/>
            </w:tcBorders>
            <w:shd w:val="clear" w:color="auto" w:fill="C9D8E1"/>
          </w:tcPr>
          <w:p w14:paraId="6A9CC804" w14:textId="64946A59" w:rsidR="008B481B" w:rsidRPr="00D26657" w:rsidRDefault="008B481B" w:rsidP="00662938">
            <w:pPr>
              <w:spacing w:line="240" w:lineRule="auto"/>
              <w:ind w:left="-134" w:right="-105"/>
              <w:jc w:val="center"/>
              <w:rPr>
                <w:rFonts w:eastAsia="Arial"/>
                <w:color w:val="000000"/>
                <w:sz w:val="18"/>
                <w:szCs w:val="18"/>
              </w:rPr>
            </w:pPr>
            <w:r w:rsidRPr="00D26657">
              <w:rPr>
                <w:rFonts w:eastAsia="Arial"/>
                <w:color w:val="000000"/>
                <w:sz w:val="18"/>
                <w:szCs w:val="18"/>
              </w:rPr>
              <w:t>2,03,014</w:t>
            </w:r>
          </w:p>
        </w:tc>
        <w:tc>
          <w:tcPr>
            <w:tcW w:w="1154" w:type="pct"/>
            <w:tcBorders>
              <w:top w:val="single" w:sz="4" w:space="0" w:color="000000"/>
              <w:left w:val="single" w:sz="4" w:space="0" w:color="000000"/>
              <w:bottom w:val="single" w:sz="4" w:space="0" w:color="000000"/>
              <w:right w:val="single" w:sz="4" w:space="0" w:color="000000"/>
            </w:tcBorders>
            <w:shd w:val="clear" w:color="auto" w:fill="C9D8E1"/>
          </w:tcPr>
          <w:p w14:paraId="1BB2300D" w14:textId="79CA7945" w:rsidR="008B481B" w:rsidRPr="00D26657" w:rsidRDefault="008B481B" w:rsidP="00662938">
            <w:pPr>
              <w:spacing w:line="240" w:lineRule="auto"/>
              <w:ind w:right="-15"/>
              <w:jc w:val="center"/>
              <w:rPr>
                <w:rFonts w:eastAsia="Arial"/>
                <w:color w:val="000000"/>
                <w:sz w:val="18"/>
                <w:szCs w:val="18"/>
              </w:rPr>
            </w:pPr>
            <w:r w:rsidRPr="00D26657">
              <w:rPr>
                <w:rFonts w:eastAsia="Arial"/>
                <w:color w:val="000000"/>
                <w:sz w:val="18"/>
                <w:szCs w:val="18"/>
              </w:rPr>
              <w:t>2,00,539</w:t>
            </w:r>
          </w:p>
        </w:tc>
        <w:tc>
          <w:tcPr>
            <w:tcW w:w="1154" w:type="pct"/>
            <w:tcBorders>
              <w:top w:val="single" w:sz="4" w:space="0" w:color="000000"/>
              <w:left w:val="single" w:sz="4" w:space="0" w:color="000000"/>
              <w:bottom w:val="single" w:sz="4" w:space="0" w:color="000000"/>
              <w:right w:val="single" w:sz="4" w:space="0" w:color="000000"/>
            </w:tcBorders>
            <w:shd w:val="clear" w:color="auto" w:fill="C9D8E1"/>
          </w:tcPr>
          <w:p w14:paraId="543C8F18" w14:textId="679B4F1D"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2,475</w:t>
            </w:r>
          </w:p>
        </w:tc>
        <w:tc>
          <w:tcPr>
            <w:tcW w:w="1151" w:type="pct"/>
            <w:tcBorders>
              <w:top w:val="single" w:sz="4" w:space="0" w:color="000000"/>
              <w:left w:val="single" w:sz="4" w:space="0" w:color="000000"/>
              <w:bottom w:val="single" w:sz="4" w:space="0" w:color="000000"/>
              <w:right w:val="single" w:sz="4" w:space="0" w:color="000000"/>
            </w:tcBorders>
            <w:shd w:val="clear" w:color="auto" w:fill="C9D8E1"/>
          </w:tcPr>
          <w:p w14:paraId="324A743F" w14:textId="4C36FFE6"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1.2</w:t>
            </w:r>
          </w:p>
        </w:tc>
      </w:tr>
      <w:tr w:rsidR="008B481B" w:rsidRPr="00644B04" w14:paraId="3BEAB286" w14:textId="60435735" w:rsidTr="008B481B">
        <w:trPr>
          <w:cnfStyle w:val="000000100000" w:firstRow="0" w:lastRow="0" w:firstColumn="0" w:lastColumn="0" w:oddVBand="0" w:evenVBand="0" w:oddHBand="1" w:evenHBand="0" w:firstRowFirstColumn="0" w:firstRowLastColumn="0" w:lastRowFirstColumn="0" w:lastRowLastColumn="0"/>
          <w:trHeight w:val="351"/>
        </w:trPr>
        <w:tc>
          <w:tcPr>
            <w:tcW w:w="612" w:type="pct"/>
            <w:tcBorders>
              <w:top w:val="single" w:sz="4" w:space="0" w:color="000000"/>
              <w:left w:val="single" w:sz="4" w:space="0" w:color="000000"/>
              <w:bottom w:val="single" w:sz="4" w:space="0" w:color="000000"/>
              <w:right w:val="single" w:sz="4" w:space="0" w:color="000000"/>
            </w:tcBorders>
            <w:shd w:val="clear" w:color="auto" w:fill="auto"/>
          </w:tcPr>
          <w:p w14:paraId="38F7ED7A" w14:textId="3444F28B" w:rsidR="008B481B" w:rsidRPr="00D26657" w:rsidRDefault="008B481B" w:rsidP="00662938">
            <w:pPr>
              <w:spacing w:line="240" w:lineRule="auto"/>
              <w:ind w:left="-120" w:right="-75"/>
              <w:jc w:val="center"/>
              <w:rPr>
                <w:rFonts w:eastAsia="Arial"/>
                <w:color w:val="000000"/>
                <w:sz w:val="18"/>
                <w:szCs w:val="18"/>
              </w:rPr>
            </w:pPr>
            <w:r w:rsidRPr="00D26657">
              <w:rPr>
                <w:rFonts w:eastAsia="Arial"/>
                <w:color w:val="000000"/>
                <w:sz w:val="18"/>
                <w:szCs w:val="18"/>
              </w:rPr>
              <w:t>2023</w:t>
            </w:r>
          </w:p>
        </w:tc>
        <w:tc>
          <w:tcPr>
            <w:tcW w:w="929" w:type="pct"/>
            <w:tcBorders>
              <w:top w:val="single" w:sz="4" w:space="0" w:color="000000"/>
              <w:left w:val="single" w:sz="4" w:space="0" w:color="000000"/>
              <w:bottom w:val="single" w:sz="4" w:space="0" w:color="000000"/>
              <w:right w:val="single" w:sz="4" w:space="0" w:color="000000"/>
            </w:tcBorders>
            <w:shd w:val="clear" w:color="auto" w:fill="auto"/>
          </w:tcPr>
          <w:p w14:paraId="1A5E243C" w14:textId="75DBE291" w:rsidR="008B481B" w:rsidRPr="00D26657" w:rsidRDefault="008B481B" w:rsidP="00662938">
            <w:pPr>
              <w:spacing w:line="240" w:lineRule="auto"/>
              <w:ind w:left="-134" w:right="-105"/>
              <w:jc w:val="center"/>
              <w:rPr>
                <w:rFonts w:eastAsia="Arial"/>
                <w:color w:val="000000"/>
                <w:sz w:val="18"/>
                <w:szCs w:val="18"/>
              </w:rPr>
            </w:pPr>
            <w:r w:rsidRPr="00D26657">
              <w:rPr>
                <w:rFonts w:eastAsia="Arial"/>
                <w:color w:val="000000"/>
                <w:sz w:val="18"/>
                <w:szCs w:val="18"/>
              </w:rPr>
              <w:t>2,15,888</w:t>
            </w:r>
          </w:p>
        </w:tc>
        <w:tc>
          <w:tcPr>
            <w:tcW w:w="1154" w:type="pct"/>
            <w:tcBorders>
              <w:top w:val="single" w:sz="4" w:space="0" w:color="000000"/>
              <w:left w:val="single" w:sz="4" w:space="0" w:color="000000"/>
              <w:bottom w:val="single" w:sz="4" w:space="0" w:color="000000"/>
              <w:right w:val="single" w:sz="4" w:space="0" w:color="000000"/>
            </w:tcBorders>
            <w:shd w:val="clear" w:color="auto" w:fill="auto"/>
          </w:tcPr>
          <w:p w14:paraId="28A0CD24" w14:textId="186B7594" w:rsidR="008B481B" w:rsidRPr="00D26657" w:rsidRDefault="008B481B" w:rsidP="00662938">
            <w:pPr>
              <w:spacing w:line="240" w:lineRule="auto"/>
              <w:ind w:right="-15"/>
              <w:jc w:val="center"/>
              <w:rPr>
                <w:rFonts w:eastAsia="Arial"/>
                <w:color w:val="000000"/>
                <w:sz w:val="18"/>
                <w:szCs w:val="18"/>
              </w:rPr>
            </w:pPr>
            <w:r w:rsidRPr="00D26657">
              <w:rPr>
                <w:rFonts w:eastAsia="Arial"/>
                <w:color w:val="000000"/>
                <w:sz w:val="18"/>
                <w:szCs w:val="18"/>
              </w:rPr>
              <w:t>2,07,231</w:t>
            </w:r>
          </w:p>
        </w:tc>
        <w:tc>
          <w:tcPr>
            <w:tcW w:w="1154" w:type="pct"/>
            <w:tcBorders>
              <w:top w:val="single" w:sz="4" w:space="0" w:color="000000"/>
              <w:left w:val="single" w:sz="4" w:space="0" w:color="000000"/>
              <w:bottom w:val="single" w:sz="4" w:space="0" w:color="000000"/>
              <w:right w:val="single" w:sz="4" w:space="0" w:color="000000"/>
            </w:tcBorders>
            <w:shd w:val="clear" w:color="auto" w:fill="auto"/>
          </w:tcPr>
          <w:p w14:paraId="127585A4" w14:textId="6D8A744C"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8,657</w:t>
            </w:r>
          </w:p>
        </w:tc>
        <w:tc>
          <w:tcPr>
            <w:tcW w:w="1151" w:type="pct"/>
            <w:tcBorders>
              <w:top w:val="single" w:sz="4" w:space="0" w:color="000000"/>
              <w:left w:val="single" w:sz="4" w:space="0" w:color="000000"/>
              <w:bottom w:val="single" w:sz="4" w:space="0" w:color="000000"/>
              <w:right w:val="single" w:sz="4" w:space="0" w:color="000000"/>
            </w:tcBorders>
            <w:shd w:val="clear" w:color="auto" w:fill="auto"/>
          </w:tcPr>
          <w:p w14:paraId="4194A1F2" w14:textId="739C7706"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4.0</w:t>
            </w:r>
          </w:p>
        </w:tc>
      </w:tr>
      <w:tr w:rsidR="008B481B" w:rsidRPr="00644B04" w14:paraId="18976FFD" w14:textId="63C27EB6" w:rsidTr="008B481B">
        <w:trPr>
          <w:trHeight w:val="351"/>
        </w:trPr>
        <w:tc>
          <w:tcPr>
            <w:tcW w:w="612" w:type="pct"/>
            <w:tcBorders>
              <w:top w:val="single" w:sz="4" w:space="0" w:color="000000"/>
              <w:left w:val="single" w:sz="4" w:space="0" w:color="000000"/>
              <w:bottom w:val="single" w:sz="4" w:space="0" w:color="000000"/>
              <w:right w:val="single" w:sz="4" w:space="0" w:color="000000"/>
            </w:tcBorders>
            <w:shd w:val="clear" w:color="auto" w:fill="C9D8E1"/>
          </w:tcPr>
          <w:p w14:paraId="35CF8D5B" w14:textId="1295F7A0" w:rsidR="008B481B" w:rsidRPr="00D26657" w:rsidRDefault="008B481B" w:rsidP="00662938">
            <w:pPr>
              <w:spacing w:line="240" w:lineRule="auto"/>
              <w:ind w:left="-120" w:right="-75"/>
              <w:jc w:val="center"/>
              <w:rPr>
                <w:rFonts w:eastAsia="Arial"/>
                <w:color w:val="000000"/>
                <w:sz w:val="18"/>
                <w:szCs w:val="18"/>
              </w:rPr>
            </w:pPr>
            <w:r w:rsidRPr="00D26657">
              <w:rPr>
                <w:rFonts w:eastAsia="Arial"/>
                <w:color w:val="000000"/>
                <w:sz w:val="18"/>
                <w:szCs w:val="18"/>
              </w:rPr>
              <w:t>2024</w:t>
            </w:r>
          </w:p>
        </w:tc>
        <w:tc>
          <w:tcPr>
            <w:tcW w:w="929" w:type="pct"/>
            <w:tcBorders>
              <w:top w:val="single" w:sz="4" w:space="0" w:color="000000"/>
              <w:left w:val="single" w:sz="4" w:space="0" w:color="000000"/>
              <w:bottom w:val="single" w:sz="4" w:space="0" w:color="000000"/>
              <w:right w:val="single" w:sz="4" w:space="0" w:color="000000"/>
            </w:tcBorders>
            <w:shd w:val="clear" w:color="auto" w:fill="C9D8E1"/>
          </w:tcPr>
          <w:p w14:paraId="766EAB41" w14:textId="049A26F4" w:rsidR="008B481B" w:rsidRPr="00D26657" w:rsidRDefault="008B481B" w:rsidP="00662938">
            <w:pPr>
              <w:spacing w:line="240" w:lineRule="auto"/>
              <w:ind w:left="-134" w:right="-105"/>
              <w:jc w:val="center"/>
              <w:rPr>
                <w:rFonts w:eastAsia="Arial"/>
                <w:color w:val="000000"/>
                <w:sz w:val="18"/>
                <w:szCs w:val="18"/>
              </w:rPr>
            </w:pPr>
            <w:r w:rsidRPr="00D26657">
              <w:rPr>
                <w:rFonts w:eastAsia="Arial"/>
                <w:color w:val="000000"/>
                <w:sz w:val="18"/>
                <w:szCs w:val="18"/>
              </w:rPr>
              <w:t>2,40,174</w:t>
            </w:r>
          </w:p>
        </w:tc>
        <w:tc>
          <w:tcPr>
            <w:tcW w:w="1154" w:type="pct"/>
            <w:tcBorders>
              <w:top w:val="single" w:sz="4" w:space="0" w:color="000000"/>
              <w:left w:val="single" w:sz="4" w:space="0" w:color="000000"/>
              <w:bottom w:val="single" w:sz="4" w:space="0" w:color="000000"/>
              <w:right w:val="single" w:sz="4" w:space="0" w:color="000000"/>
            </w:tcBorders>
            <w:shd w:val="clear" w:color="auto" w:fill="C9D8E1"/>
          </w:tcPr>
          <w:p w14:paraId="0EACDC98" w14:textId="1064433D" w:rsidR="008B481B" w:rsidRPr="00D26657" w:rsidRDefault="008B481B" w:rsidP="00662938">
            <w:pPr>
              <w:spacing w:line="240" w:lineRule="auto"/>
              <w:ind w:right="-15"/>
              <w:jc w:val="center"/>
              <w:rPr>
                <w:rFonts w:eastAsia="Arial"/>
                <w:color w:val="000000"/>
                <w:sz w:val="18"/>
                <w:szCs w:val="18"/>
              </w:rPr>
            </w:pPr>
            <w:r w:rsidRPr="00D26657">
              <w:rPr>
                <w:rFonts w:eastAsia="Arial"/>
                <w:color w:val="000000"/>
                <w:sz w:val="18"/>
                <w:szCs w:val="18"/>
              </w:rPr>
              <w:t>2,39,978</w:t>
            </w:r>
          </w:p>
        </w:tc>
        <w:tc>
          <w:tcPr>
            <w:tcW w:w="1154" w:type="pct"/>
            <w:tcBorders>
              <w:top w:val="single" w:sz="4" w:space="0" w:color="000000"/>
              <w:left w:val="single" w:sz="4" w:space="0" w:color="000000"/>
              <w:bottom w:val="single" w:sz="4" w:space="0" w:color="000000"/>
              <w:right w:val="single" w:sz="4" w:space="0" w:color="000000"/>
            </w:tcBorders>
            <w:shd w:val="clear" w:color="auto" w:fill="C9D8E1"/>
          </w:tcPr>
          <w:p w14:paraId="378400B5" w14:textId="717435C0"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196</w:t>
            </w:r>
          </w:p>
        </w:tc>
        <w:tc>
          <w:tcPr>
            <w:tcW w:w="1151" w:type="pct"/>
            <w:tcBorders>
              <w:top w:val="single" w:sz="4" w:space="0" w:color="000000"/>
              <w:left w:val="single" w:sz="4" w:space="0" w:color="000000"/>
              <w:bottom w:val="single" w:sz="4" w:space="0" w:color="000000"/>
              <w:right w:val="single" w:sz="4" w:space="0" w:color="000000"/>
            </w:tcBorders>
            <w:shd w:val="clear" w:color="auto" w:fill="C9D8E1"/>
          </w:tcPr>
          <w:p w14:paraId="5E1BEB81" w14:textId="123F089B" w:rsidR="008B481B" w:rsidRPr="00D26657" w:rsidRDefault="008B481B" w:rsidP="00662938">
            <w:pPr>
              <w:spacing w:line="240" w:lineRule="auto"/>
              <w:ind w:left="-119" w:right="-15" w:firstLine="119"/>
              <w:jc w:val="center"/>
              <w:rPr>
                <w:rFonts w:eastAsia="Arial"/>
                <w:color w:val="000000"/>
                <w:sz w:val="18"/>
                <w:szCs w:val="18"/>
              </w:rPr>
            </w:pPr>
            <w:r w:rsidRPr="00D26657">
              <w:rPr>
                <w:rFonts w:eastAsia="Arial"/>
                <w:color w:val="000000"/>
                <w:sz w:val="18"/>
                <w:szCs w:val="18"/>
              </w:rPr>
              <w:t>0.1</w:t>
            </w:r>
          </w:p>
        </w:tc>
      </w:tr>
    </w:tbl>
    <w:p w14:paraId="57B3242F" w14:textId="4F50E4D5" w:rsidR="00BE7F56" w:rsidRPr="00235B28" w:rsidRDefault="008B481B" w:rsidP="00662938">
      <w:pPr>
        <w:tabs>
          <w:tab w:val="center" w:pos="4680"/>
          <w:tab w:val="right" w:pos="9720"/>
        </w:tabs>
        <w:spacing w:before="0" w:after="120" w:line="240" w:lineRule="auto"/>
        <w:ind w:right="432"/>
        <w:rPr>
          <w:rFonts w:eastAsia="Times New Roman"/>
          <w:i/>
          <w:sz w:val="16"/>
          <w:szCs w:val="15"/>
        </w:rPr>
      </w:pPr>
      <w:r>
        <w:rPr>
          <w:rFonts w:eastAsia="Times New Roman"/>
          <w:i/>
          <w:sz w:val="16"/>
          <w:szCs w:val="15"/>
        </w:rPr>
        <w:t>Source: Central Electricity Authority- Executive summary of various months</w:t>
      </w:r>
    </w:p>
    <w:p w14:paraId="4441FDE3" w14:textId="120186D2" w:rsidR="00C7511A" w:rsidRPr="00740FCA" w:rsidRDefault="00C7511A" w:rsidP="00C7511A">
      <w:pPr>
        <w:pStyle w:val="Heading2"/>
      </w:pPr>
      <w:bookmarkStart w:id="276" w:name="_Toc198730360"/>
      <w:r w:rsidRPr="00740FCA">
        <w:t xml:space="preserve">Outlook </w:t>
      </w:r>
      <w:bookmarkEnd w:id="270"/>
      <w:r w:rsidRPr="00740FCA">
        <w:t>on Carbon Emission</w:t>
      </w:r>
      <w:bookmarkEnd w:id="271"/>
      <w:bookmarkEnd w:id="272"/>
      <w:bookmarkEnd w:id="273"/>
      <w:r w:rsidRPr="00740FCA">
        <w:t xml:space="preserve"> </w:t>
      </w:r>
      <w:r w:rsidR="007C16FE" w:rsidRPr="00740FCA">
        <w:t>Reduction</w:t>
      </w:r>
      <w:bookmarkEnd w:id="276"/>
    </w:p>
    <w:p w14:paraId="32B5CF3F" w14:textId="3E195551" w:rsidR="00C7511A" w:rsidRPr="00621BC1" w:rsidRDefault="00C7511A" w:rsidP="00C7511A">
      <w:pPr>
        <w:ind w:right="115"/>
        <w:rPr>
          <w:szCs w:val="20"/>
        </w:rPr>
      </w:pPr>
      <w:r w:rsidRPr="00621BC1">
        <w:rPr>
          <w:szCs w:val="20"/>
        </w:rPr>
        <w:t>As the world transitions towards a low-carbon economy, India's mining industry is poised to undergo a significant metamorphosis</w:t>
      </w:r>
      <w:r>
        <w:rPr>
          <w:szCs w:val="20"/>
        </w:rPr>
        <w:t xml:space="preserve"> </w:t>
      </w:r>
      <w:r w:rsidRPr="00621BC1">
        <w:rPr>
          <w:szCs w:val="20"/>
        </w:rPr>
        <w:t>driven by the country's ambitious climate goals, mounting global pressure to adopt sustainable practices and the economic imperative to optimize energy consumption. The Indian government</w:t>
      </w:r>
      <w:r w:rsidR="00734C29">
        <w:rPr>
          <w:szCs w:val="20"/>
        </w:rPr>
        <w:t xml:space="preserve"> is</w:t>
      </w:r>
      <w:r w:rsidRPr="00621BC1">
        <w:rPr>
          <w:szCs w:val="20"/>
        </w:rPr>
        <w:t xml:space="preserve"> commit</w:t>
      </w:r>
      <w:r w:rsidR="00DE0181">
        <w:rPr>
          <w:szCs w:val="20"/>
        </w:rPr>
        <w:t>ted</w:t>
      </w:r>
      <w:r w:rsidRPr="00621BC1">
        <w:rPr>
          <w:szCs w:val="20"/>
        </w:rPr>
        <w:t xml:space="preserve"> to attain carbon neutrality by 2070</w:t>
      </w:r>
      <w:r>
        <w:rPr>
          <w:szCs w:val="20"/>
        </w:rPr>
        <w:t xml:space="preserve">. </w:t>
      </w:r>
    </w:p>
    <w:p w14:paraId="03DC7F4E" w14:textId="71D3F853" w:rsidR="00C7511A" w:rsidRPr="00740FCA" w:rsidRDefault="00C7511A" w:rsidP="000048AE">
      <w:pPr>
        <w:pStyle w:val="Heading30"/>
        <w:ind w:hanging="862"/>
      </w:pPr>
      <w:r w:rsidRPr="00740FCA">
        <w:t>India’s Sustainability Targets</w:t>
      </w:r>
      <w:r w:rsidRPr="00740FCA">
        <w:rPr>
          <w:noProof/>
          <w:sz w:val="21"/>
        </w:rPr>
        <w:t xml:space="preserve"> </w:t>
      </w:r>
    </w:p>
    <w:p w14:paraId="2252459E" w14:textId="11D62287" w:rsidR="00C7511A" w:rsidRPr="00127D79" w:rsidRDefault="00641886" w:rsidP="00127D79">
      <w:pPr>
        <w:pStyle w:val="Caption1"/>
        <w:rPr>
          <w:lang w:eastAsia="en-IN"/>
        </w:rPr>
      </w:pPr>
      <w:bookmarkStart w:id="277" w:name="_Toc192073659"/>
      <w:bookmarkStart w:id="278" w:name="_Toc192153685"/>
      <w:bookmarkStart w:id="279" w:name="_Toc192195351"/>
      <w:bookmarkStart w:id="280" w:name="_Toc198731496"/>
      <w:r>
        <w:rPr>
          <w:lang w:eastAsia="en-IN"/>
        </w:rPr>
        <w:drawing>
          <wp:anchor distT="0" distB="0" distL="114300" distR="114300" simplePos="0" relativeHeight="251658249" behindDoc="0" locked="0" layoutInCell="1" allowOverlap="1" wp14:anchorId="18C5E7E3" wp14:editId="5870A36F">
            <wp:simplePos x="0" y="0"/>
            <wp:positionH relativeFrom="margin">
              <wp:align>right</wp:align>
            </wp:positionH>
            <wp:positionV relativeFrom="paragraph">
              <wp:posOffset>301625</wp:posOffset>
            </wp:positionV>
            <wp:extent cx="6766560" cy="2184400"/>
            <wp:effectExtent l="0" t="0" r="0" b="6350"/>
            <wp:wrapTopAndBottom/>
            <wp:docPr id="9391856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560" cy="2184400"/>
                    </a:xfrm>
                    <a:prstGeom prst="rect">
                      <a:avLst/>
                    </a:prstGeom>
                    <a:noFill/>
                  </pic:spPr>
                </pic:pic>
              </a:graphicData>
            </a:graphic>
            <wp14:sizeRelH relativeFrom="margin">
              <wp14:pctWidth>0</wp14:pctWidth>
            </wp14:sizeRelH>
            <wp14:sizeRelV relativeFrom="margin">
              <wp14:pctHeight>0</wp14:pctHeight>
            </wp14:sizeRelV>
          </wp:anchor>
        </w:drawing>
      </w:r>
      <w:r w:rsidR="00C7511A" w:rsidRPr="00740FCA">
        <w:rPr>
          <w:lang w:eastAsia="en-IN"/>
        </w:rPr>
        <w:t xml:space="preserve">Figure </w:t>
      </w:r>
      <w:r w:rsidR="00C7511A" w:rsidRPr="00740FCA">
        <w:rPr>
          <w:lang w:eastAsia="en-IN"/>
        </w:rPr>
        <w:fldChar w:fldCharType="begin"/>
      </w:r>
      <w:r w:rsidR="00C7511A" w:rsidRPr="00740FCA">
        <w:rPr>
          <w:lang w:eastAsia="en-IN"/>
        </w:rPr>
        <w:instrText xml:space="preserve"> STYLEREF 1 \s </w:instrText>
      </w:r>
      <w:r w:rsidR="00C7511A" w:rsidRPr="00740FCA">
        <w:rPr>
          <w:lang w:eastAsia="en-IN"/>
        </w:rPr>
        <w:fldChar w:fldCharType="separate"/>
      </w:r>
      <w:r w:rsidR="002142B9">
        <w:rPr>
          <w:lang w:eastAsia="en-IN"/>
        </w:rPr>
        <w:t>1</w:t>
      </w:r>
      <w:r w:rsidR="00C7511A" w:rsidRPr="00740FCA">
        <w:rPr>
          <w:lang w:eastAsia="en-IN"/>
        </w:rPr>
        <w:fldChar w:fldCharType="end"/>
      </w:r>
      <w:r w:rsidR="00C7511A" w:rsidRPr="00740FCA">
        <w:rPr>
          <w:lang w:eastAsia="en-IN"/>
        </w:rPr>
        <w:t>.</w:t>
      </w:r>
      <w:r w:rsidR="00C7511A" w:rsidRPr="00740FCA">
        <w:rPr>
          <w:lang w:eastAsia="en-IN"/>
        </w:rPr>
        <w:fldChar w:fldCharType="begin"/>
      </w:r>
      <w:r w:rsidR="00C7511A" w:rsidRPr="00740FCA">
        <w:rPr>
          <w:lang w:eastAsia="en-IN"/>
        </w:rPr>
        <w:instrText xml:space="preserve"> SEQ Figure \* ARABIC \s 1 </w:instrText>
      </w:r>
      <w:r w:rsidR="00C7511A" w:rsidRPr="00740FCA">
        <w:rPr>
          <w:lang w:eastAsia="en-IN"/>
        </w:rPr>
        <w:fldChar w:fldCharType="separate"/>
      </w:r>
      <w:r w:rsidR="002142B9">
        <w:rPr>
          <w:lang w:eastAsia="en-IN"/>
        </w:rPr>
        <w:t>13</w:t>
      </w:r>
      <w:r w:rsidR="00C7511A" w:rsidRPr="00740FCA">
        <w:rPr>
          <w:lang w:eastAsia="en-IN"/>
        </w:rPr>
        <w:fldChar w:fldCharType="end"/>
      </w:r>
      <w:r w:rsidR="00C7511A" w:rsidRPr="00740FCA">
        <w:rPr>
          <w:lang w:eastAsia="en-IN"/>
        </w:rPr>
        <w:t>: India’s COP26 Targets</w:t>
      </w:r>
      <w:bookmarkEnd w:id="277"/>
      <w:bookmarkEnd w:id="278"/>
      <w:bookmarkEnd w:id="279"/>
      <w:bookmarkEnd w:id="280"/>
    </w:p>
    <w:p w14:paraId="4945947E" w14:textId="77777777" w:rsidR="00C7511A" w:rsidRPr="00740FCA" w:rsidRDefault="00C7511A" w:rsidP="00C7511A">
      <w:pPr>
        <w:tabs>
          <w:tab w:val="center" w:pos="4680"/>
          <w:tab w:val="right" w:pos="9720"/>
        </w:tabs>
        <w:spacing w:after="120" w:line="240" w:lineRule="auto"/>
        <w:ind w:right="432"/>
        <w:rPr>
          <w:rFonts w:eastAsiaTheme="minorEastAsia"/>
          <w:i/>
          <w:sz w:val="16"/>
          <w:szCs w:val="15"/>
        </w:rPr>
      </w:pPr>
      <w:r w:rsidRPr="00740FCA">
        <w:rPr>
          <w:rFonts w:eastAsiaTheme="minorEastAsia"/>
          <w:i/>
          <w:sz w:val="16"/>
          <w:szCs w:val="15"/>
        </w:rPr>
        <w:t>Source: Crisil Intelligence</w:t>
      </w:r>
    </w:p>
    <w:p w14:paraId="0D5E744D" w14:textId="24813DE4" w:rsidR="00C7511A" w:rsidRPr="00621BC1" w:rsidRDefault="00C7511A" w:rsidP="00C7511A">
      <w:pPr>
        <w:ind w:right="115"/>
        <w:rPr>
          <w:szCs w:val="20"/>
        </w:rPr>
      </w:pPr>
      <w:r w:rsidRPr="00621BC1">
        <w:rPr>
          <w:szCs w:val="20"/>
        </w:rPr>
        <w:t xml:space="preserve">India has been an active participant in global climate action initiatives, significantly contributing to international efforts under the United Nations Framework Convention on Climate Change (UNFCCC). </w:t>
      </w:r>
    </w:p>
    <w:p w14:paraId="44E18FE2" w14:textId="77777777" w:rsidR="00C7511A" w:rsidRPr="00740FCA" w:rsidRDefault="00C7511A" w:rsidP="000048AE">
      <w:pPr>
        <w:pStyle w:val="Heading30"/>
        <w:ind w:hanging="862"/>
      </w:pPr>
      <w:r w:rsidRPr="00740FCA">
        <w:t>Emissions in the Power Sector</w:t>
      </w:r>
    </w:p>
    <w:p w14:paraId="1C59A9E5" w14:textId="7DC51C05" w:rsidR="00C7511A" w:rsidRPr="00621BC1" w:rsidRDefault="00C7511A" w:rsidP="00C7511A">
      <w:pPr>
        <w:ind w:right="115"/>
        <w:rPr>
          <w:szCs w:val="20"/>
        </w:rPr>
      </w:pPr>
      <w:r w:rsidRPr="00621BC1">
        <w:rPr>
          <w:szCs w:val="20"/>
        </w:rPr>
        <w:t>Coal is the largest source of carbon emissions from fossil fuels, accounting for approximately 41% of global CO</w:t>
      </w:r>
      <w:r w:rsidRPr="00621BC1">
        <w:rPr>
          <w:szCs w:val="20"/>
          <w:vertAlign w:val="subscript"/>
        </w:rPr>
        <w:t>2</w:t>
      </w:r>
      <w:r w:rsidRPr="00621BC1">
        <w:rPr>
          <w:szCs w:val="20"/>
        </w:rPr>
        <w:t xml:space="preserve"> emissions</w:t>
      </w:r>
      <w:r w:rsidRPr="00621BC1">
        <w:rPr>
          <w:rStyle w:val="FootnoteReference"/>
          <w:szCs w:val="20"/>
        </w:rPr>
        <w:footnoteReference w:id="20"/>
      </w:r>
      <w:r w:rsidRPr="00621BC1">
        <w:rPr>
          <w:szCs w:val="20"/>
        </w:rPr>
        <w:t>. The countries with the highest carbon emissions from coal in 2023</w:t>
      </w:r>
      <w:r w:rsidR="00C779E1">
        <w:rPr>
          <w:rStyle w:val="FootnoteReference"/>
          <w:szCs w:val="20"/>
        </w:rPr>
        <w:footnoteReference w:id="21"/>
      </w:r>
      <w:r w:rsidRPr="00621BC1">
        <w:rPr>
          <w:szCs w:val="20"/>
        </w:rPr>
        <w:t xml:space="preserve"> are 55.5% China (8,550 million tons CO</w:t>
      </w:r>
      <w:r w:rsidRPr="00621BC1">
        <w:rPr>
          <w:szCs w:val="20"/>
          <w:vertAlign w:val="subscript"/>
        </w:rPr>
        <w:t>2</w:t>
      </w:r>
      <w:r w:rsidRPr="00621BC1">
        <w:rPr>
          <w:szCs w:val="20"/>
        </w:rPr>
        <w:t>), 13.2% India (2,031 million tons CO</w:t>
      </w:r>
      <w:r w:rsidRPr="00621BC1">
        <w:rPr>
          <w:szCs w:val="20"/>
          <w:vertAlign w:val="subscript"/>
        </w:rPr>
        <w:t>2</w:t>
      </w:r>
      <w:r w:rsidRPr="00621BC1">
        <w:rPr>
          <w:szCs w:val="20"/>
        </w:rPr>
        <w:t>), 5.0% United States (776 million tons CO</w:t>
      </w:r>
      <w:r w:rsidRPr="00621BC1">
        <w:rPr>
          <w:szCs w:val="20"/>
          <w:vertAlign w:val="subscript"/>
        </w:rPr>
        <w:t>2</w:t>
      </w:r>
      <w:r w:rsidRPr="00621BC1">
        <w:rPr>
          <w:szCs w:val="20"/>
        </w:rPr>
        <w:t>), 2.8% Russia (428 million tons CO</w:t>
      </w:r>
      <w:r w:rsidRPr="00621BC1">
        <w:rPr>
          <w:szCs w:val="20"/>
          <w:vertAlign w:val="subscript"/>
        </w:rPr>
        <w:t>2</w:t>
      </w:r>
      <w:r w:rsidRPr="00621BC1">
        <w:rPr>
          <w:szCs w:val="20"/>
        </w:rPr>
        <w:t>), and 2.1% South Africa (330 million tons CO</w:t>
      </w:r>
      <w:r w:rsidRPr="00621BC1">
        <w:rPr>
          <w:szCs w:val="20"/>
          <w:vertAlign w:val="subscript"/>
        </w:rPr>
        <w:t>2</w:t>
      </w:r>
      <w:r w:rsidRPr="00621BC1">
        <w:rPr>
          <w:szCs w:val="20"/>
        </w:rPr>
        <w:t>). The carbon emissions from coal in these countries are primarily due to the use of coal for electricity generation, industrial processes, and heating. The emissions from coal are not only a major contributor to climate change but also have significant health impacts, particularly in terms of air pollution.</w:t>
      </w:r>
      <w:r w:rsidR="00935D46">
        <w:rPr>
          <w:szCs w:val="20"/>
        </w:rPr>
        <w:t xml:space="preserve"> </w:t>
      </w:r>
    </w:p>
    <w:p w14:paraId="377FF3F2" w14:textId="095AC882" w:rsidR="00112548" w:rsidRPr="00D26F09" w:rsidRDefault="00C7511A" w:rsidP="00D26F09">
      <w:pPr>
        <w:spacing w:before="160" w:after="120"/>
        <w:ind w:right="112"/>
        <w:rPr>
          <w:szCs w:val="20"/>
        </w:rPr>
      </w:pPr>
      <w:r w:rsidRPr="00621BC1">
        <w:rPr>
          <w:szCs w:val="20"/>
        </w:rPr>
        <w:t xml:space="preserve">India's National Electricity Plan (NEP) outlines a trajectory where absolute carbon dioxide emissions from electricity generation are projected to increase in the coming years reaching to about 1100 MMT in fiscal 2032. This rise is </w:t>
      </w:r>
      <w:r w:rsidRPr="00746D8E">
        <w:rPr>
          <w:szCs w:val="20"/>
        </w:rPr>
        <w:t>attributed to the growing energy demands of the nation. However, a significant reduction in CO</w:t>
      </w:r>
      <w:r w:rsidRPr="00746D8E">
        <w:rPr>
          <w:rFonts w:ascii="Cambria Math" w:hAnsi="Cambria Math" w:cs="Cambria Math"/>
          <w:szCs w:val="20"/>
        </w:rPr>
        <w:t>₂</w:t>
      </w:r>
      <w:r w:rsidRPr="00746D8E">
        <w:rPr>
          <w:szCs w:val="20"/>
        </w:rPr>
        <w:t xml:space="preserve"> emissions per unit of electricity generated is anticipated, reflecting improvements in generation efficiency and a shift towards cleaner energy sources</w:t>
      </w:r>
      <w:r w:rsidR="00A71601" w:rsidRPr="00746D8E">
        <w:rPr>
          <w:szCs w:val="20"/>
        </w:rPr>
        <w:t xml:space="preserve"> owing to t</w:t>
      </w:r>
      <w:r w:rsidR="00165FAE" w:rsidRPr="00746D8E">
        <w:rPr>
          <w:szCs w:val="20"/>
        </w:rPr>
        <w:t xml:space="preserve">he ambitious </w:t>
      </w:r>
      <w:r w:rsidR="00BB0836" w:rsidRPr="00746D8E">
        <w:rPr>
          <w:szCs w:val="20"/>
        </w:rPr>
        <w:t xml:space="preserve">renewable energy goals set by Indian Government </w:t>
      </w:r>
      <w:r w:rsidR="0003603C" w:rsidRPr="00746D8E">
        <w:rPr>
          <w:szCs w:val="20"/>
        </w:rPr>
        <w:t xml:space="preserve">including achieving 50% of the </w:t>
      </w:r>
      <w:r w:rsidR="008210E2" w:rsidRPr="00746D8E">
        <w:rPr>
          <w:szCs w:val="20"/>
        </w:rPr>
        <w:t>nation’s</w:t>
      </w:r>
      <w:r w:rsidR="0003603C" w:rsidRPr="00746D8E">
        <w:rPr>
          <w:szCs w:val="20"/>
        </w:rPr>
        <w:t xml:space="preserve"> </w:t>
      </w:r>
      <w:r w:rsidR="00CB30F4" w:rsidRPr="00746D8E">
        <w:rPr>
          <w:szCs w:val="20"/>
        </w:rPr>
        <w:t xml:space="preserve">cumulative </w:t>
      </w:r>
      <w:r w:rsidR="00754241" w:rsidRPr="00746D8E">
        <w:rPr>
          <w:szCs w:val="20"/>
        </w:rPr>
        <w:t xml:space="preserve">installed </w:t>
      </w:r>
      <w:r w:rsidR="00CB30F4" w:rsidRPr="00746D8E">
        <w:rPr>
          <w:szCs w:val="20"/>
        </w:rPr>
        <w:t>power capacity</w:t>
      </w:r>
      <w:r w:rsidR="0003603C" w:rsidRPr="00746D8E">
        <w:rPr>
          <w:szCs w:val="20"/>
        </w:rPr>
        <w:t xml:space="preserve"> from renewable sources by 2030</w:t>
      </w:r>
      <w:r w:rsidR="00DE6FF8" w:rsidRPr="00746D8E">
        <w:rPr>
          <w:rStyle w:val="FootnoteReference"/>
          <w:szCs w:val="20"/>
        </w:rPr>
        <w:footnoteReference w:id="22"/>
      </w:r>
      <w:r w:rsidR="0003603C" w:rsidRPr="00746D8E">
        <w:rPr>
          <w:szCs w:val="20"/>
        </w:rPr>
        <w:t xml:space="preserve">. </w:t>
      </w:r>
      <w:bookmarkStart w:id="281" w:name="_Toc192073661"/>
      <w:bookmarkStart w:id="282" w:name="_Toc192153687"/>
      <w:bookmarkStart w:id="283" w:name="_Toc192195353"/>
    </w:p>
    <w:p w14:paraId="71EB07FC" w14:textId="77777777" w:rsidR="00C03E46" w:rsidRDefault="00C03E46" w:rsidP="00C7511A">
      <w:pPr>
        <w:pStyle w:val="Caption1"/>
        <w:rPr>
          <w:color w:val="auto"/>
          <w:lang w:eastAsia="en-IN"/>
        </w:rPr>
      </w:pPr>
    </w:p>
    <w:p w14:paraId="5ED38D81" w14:textId="77777777" w:rsidR="00C03E46" w:rsidRDefault="00C03E46" w:rsidP="00C7511A">
      <w:pPr>
        <w:pStyle w:val="Caption1"/>
        <w:rPr>
          <w:color w:val="auto"/>
          <w:lang w:eastAsia="en-IN"/>
        </w:rPr>
      </w:pPr>
    </w:p>
    <w:p w14:paraId="121E7806" w14:textId="77777777" w:rsidR="00C03E46" w:rsidRDefault="00C03E46" w:rsidP="00C7511A">
      <w:pPr>
        <w:pStyle w:val="Caption1"/>
        <w:rPr>
          <w:color w:val="auto"/>
          <w:lang w:eastAsia="en-IN"/>
        </w:rPr>
      </w:pPr>
    </w:p>
    <w:p w14:paraId="019E5219" w14:textId="77777777" w:rsidR="00C03E46" w:rsidRDefault="00C03E46" w:rsidP="00C7511A">
      <w:pPr>
        <w:pStyle w:val="Caption1"/>
        <w:rPr>
          <w:color w:val="auto"/>
          <w:lang w:eastAsia="en-IN"/>
        </w:rPr>
      </w:pPr>
    </w:p>
    <w:p w14:paraId="6B240D49" w14:textId="5D51185C" w:rsidR="00C7511A" w:rsidRPr="00740FCA" w:rsidRDefault="00C7511A" w:rsidP="00C7511A">
      <w:pPr>
        <w:pStyle w:val="Caption1"/>
        <w:rPr>
          <w:lang w:eastAsia="en-IN"/>
        </w:rPr>
      </w:pPr>
      <w:bookmarkStart w:id="284" w:name="_Toc198731497"/>
      <w:r w:rsidRPr="00740FCA">
        <w:rPr>
          <w:color w:val="auto"/>
          <w:lang w:eastAsia="en-IN"/>
        </w:rPr>
        <w:t xml:space="preserve">Figure </w:t>
      </w:r>
      <w:r w:rsidRPr="00740FCA">
        <w:rPr>
          <w:color w:val="auto"/>
          <w:lang w:eastAsia="en-IN"/>
        </w:rPr>
        <w:fldChar w:fldCharType="begin"/>
      </w:r>
      <w:r w:rsidRPr="00740FCA">
        <w:rPr>
          <w:color w:val="auto"/>
          <w:lang w:eastAsia="en-IN"/>
        </w:rPr>
        <w:instrText xml:space="preserve"> STYLEREF 1 \s </w:instrText>
      </w:r>
      <w:r w:rsidRPr="00740FCA">
        <w:rPr>
          <w:color w:val="auto"/>
          <w:lang w:eastAsia="en-IN"/>
        </w:rPr>
        <w:fldChar w:fldCharType="separate"/>
      </w:r>
      <w:r w:rsidR="002142B9">
        <w:rPr>
          <w:color w:val="auto"/>
          <w:lang w:eastAsia="en-IN"/>
        </w:rPr>
        <w:t>1</w:t>
      </w:r>
      <w:r w:rsidRPr="00740FCA">
        <w:rPr>
          <w:color w:val="auto"/>
          <w:lang w:eastAsia="en-IN"/>
        </w:rPr>
        <w:fldChar w:fldCharType="end"/>
      </w:r>
      <w:r w:rsidRPr="00740FCA">
        <w:rPr>
          <w:color w:val="auto"/>
          <w:lang w:eastAsia="en-IN"/>
        </w:rPr>
        <w:t>.</w:t>
      </w:r>
      <w:r w:rsidRPr="00740FCA">
        <w:rPr>
          <w:color w:val="auto"/>
          <w:lang w:eastAsia="en-IN"/>
        </w:rPr>
        <w:fldChar w:fldCharType="begin"/>
      </w:r>
      <w:r w:rsidRPr="00740FCA">
        <w:rPr>
          <w:color w:val="auto"/>
          <w:lang w:eastAsia="en-IN"/>
        </w:rPr>
        <w:instrText xml:space="preserve"> SEQ Figure \* ARABIC \s 1 </w:instrText>
      </w:r>
      <w:r w:rsidRPr="00740FCA">
        <w:rPr>
          <w:color w:val="auto"/>
          <w:lang w:eastAsia="en-IN"/>
        </w:rPr>
        <w:fldChar w:fldCharType="separate"/>
      </w:r>
      <w:r w:rsidR="002142B9">
        <w:rPr>
          <w:color w:val="auto"/>
          <w:lang w:eastAsia="en-IN"/>
        </w:rPr>
        <w:t>14</w:t>
      </w:r>
      <w:r w:rsidRPr="00740FCA">
        <w:rPr>
          <w:color w:val="auto"/>
          <w:lang w:eastAsia="en-IN"/>
        </w:rPr>
        <w:fldChar w:fldCharType="end"/>
      </w:r>
      <w:r w:rsidRPr="00740FCA">
        <w:rPr>
          <w:lang w:eastAsia="en-IN"/>
        </w:rPr>
        <w:t>: Total Projected CO</w:t>
      </w:r>
      <w:r w:rsidRPr="00740FCA">
        <w:rPr>
          <w:vertAlign w:val="subscript"/>
          <w:lang w:eastAsia="en-IN"/>
        </w:rPr>
        <w:t>2</w:t>
      </w:r>
      <w:r w:rsidRPr="00740FCA">
        <w:rPr>
          <w:vertAlign w:val="superscript"/>
          <w:lang w:eastAsia="en-IN"/>
        </w:rPr>
        <w:t xml:space="preserve"> </w:t>
      </w:r>
      <w:r w:rsidRPr="00740FCA">
        <w:rPr>
          <w:lang w:eastAsia="en-IN"/>
        </w:rPr>
        <w:t>Emissions (MT) from the power sector</w:t>
      </w:r>
      <w:bookmarkEnd w:id="281"/>
      <w:bookmarkEnd w:id="282"/>
      <w:bookmarkEnd w:id="283"/>
      <w:bookmarkEnd w:id="284"/>
      <w:r w:rsidRPr="00740FCA">
        <w:rPr>
          <w:lang w:eastAsia="en-IN"/>
        </w:rPr>
        <w:t xml:space="preserve"> </w:t>
      </w:r>
    </w:p>
    <w:p w14:paraId="611EA06E" w14:textId="77777777" w:rsidR="00C7511A" w:rsidRPr="00740FCA" w:rsidRDefault="00C7511A" w:rsidP="00C7511A">
      <w:pPr>
        <w:spacing w:before="160" w:after="120"/>
        <w:ind w:right="432"/>
        <w:rPr>
          <w:lang w:val="en-GB" w:eastAsia="en-IN"/>
        </w:rPr>
      </w:pPr>
      <w:r w:rsidRPr="00AC2AFD">
        <w:rPr>
          <w:noProof/>
        </w:rPr>
        <w:drawing>
          <wp:inline distT="0" distB="0" distL="0" distR="0" wp14:anchorId="1348010B" wp14:editId="3BE538FC">
            <wp:extent cx="6414770" cy="1512276"/>
            <wp:effectExtent l="0" t="0" r="5080" b="0"/>
            <wp:docPr id="1488079769" name="Chart 1">
              <a:extLst xmlns:a="http://schemas.openxmlformats.org/drawingml/2006/main">
                <a:ext uri="{FF2B5EF4-FFF2-40B4-BE49-F238E27FC236}">
                  <a16:creationId xmlns:a16="http://schemas.microsoft.com/office/drawing/2014/main" id="{2689AD6B-B1D0-15F8-E2BA-8D9DA9FE0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FD7FFD" w14:textId="77777777" w:rsidR="00C7511A" w:rsidRPr="00740FCA" w:rsidRDefault="00C7511A" w:rsidP="00C7511A">
      <w:pPr>
        <w:tabs>
          <w:tab w:val="center" w:pos="4680"/>
          <w:tab w:val="right" w:pos="9720"/>
        </w:tabs>
        <w:spacing w:after="120" w:line="240" w:lineRule="auto"/>
        <w:ind w:right="432"/>
        <w:rPr>
          <w:rFonts w:eastAsiaTheme="minorEastAsia"/>
          <w:i/>
          <w:sz w:val="16"/>
          <w:szCs w:val="15"/>
        </w:rPr>
      </w:pPr>
      <w:r w:rsidRPr="00740FCA">
        <w:rPr>
          <w:rFonts w:eastAsiaTheme="minorEastAsia"/>
          <w:i/>
          <w:sz w:val="16"/>
          <w:szCs w:val="15"/>
        </w:rPr>
        <w:t>Source: National Electricity Plan 2022-32 by Central Electricity Authority</w:t>
      </w:r>
      <w:r>
        <w:rPr>
          <w:rFonts w:eastAsiaTheme="minorEastAsia"/>
          <w:i/>
          <w:sz w:val="16"/>
          <w:szCs w:val="15"/>
        </w:rPr>
        <w:t>, 2024 and 2030 numbers are interpolated</w:t>
      </w:r>
      <w:r w:rsidRPr="00740FCA">
        <w:rPr>
          <w:rFonts w:eastAsiaTheme="minorEastAsia"/>
          <w:i/>
          <w:sz w:val="16"/>
          <w:szCs w:val="15"/>
        </w:rPr>
        <w:t>, All years are fiscal years</w:t>
      </w:r>
    </w:p>
    <w:p w14:paraId="5D7FAF33" w14:textId="05231B0C" w:rsidR="00F80ACA" w:rsidRPr="00621BC1" w:rsidRDefault="00C7511A" w:rsidP="00C7511A">
      <w:pPr>
        <w:spacing w:before="160" w:after="120"/>
        <w:ind w:right="112"/>
        <w:rPr>
          <w:szCs w:val="20"/>
        </w:rPr>
      </w:pPr>
      <w:r w:rsidRPr="00621BC1">
        <w:rPr>
          <w:szCs w:val="20"/>
        </w:rPr>
        <w:t xml:space="preserve">According to NEP the share of non-fossil-based installed capacity is projected to increase from approximately 42.5% in April 2023 to 57.4% by fiscal 2027, and further to 68.4% by fiscal 2032. </w:t>
      </w:r>
    </w:p>
    <w:p w14:paraId="5BC6BB8B" w14:textId="77777777" w:rsidR="00C7511A" w:rsidRPr="00621BC1" w:rsidRDefault="00C7511A" w:rsidP="00C7511A">
      <w:pPr>
        <w:ind w:right="115"/>
        <w:rPr>
          <w:szCs w:val="20"/>
        </w:rPr>
      </w:pPr>
      <w:r w:rsidRPr="00621BC1">
        <w:rPr>
          <w:szCs w:val="20"/>
        </w:rPr>
        <w:t>This shift towards renewable energy sources plays a crucial role in decreasing emissions per unit of electricity generated. Ongoing improvements in power generation technologies and the implementation of energy-efficient practices contribute to lower emissions per kWh. The integration of cleaner technologies, such as supercritical and ultra-supercritical coal-fired power plants, enhances the efficiency of coal usage, thereby reducing emissions intensity, which is expected to reach to 0.42 kg CO</w:t>
      </w:r>
      <w:r w:rsidRPr="00621BC1">
        <w:rPr>
          <w:szCs w:val="20"/>
          <w:vertAlign w:val="subscript"/>
        </w:rPr>
        <w:t>2</w:t>
      </w:r>
      <w:r w:rsidRPr="00621BC1">
        <w:rPr>
          <w:szCs w:val="20"/>
        </w:rPr>
        <w:t>/kWh</w:t>
      </w:r>
      <w:r w:rsidRPr="00621BC1">
        <w:rPr>
          <w:szCs w:val="20"/>
          <w:vertAlign w:val="subscript"/>
        </w:rPr>
        <w:t>net</w:t>
      </w:r>
      <w:r w:rsidRPr="00621BC1">
        <w:rPr>
          <w:szCs w:val="20"/>
        </w:rPr>
        <w:t xml:space="preserve"> by fiscal 2032.</w:t>
      </w:r>
    </w:p>
    <w:p w14:paraId="7215BCF4" w14:textId="663F8467" w:rsidR="00C7511A" w:rsidRPr="00740FCA" w:rsidRDefault="00C7511A" w:rsidP="00C7511A">
      <w:pPr>
        <w:keepNext/>
        <w:keepLines/>
        <w:spacing w:before="160" w:line="276" w:lineRule="auto"/>
        <w:ind w:right="432"/>
        <w:rPr>
          <w:rFonts w:eastAsia="Times New Roman" w:cs="Book Antiqua"/>
          <w:b/>
          <w:bCs/>
          <w:kern w:val="0"/>
          <w:szCs w:val="18"/>
          <w:lang w:val="en-GB" w:eastAsia="en-IN"/>
          <w14:ligatures w14:val="none"/>
        </w:rPr>
      </w:pPr>
      <w:bookmarkStart w:id="285" w:name="_Toc192073663"/>
      <w:bookmarkStart w:id="286" w:name="_Toc192153689"/>
      <w:bookmarkStart w:id="287" w:name="_Toc192195355"/>
      <w:bookmarkStart w:id="288" w:name="_Toc198731498"/>
      <w:r w:rsidRPr="00740FCA">
        <w:rPr>
          <w:rFonts w:eastAsia="Times New Roman" w:cs="Book Antiqua"/>
          <w:b/>
          <w:bCs/>
          <w:color w:val="auto"/>
          <w:kern w:val="0"/>
          <w:szCs w:val="18"/>
          <w:lang w:val="en-GB" w:eastAsia="en-IN"/>
          <w14:ligatures w14:val="none"/>
        </w:rPr>
        <w:t xml:space="preserve">Figure </w:t>
      </w:r>
      <w:r w:rsidRPr="00740FCA">
        <w:rPr>
          <w:rFonts w:eastAsia="Times New Roman" w:cs="Book Antiqua"/>
          <w:b/>
          <w:bCs/>
          <w:color w:val="auto"/>
          <w:kern w:val="0"/>
          <w:szCs w:val="18"/>
          <w:lang w:val="en-GB" w:eastAsia="en-IN"/>
          <w14:ligatures w14:val="none"/>
        </w:rPr>
        <w:fldChar w:fldCharType="begin"/>
      </w:r>
      <w:r w:rsidRPr="00740FCA">
        <w:rPr>
          <w:rFonts w:eastAsia="Times New Roman" w:cs="Book Antiqua"/>
          <w:b/>
          <w:bCs/>
          <w:color w:val="auto"/>
          <w:kern w:val="0"/>
          <w:szCs w:val="18"/>
          <w:lang w:val="en-GB" w:eastAsia="en-IN"/>
          <w14:ligatures w14:val="none"/>
        </w:rPr>
        <w:instrText xml:space="preserve"> STYLEREF 1 \s </w:instrText>
      </w:r>
      <w:r w:rsidRPr="00740FCA">
        <w:rPr>
          <w:rFonts w:eastAsia="Times New Roman" w:cs="Book Antiqua"/>
          <w:b/>
          <w:bCs/>
          <w:color w:val="auto"/>
          <w:kern w:val="0"/>
          <w:szCs w:val="18"/>
          <w:lang w:val="en-GB" w:eastAsia="en-IN"/>
          <w14:ligatures w14:val="none"/>
        </w:rPr>
        <w:fldChar w:fldCharType="separate"/>
      </w:r>
      <w:r w:rsidR="002142B9">
        <w:rPr>
          <w:rFonts w:eastAsia="Times New Roman" w:cs="Book Antiqua"/>
          <w:b/>
          <w:bCs/>
          <w:noProof/>
          <w:color w:val="auto"/>
          <w:kern w:val="0"/>
          <w:szCs w:val="18"/>
          <w:lang w:val="en-GB" w:eastAsia="en-IN"/>
          <w14:ligatures w14:val="none"/>
        </w:rPr>
        <w:t>1</w:t>
      </w:r>
      <w:r w:rsidRPr="00740FCA">
        <w:rPr>
          <w:rFonts w:eastAsia="Times New Roman" w:cs="Book Antiqua"/>
          <w:b/>
          <w:bCs/>
          <w:color w:val="auto"/>
          <w:kern w:val="0"/>
          <w:szCs w:val="18"/>
          <w:lang w:val="en-GB" w:eastAsia="en-IN"/>
          <w14:ligatures w14:val="none"/>
        </w:rPr>
        <w:fldChar w:fldCharType="end"/>
      </w:r>
      <w:r w:rsidRPr="00740FCA">
        <w:rPr>
          <w:rFonts w:eastAsia="Times New Roman" w:cs="Book Antiqua"/>
          <w:b/>
          <w:bCs/>
          <w:color w:val="auto"/>
          <w:kern w:val="0"/>
          <w:szCs w:val="18"/>
          <w:lang w:val="en-GB" w:eastAsia="en-IN"/>
          <w14:ligatures w14:val="none"/>
        </w:rPr>
        <w:t>.</w:t>
      </w:r>
      <w:r w:rsidRPr="00740FCA">
        <w:rPr>
          <w:rFonts w:eastAsia="Times New Roman" w:cs="Book Antiqua"/>
          <w:b/>
          <w:bCs/>
          <w:color w:val="auto"/>
          <w:kern w:val="0"/>
          <w:szCs w:val="18"/>
          <w:lang w:val="en-GB" w:eastAsia="en-IN"/>
          <w14:ligatures w14:val="none"/>
        </w:rPr>
        <w:fldChar w:fldCharType="begin"/>
      </w:r>
      <w:r w:rsidRPr="00740FCA">
        <w:rPr>
          <w:rFonts w:eastAsia="Times New Roman" w:cs="Book Antiqua"/>
          <w:b/>
          <w:bCs/>
          <w:color w:val="auto"/>
          <w:kern w:val="0"/>
          <w:szCs w:val="18"/>
          <w:lang w:val="en-GB" w:eastAsia="en-IN"/>
          <w14:ligatures w14:val="none"/>
        </w:rPr>
        <w:instrText xml:space="preserve"> SEQ Figure \* ARABIC \s 1 </w:instrText>
      </w:r>
      <w:r w:rsidRPr="00740FCA">
        <w:rPr>
          <w:rFonts w:eastAsia="Times New Roman" w:cs="Book Antiqua"/>
          <w:b/>
          <w:bCs/>
          <w:color w:val="auto"/>
          <w:kern w:val="0"/>
          <w:szCs w:val="18"/>
          <w:lang w:val="en-GB" w:eastAsia="en-IN"/>
          <w14:ligatures w14:val="none"/>
        </w:rPr>
        <w:fldChar w:fldCharType="separate"/>
      </w:r>
      <w:r w:rsidR="002142B9">
        <w:rPr>
          <w:rFonts w:eastAsia="Times New Roman" w:cs="Book Antiqua"/>
          <w:b/>
          <w:bCs/>
          <w:noProof/>
          <w:color w:val="auto"/>
          <w:kern w:val="0"/>
          <w:szCs w:val="18"/>
          <w:lang w:val="en-GB" w:eastAsia="en-IN"/>
          <w14:ligatures w14:val="none"/>
        </w:rPr>
        <w:t>15</w:t>
      </w:r>
      <w:r w:rsidRPr="00740FCA">
        <w:rPr>
          <w:rFonts w:eastAsia="Times New Roman" w:cs="Book Antiqua"/>
          <w:b/>
          <w:bCs/>
          <w:color w:val="auto"/>
          <w:kern w:val="0"/>
          <w:szCs w:val="18"/>
          <w:lang w:val="en-GB" w:eastAsia="en-IN"/>
          <w14:ligatures w14:val="none"/>
        </w:rPr>
        <w:fldChar w:fldCharType="end"/>
      </w:r>
      <w:r w:rsidRPr="00740FCA">
        <w:rPr>
          <w:rFonts w:eastAsia="Times New Roman" w:cs="Book Antiqua"/>
          <w:b/>
          <w:bCs/>
          <w:kern w:val="0"/>
          <w:szCs w:val="18"/>
          <w:lang w:val="en-GB" w:eastAsia="en-IN"/>
          <w14:ligatures w14:val="none"/>
        </w:rPr>
        <w:t>: Weighted Average Emission Rate (kgCO</w:t>
      </w:r>
      <w:r w:rsidRPr="00740FCA">
        <w:rPr>
          <w:rFonts w:eastAsia="Times New Roman" w:cs="Book Antiqua"/>
          <w:b/>
          <w:bCs/>
          <w:kern w:val="0"/>
          <w:szCs w:val="18"/>
          <w:vertAlign w:val="subscript"/>
          <w:lang w:val="en-GB" w:eastAsia="en-IN"/>
          <w14:ligatures w14:val="none"/>
        </w:rPr>
        <w:t>2</w:t>
      </w:r>
      <w:r w:rsidRPr="00740FCA">
        <w:rPr>
          <w:rFonts w:eastAsia="Times New Roman" w:cs="Book Antiqua"/>
          <w:b/>
          <w:bCs/>
          <w:kern w:val="0"/>
          <w:szCs w:val="18"/>
          <w:lang w:val="en-GB" w:eastAsia="en-IN"/>
          <w14:ligatures w14:val="none"/>
        </w:rPr>
        <w:t>/kwh</w:t>
      </w:r>
      <w:r w:rsidRPr="00740FCA">
        <w:rPr>
          <w:rFonts w:eastAsia="Times New Roman" w:cs="Book Antiqua"/>
          <w:b/>
          <w:bCs/>
          <w:kern w:val="0"/>
          <w:szCs w:val="18"/>
          <w:vertAlign w:val="subscript"/>
          <w:lang w:val="en-GB" w:eastAsia="en-IN"/>
          <w14:ligatures w14:val="none"/>
        </w:rPr>
        <w:t>net</w:t>
      </w:r>
      <w:r w:rsidRPr="00740FCA">
        <w:rPr>
          <w:rFonts w:eastAsia="Times New Roman" w:cs="Book Antiqua"/>
          <w:b/>
          <w:bCs/>
          <w:kern w:val="0"/>
          <w:szCs w:val="18"/>
          <w:lang w:val="en-GB" w:eastAsia="en-IN"/>
          <w14:ligatures w14:val="none"/>
        </w:rPr>
        <w:t>)</w:t>
      </w:r>
      <w:bookmarkEnd w:id="285"/>
      <w:bookmarkEnd w:id="286"/>
      <w:bookmarkEnd w:id="287"/>
      <w:bookmarkEnd w:id="288"/>
    </w:p>
    <w:p w14:paraId="46FEC757" w14:textId="77777777" w:rsidR="00C7511A" w:rsidRPr="00621BC1" w:rsidRDefault="00C7511A" w:rsidP="00C7511A">
      <w:pPr>
        <w:spacing w:before="160" w:after="120"/>
        <w:ind w:right="432"/>
        <w:rPr>
          <w:lang w:val="en-GB" w:eastAsia="en-IN"/>
        </w:rPr>
      </w:pPr>
      <w:r w:rsidRPr="00A81B7F">
        <w:rPr>
          <w:noProof/>
          <w:lang w:eastAsia="en-IN"/>
        </w:rPr>
        <w:drawing>
          <wp:inline distT="0" distB="0" distL="0" distR="0" wp14:anchorId="1B3E5749" wp14:editId="1F45F628">
            <wp:extent cx="6407785" cy="1477108"/>
            <wp:effectExtent l="0" t="0" r="0" b="8890"/>
            <wp:docPr id="1482920938" name="Chart 1">
              <a:extLst xmlns:a="http://schemas.openxmlformats.org/drawingml/2006/main">
                <a:ext uri="{FF2B5EF4-FFF2-40B4-BE49-F238E27FC236}">
                  <a16:creationId xmlns:a16="http://schemas.microsoft.com/office/drawing/2014/main" id="{F888094A-D228-9F5F-F481-91AA0B58C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740FCA">
        <w:rPr>
          <w:rFonts w:eastAsiaTheme="minorEastAsia"/>
          <w:i/>
          <w:sz w:val="16"/>
          <w:szCs w:val="15"/>
        </w:rPr>
        <w:t>Source: National Electricity Plan 2022-32 by Central Electricity Authority</w:t>
      </w:r>
      <w:r>
        <w:rPr>
          <w:rFonts w:eastAsiaTheme="minorEastAsia"/>
          <w:i/>
          <w:sz w:val="16"/>
          <w:szCs w:val="15"/>
        </w:rPr>
        <w:t>, 2024 and 2030 numbers are interpolated</w:t>
      </w:r>
      <w:r w:rsidRPr="00740FCA">
        <w:rPr>
          <w:rFonts w:eastAsiaTheme="minorEastAsia"/>
          <w:i/>
          <w:sz w:val="16"/>
          <w:szCs w:val="15"/>
        </w:rPr>
        <w:t>, All years are fiscal years</w:t>
      </w:r>
    </w:p>
    <w:p w14:paraId="37322142" w14:textId="77777777" w:rsidR="00C7511A" w:rsidRPr="0014284D" w:rsidRDefault="00C7511A" w:rsidP="00C7511A">
      <w:pPr>
        <w:pStyle w:val="Heading30"/>
        <w:ind w:hanging="862"/>
      </w:pPr>
      <w:r w:rsidRPr="00740FCA">
        <w:t>Emissions in the Steel Sector</w:t>
      </w:r>
    </w:p>
    <w:p w14:paraId="79F01023" w14:textId="03681D7E" w:rsidR="00C7511A" w:rsidRPr="00644B04" w:rsidRDefault="00C7511A" w:rsidP="00C7511A">
      <w:pPr>
        <w:ind w:right="115"/>
        <w:rPr>
          <w:szCs w:val="20"/>
        </w:rPr>
      </w:pPr>
      <w:r w:rsidRPr="00644B04">
        <w:rPr>
          <w:szCs w:val="20"/>
        </w:rPr>
        <w:t>The steel sector in India emitted around 240 million tons of CO</w:t>
      </w:r>
      <w:r w:rsidRPr="00644B04">
        <w:rPr>
          <w:szCs w:val="20"/>
          <w:vertAlign w:val="subscript"/>
        </w:rPr>
        <w:t>2</w:t>
      </w:r>
      <w:r w:rsidRPr="00644B04">
        <w:rPr>
          <w:szCs w:val="20"/>
        </w:rPr>
        <w:t xml:space="preserve"> in 2020, which is approximately 12% of the country's total CO2 emissions. The carbon emissions of the steel sector in India are expected to rise at a CAGR of 6.49% from 240 MMT of CO</w:t>
      </w:r>
      <w:r w:rsidRPr="00644B04">
        <w:rPr>
          <w:szCs w:val="20"/>
          <w:vertAlign w:val="subscript"/>
        </w:rPr>
        <w:t>2</w:t>
      </w:r>
      <w:r w:rsidRPr="00644B04">
        <w:rPr>
          <w:szCs w:val="20"/>
        </w:rPr>
        <w:t xml:space="preserve"> emission in 2020 to 450 MMT of CO</w:t>
      </w:r>
      <w:r w:rsidRPr="00644B04">
        <w:rPr>
          <w:szCs w:val="20"/>
          <w:vertAlign w:val="subscript"/>
        </w:rPr>
        <w:t>2</w:t>
      </w:r>
      <w:r w:rsidRPr="00644B04">
        <w:rPr>
          <w:szCs w:val="20"/>
        </w:rPr>
        <w:t xml:space="preserve"> emission in 2030. The carbon footprint of steel is significant, with the production of one ton of steel resulting in around 1.8-2.2 tons of carbon dioxide emissions. The main contributors to the carbon footprint of steel is through the DRI-EIF route of steel making in India, while the </w:t>
      </w:r>
      <w:r w:rsidR="002243C8" w:rsidRPr="00644B04">
        <w:rPr>
          <w:szCs w:val="20"/>
        </w:rPr>
        <w:t>scrap-based</w:t>
      </w:r>
      <w:r w:rsidRPr="00644B04">
        <w:rPr>
          <w:szCs w:val="20"/>
        </w:rPr>
        <w:t xml:space="preserve"> EAF has the lowest emission intensity.</w:t>
      </w:r>
    </w:p>
    <w:p w14:paraId="09A806D4" w14:textId="55FEA1D3" w:rsidR="00C7511A" w:rsidRPr="00740FCA" w:rsidRDefault="00C7511A" w:rsidP="00C7511A">
      <w:pPr>
        <w:spacing w:before="160" w:after="120" w:line="276" w:lineRule="auto"/>
        <w:ind w:right="432"/>
        <w:rPr>
          <w:rFonts w:ascii="Aptos" w:eastAsia="Times New Roman" w:hAnsi="Aptos"/>
          <w:b/>
          <w:bCs/>
          <w:spacing w:val="12"/>
          <w:szCs w:val="20"/>
        </w:rPr>
      </w:pPr>
      <w:bookmarkStart w:id="289" w:name="_Toc192073633"/>
      <w:bookmarkStart w:id="290" w:name="_Toc192153658"/>
      <w:bookmarkStart w:id="291" w:name="_Toc192195285"/>
      <w:bookmarkStart w:id="292" w:name="_Toc198731457"/>
      <w:r w:rsidRPr="00740FCA">
        <w:rPr>
          <w:b/>
          <w:bCs/>
          <w:color w:val="auto"/>
        </w:rPr>
        <w:t xml:space="preserve">Table </w:t>
      </w:r>
      <w:r w:rsidRPr="00740FCA">
        <w:rPr>
          <w:b/>
          <w:bCs/>
          <w:color w:val="auto"/>
        </w:rPr>
        <w:fldChar w:fldCharType="begin"/>
      </w:r>
      <w:r w:rsidRPr="00740FCA">
        <w:rPr>
          <w:b/>
          <w:bCs/>
          <w:color w:val="auto"/>
        </w:rPr>
        <w:instrText xml:space="preserve"> STYLEREF 1 \s </w:instrText>
      </w:r>
      <w:r w:rsidRPr="00740FCA">
        <w:rPr>
          <w:b/>
          <w:bCs/>
          <w:color w:val="auto"/>
        </w:rPr>
        <w:fldChar w:fldCharType="separate"/>
      </w:r>
      <w:r w:rsidR="002142B9">
        <w:rPr>
          <w:b/>
          <w:bCs/>
          <w:noProof/>
          <w:color w:val="auto"/>
        </w:rPr>
        <w:t>1</w:t>
      </w:r>
      <w:r w:rsidRPr="00740FCA">
        <w:rPr>
          <w:b/>
          <w:bCs/>
          <w:color w:val="auto"/>
        </w:rPr>
        <w:fldChar w:fldCharType="end"/>
      </w:r>
      <w:r w:rsidRPr="00740FCA">
        <w:rPr>
          <w:b/>
          <w:bCs/>
          <w:color w:val="auto"/>
        </w:rPr>
        <w:t>.</w:t>
      </w:r>
      <w:r w:rsidRPr="00740FCA">
        <w:rPr>
          <w:b/>
          <w:bCs/>
          <w:color w:val="auto"/>
        </w:rPr>
        <w:fldChar w:fldCharType="begin"/>
      </w:r>
      <w:r w:rsidRPr="00740FCA">
        <w:rPr>
          <w:b/>
          <w:bCs/>
          <w:color w:val="auto"/>
        </w:rPr>
        <w:instrText xml:space="preserve"> SEQ Table \* ARABIC \s 1 </w:instrText>
      </w:r>
      <w:r w:rsidRPr="00740FCA">
        <w:rPr>
          <w:b/>
          <w:bCs/>
          <w:color w:val="auto"/>
        </w:rPr>
        <w:fldChar w:fldCharType="separate"/>
      </w:r>
      <w:r w:rsidR="002142B9">
        <w:rPr>
          <w:b/>
          <w:bCs/>
          <w:noProof/>
          <w:color w:val="auto"/>
        </w:rPr>
        <w:t>9</w:t>
      </w:r>
      <w:r w:rsidRPr="00740FCA">
        <w:rPr>
          <w:b/>
          <w:bCs/>
          <w:color w:val="auto"/>
        </w:rPr>
        <w:fldChar w:fldCharType="end"/>
      </w:r>
      <w:r w:rsidRPr="00740FCA">
        <w:rPr>
          <w:rFonts w:ascii="Aptos" w:eastAsia="Times New Roman" w:hAnsi="Aptos"/>
          <w:b/>
          <w:bCs/>
          <w:spacing w:val="12"/>
          <w:szCs w:val="20"/>
        </w:rPr>
        <w:t xml:space="preserve">: </w:t>
      </w:r>
      <w:r w:rsidRPr="00740FCA">
        <w:rPr>
          <w:b/>
          <w:bCs/>
          <w:color w:val="auto"/>
        </w:rPr>
        <w:t>Emission Intensity by Route-India (Fiscal 2024)</w:t>
      </w:r>
      <w:bookmarkEnd w:id="289"/>
      <w:bookmarkEnd w:id="290"/>
      <w:bookmarkEnd w:id="291"/>
      <w:bookmarkEnd w:id="292"/>
    </w:p>
    <w:tbl>
      <w:tblPr>
        <w:tblStyle w:val="GridTable4-Accent6"/>
        <w:tblW w:w="5000" w:type="pct"/>
        <w:tblLook w:val="0420" w:firstRow="1" w:lastRow="0" w:firstColumn="0" w:lastColumn="0" w:noHBand="0" w:noVBand="1"/>
      </w:tblPr>
      <w:tblGrid>
        <w:gridCol w:w="1524"/>
        <w:gridCol w:w="4111"/>
        <w:gridCol w:w="4885"/>
      </w:tblGrid>
      <w:tr w:rsidR="00C7511A" w:rsidRPr="00644B04" w14:paraId="32DA7DE8" w14:textId="77777777" w:rsidTr="00662938">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000000"/>
              <w:left w:val="single" w:sz="4" w:space="0" w:color="000000"/>
              <w:bottom w:val="single" w:sz="4" w:space="0" w:color="000000"/>
              <w:right w:val="single" w:sz="4" w:space="0" w:color="000000"/>
            </w:tcBorders>
            <w:shd w:val="clear" w:color="auto" w:fill="005B72"/>
            <w:vAlign w:val="center"/>
          </w:tcPr>
          <w:p w14:paraId="0E1AAD17" w14:textId="77777777" w:rsidR="00C7511A" w:rsidRPr="00D26657" w:rsidRDefault="00C7511A" w:rsidP="00662938">
            <w:pPr>
              <w:spacing w:before="80" w:after="80" w:line="240" w:lineRule="auto"/>
              <w:ind w:left="-30" w:right="-135"/>
              <w:jc w:val="center"/>
              <w:rPr>
                <w:color w:val="F8F8F8"/>
                <w:sz w:val="18"/>
                <w:szCs w:val="18"/>
              </w:rPr>
            </w:pPr>
            <w:r w:rsidRPr="00D26657">
              <w:rPr>
                <w:color w:val="F8F8F8"/>
                <w:sz w:val="18"/>
                <w:szCs w:val="18"/>
              </w:rPr>
              <w:t>S. No.</w:t>
            </w:r>
          </w:p>
        </w:tc>
        <w:tc>
          <w:tcPr>
            <w:tcW w:w="0" w:type="pct"/>
            <w:tcBorders>
              <w:top w:val="single" w:sz="4" w:space="0" w:color="000000"/>
              <w:left w:val="single" w:sz="4" w:space="0" w:color="000000"/>
              <w:bottom w:val="single" w:sz="4" w:space="0" w:color="000000"/>
              <w:right w:val="single" w:sz="4" w:space="0" w:color="000000"/>
            </w:tcBorders>
            <w:shd w:val="clear" w:color="auto" w:fill="005B72"/>
            <w:vAlign w:val="center"/>
          </w:tcPr>
          <w:p w14:paraId="306EF611" w14:textId="77777777" w:rsidR="00C7511A" w:rsidRPr="00D26657" w:rsidRDefault="00C7511A" w:rsidP="00662938">
            <w:pPr>
              <w:spacing w:before="80" w:after="80" w:line="240" w:lineRule="auto"/>
              <w:ind w:left="-74" w:right="-119"/>
              <w:jc w:val="center"/>
              <w:rPr>
                <w:color w:val="F8F8F8"/>
                <w:sz w:val="18"/>
                <w:szCs w:val="18"/>
              </w:rPr>
            </w:pPr>
            <w:r w:rsidRPr="00D26657">
              <w:rPr>
                <w:color w:val="F8F8F8"/>
                <w:sz w:val="18"/>
                <w:szCs w:val="18"/>
              </w:rPr>
              <w:t>Process Route</w:t>
            </w:r>
          </w:p>
        </w:tc>
        <w:tc>
          <w:tcPr>
            <w:tcW w:w="0" w:type="pct"/>
            <w:tcBorders>
              <w:top w:val="single" w:sz="4" w:space="0" w:color="000000"/>
              <w:left w:val="single" w:sz="4" w:space="0" w:color="000000"/>
              <w:bottom w:val="single" w:sz="4" w:space="0" w:color="000000"/>
              <w:right w:val="single" w:sz="4" w:space="0" w:color="000000"/>
            </w:tcBorders>
            <w:shd w:val="clear" w:color="auto" w:fill="005B72"/>
            <w:vAlign w:val="center"/>
          </w:tcPr>
          <w:p w14:paraId="2BE2B22F" w14:textId="77777777" w:rsidR="00C7511A" w:rsidRPr="00D26657" w:rsidRDefault="00C7511A" w:rsidP="00D26657">
            <w:pPr>
              <w:spacing w:before="80" w:after="80" w:line="240" w:lineRule="auto"/>
              <w:ind w:right="432"/>
              <w:jc w:val="center"/>
              <w:rPr>
                <w:color w:val="F8F8F8"/>
                <w:sz w:val="18"/>
                <w:szCs w:val="18"/>
              </w:rPr>
            </w:pPr>
            <w:r w:rsidRPr="00D26657">
              <w:rPr>
                <w:color w:val="F8F8F8"/>
                <w:sz w:val="18"/>
                <w:szCs w:val="18"/>
              </w:rPr>
              <w:t>CO</w:t>
            </w:r>
            <w:r w:rsidRPr="00662938">
              <w:rPr>
                <w:color w:val="F8F8F8"/>
                <w:sz w:val="18"/>
                <w:szCs w:val="18"/>
                <w:vertAlign w:val="subscript"/>
              </w:rPr>
              <w:t>2</w:t>
            </w:r>
            <w:r w:rsidRPr="00D26657">
              <w:rPr>
                <w:color w:val="F8F8F8"/>
                <w:sz w:val="18"/>
                <w:szCs w:val="18"/>
              </w:rPr>
              <w:t xml:space="preserve"> Emission Intensity(tCO2/tcs)</w:t>
            </w:r>
          </w:p>
        </w:tc>
      </w:tr>
      <w:tr w:rsidR="00C7511A" w:rsidRPr="00644B04" w14:paraId="75E43FF7" w14:textId="77777777" w:rsidTr="009E7B1E">
        <w:trPr>
          <w:cnfStyle w:val="000000100000" w:firstRow="0" w:lastRow="0" w:firstColumn="0" w:lastColumn="0" w:oddVBand="0" w:evenVBand="0" w:oddHBand="1" w:evenHBand="0" w:firstRowFirstColumn="0" w:firstRowLastColumn="0" w:lastRowFirstColumn="0" w:lastRowLastColumn="0"/>
        </w:trPr>
        <w:tc>
          <w:tcPr>
            <w:tcW w:w="724"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031CF60A" w14:textId="77777777" w:rsidR="00C7511A" w:rsidRPr="00D26657" w:rsidRDefault="00C7511A" w:rsidP="00662938">
            <w:pPr>
              <w:spacing w:line="240" w:lineRule="auto"/>
              <w:ind w:left="-30" w:right="-135"/>
              <w:jc w:val="center"/>
              <w:rPr>
                <w:rFonts w:eastAsia="Arial"/>
                <w:color w:val="000000"/>
                <w:sz w:val="18"/>
                <w:szCs w:val="18"/>
              </w:rPr>
            </w:pPr>
            <w:r w:rsidRPr="00D26657">
              <w:rPr>
                <w:rFonts w:eastAsia="Arial"/>
                <w:color w:val="000000"/>
                <w:sz w:val="18"/>
                <w:szCs w:val="18"/>
              </w:rPr>
              <w:t>1</w:t>
            </w:r>
          </w:p>
        </w:tc>
        <w:tc>
          <w:tcPr>
            <w:tcW w:w="1954"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09179F6C" w14:textId="77777777" w:rsidR="00C7511A" w:rsidRPr="00D26657" w:rsidRDefault="00C7511A" w:rsidP="00662938">
            <w:pPr>
              <w:spacing w:line="240" w:lineRule="auto"/>
              <w:ind w:left="-74" w:right="-119"/>
              <w:jc w:val="center"/>
              <w:rPr>
                <w:rFonts w:eastAsia="Arial"/>
                <w:color w:val="000000"/>
                <w:sz w:val="18"/>
                <w:szCs w:val="18"/>
              </w:rPr>
            </w:pPr>
            <w:r w:rsidRPr="00D26657">
              <w:rPr>
                <w:rFonts w:eastAsia="Arial"/>
                <w:color w:val="000000"/>
                <w:sz w:val="18"/>
                <w:szCs w:val="18"/>
              </w:rPr>
              <w:t>Coal based DRI-EIF</w:t>
            </w:r>
          </w:p>
        </w:tc>
        <w:tc>
          <w:tcPr>
            <w:tcW w:w="2322"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6A4BB824" w14:textId="77777777" w:rsidR="00C7511A" w:rsidRPr="00D26657" w:rsidRDefault="00C7511A" w:rsidP="00D26657">
            <w:pPr>
              <w:spacing w:line="240" w:lineRule="auto"/>
              <w:ind w:right="432"/>
              <w:jc w:val="center"/>
              <w:rPr>
                <w:rFonts w:eastAsia="Arial"/>
                <w:color w:val="000000"/>
                <w:sz w:val="18"/>
                <w:szCs w:val="18"/>
              </w:rPr>
            </w:pPr>
            <w:r w:rsidRPr="00D26657">
              <w:rPr>
                <w:rFonts w:eastAsia="Arial"/>
                <w:color w:val="000000"/>
                <w:sz w:val="18"/>
                <w:szCs w:val="18"/>
              </w:rPr>
              <w:t>2.70-3.10</w:t>
            </w:r>
          </w:p>
        </w:tc>
      </w:tr>
      <w:tr w:rsidR="00C7511A" w:rsidRPr="00644B04" w14:paraId="3A6CB2B3" w14:textId="77777777" w:rsidTr="009E7B1E">
        <w:tc>
          <w:tcPr>
            <w:tcW w:w="724" w:type="pct"/>
            <w:tcBorders>
              <w:top w:val="single" w:sz="4" w:space="0" w:color="000000"/>
              <w:left w:val="single" w:sz="4" w:space="0" w:color="000000"/>
              <w:bottom w:val="single" w:sz="4" w:space="0" w:color="000000"/>
              <w:right w:val="single" w:sz="4" w:space="0" w:color="000000"/>
            </w:tcBorders>
            <w:vAlign w:val="center"/>
          </w:tcPr>
          <w:p w14:paraId="5076E429" w14:textId="77777777" w:rsidR="00C7511A" w:rsidRPr="00D26657" w:rsidRDefault="00C7511A" w:rsidP="00662938">
            <w:pPr>
              <w:spacing w:line="240" w:lineRule="auto"/>
              <w:ind w:left="-30" w:right="-135"/>
              <w:jc w:val="center"/>
              <w:rPr>
                <w:rFonts w:eastAsia="Arial"/>
                <w:color w:val="000000"/>
                <w:sz w:val="18"/>
                <w:szCs w:val="18"/>
              </w:rPr>
            </w:pPr>
            <w:r w:rsidRPr="00D26657">
              <w:rPr>
                <w:rFonts w:eastAsia="Arial"/>
                <w:color w:val="000000"/>
                <w:sz w:val="18"/>
                <w:szCs w:val="18"/>
              </w:rPr>
              <w:t>2</w:t>
            </w:r>
          </w:p>
        </w:tc>
        <w:tc>
          <w:tcPr>
            <w:tcW w:w="1954" w:type="pct"/>
            <w:tcBorders>
              <w:top w:val="single" w:sz="4" w:space="0" w:color="000000"/>
              <w:left w:val="single" w:sz="4" w:space="0" w:color="000000"/>
              <w:bottom w:val="single" w:sz="4" w:space="0" w:color="000000"/>
              <w:right w:val="single" w:sz="4" w:space="0" w:color="000000"/>
            </w:tcBorders>
            <w:vAlign w:val="center"/>
          </w:tcPr>
          <w:p w14:paraId="7C1BD56D" w14:textId="194768E6" w:rsidR="00C7511A" w:rsidRPr="00D26657" w:rsidRDefault="00C72B35" w:rsidP="00662938">
            <w:pPr>
              <w:spacing w:line="240" w:lineRule="auto"/>
              <w:ind w:left="-74" w:right="-119"/>
              <w:jc w:val="center"/>
              <w:rPr>
                <w:rFonts w:eastAsia="Arial"/>
                <w:color w:val="000000"/>
                <w:sz w:val="18"/>
                <w:szCs w:val="18"/>
              </w:rPr>
            </w:pPr>
            <w:r w:rsidRPr="00D26657">
              <w:rPr>
                <w:rFonts w:eastAsia="Arial"/>
                <w:color w:val="000000"/>
                <w:sz w:val="18"/>
                <w:szCs w:val="18"/>
              </w:rPr>
              <w:t>Syngas</w:t>
            </w:r>
            <w:r w:rsidR="00C7511A" w:rsidRPr="00D26657">
              <w:rPr>
                <w:rFonts w:eastAsia="Arial"/>
                <w:color w:val="000000"/>
                <w:sz w:val="18"/>
                <w:szCs w:val="18"/>
              </w:rPr>
              <w:t xml:space="preserve"> DRI-EAF</w:t>
            </w:r>
          </w:p>
        </w:tc>
        <w:tc>
          <w:tcPr>
            <w:tcW w:w="2322" w:type="pct"/>
            <w:tcBorders>
              <w:top w:val="single" w:sz="4" w:space="0" w:color="000000"/>
              <w:left w:val="single" w:sz="4" w:space="0" w:color="000000"/>
              <w:bottom w:val="single" w:sz="4" w:space="0" w:color="000000"/>
              <w:right w:val="single" w:sz="4" w:space="0" w:color="000000"/>
            </w:tcBorders>
            <w:vAlign w:val="center"/>
          </w:tcPr>
          <w:p w14:paraId="52D7C350" w14:textId="77777777" w:rsidR="00C7511A" w:rsidRPr="00D26657" w:rsidRDefault="00C7511A" w:rsidP="00D26657">
            <w:pPr>
              <w:spacing w:line="240" w:lineRule="auto"/>
              <w:ind w:right="432"/>
              <w:jc w:val="center"/>
              <w:rPr>
                <w:rFonts w:eastAsia="Arial"/>
                <w:color w:val="000000"/>
                <w:sz w:val="18"/>
                <w:szCs w:val="18"/>
              </w:rPr>
            </w:pPr>
            <w:r w:rsidRPr="00D26657">
              <w:rPr>
                <w:rFonts w:eastAsia="Arial"/>
                <w:color w:val="000000"/>
                <w:sz w:val="18"/>
                <w:szCs w:val="18"/>
              </w:rPr>
              <w:t>2.50-2.90</w:t>
            </w:r>
          </w:p>
        </w:tc>
      </w:tr>
      <w:tr w:rsidR="00C7511A" w:rsidRPr="00644B04" w14:paraId="0D9EF0C7" w14:textId="77777777" w:rsidTr="009E7B1E">
        <w:trPr>
          <w:cnfStyle w:val="000000100000" w:firstRow="0" w:lastRow="0" w:firstColumn="0" w:lastColumn="0" w:oddVBand="0" w:evenVBand="0" w:oddHBand="1" w:evenHBand="0" w:firstRowFirstColumn="0" w:firstRowLastColumn="0" w:lastRowFirstColumn="0" w:lastRowLastColumn="0"/>
        </w:trPr>
        <w:tc>
          <w:tcPr>
            <w:tcW w:w="724"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7710404F" w14:textId="77777777" w:rsidR="00C7511A" w:rsidRPr="00D26657" w:rsidRDefault="00C7511A" w:rsidP="00662938">
            <w:pPr>
              <w:spacing w:line="240" w:lineRule="auto"/>
              <w:ind w:left="-30" w:right="-135"/>
              <w:jc w:val="center"/>
              <w:rPr>
                <w:rFonts w:eastAsia="Arial"/>
                <w:color w:val="000000"/>
                <w:sz w:val="18"/>
                <w:szCs w:val="18"/>
              </w:rPr>
            </w:pPr>
            <w:r w:rsidRPr="00D26657">
              <w:rPr>
                <w:rFonts w:eastAsia="Arial"/>
                <w:color w:val="000000"/>
                <w:sz w:val="18"/>
                <w:szCs w:val="18"/>
              </w:rPr>
              <w:t>3</w:t>
            </w:r>
          </w:p>
        </w:tc>
        <w:tc>
          <w:tcPr>
            <w:tcW w:w="1954"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45801B3F" w14:textId="77777777" w:rsidR="00C7511A" w:rsidRPr="00D26657" w:rsidRDefault="00C7511A" w:rsidP="00662938">
            <w:pPr>
              <w:spacing w:line="240" w:lineRule="auto"/>
              <w:ind w:left="-74" w:right="-119"/>
              <w:jc w:val="center"/>
              <w:rPr>
                <w:rFonts w:eastAsia="Arial"/>
                <w:color w:val="000000"/>
                <w:sz w:val="18"/>
                <w:szCs w:val="18"/>
              </w:rPr>
            </w:pPr>
            <w:r w:rsidRPr="00D26657">
              <w:rPr>
                <w:rFonts w:eastAsia="Arial"/>
                <w:color w:val="000000"/>
                <w:sz w:val="18"/>
                <w:szCs w:val="18"/>
              </w:rPr>
              <w:t>BF-BOF</w:t>
            </w:r>
          </w:p>
        </w:tc>
        <w:tc>
          <w:tcPr>
            <w:tcW w:w="2322"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5EA2262A" w14:textId="77777777" w:rsidR="00C7511A" w:rsidRPr="00D26657" w:rsidRDefault="00C7511A" w:rsidP="00D26657">
            <w:pPr>
              <w:spacing w:line="240" w:lineRule="auto"/>
              <w:ind w:right="432"/>
              <w:jc w:val="center"/>
              <w:rPr>
                <w:rFonts w:eastAsia="Arial"/>
                <w:color w:val="000000"/>
                <w:sz w:val="18"/>
                <w:szCs w:val="18"/>
              </w:rPr>
            </w:pPr>
            <w:r w:rsidRPr="00D26657">
              <w:rPr>
                <w:rFonts w:eastAsia="Arial"/>
                <w:color w:val="000000"/>
                <w:sz w:val="18"/>
                <w:szCs w:val="18"/>
              </w:rPr>
              <w:t>2.20-2.60</w:t>
            </w:r>
          </w:p>
        </w:tc>
      </w:tr>
      <w:tr w:rsidR="00C7511A" w:rsidRPr="00644B04" w14:paraId="2D0DC0AC" w14:textId="77777777" w:rsidTr="009E7B1E">
        <w:tc>
          <w:tcPr>
            <w:tcW w:w="724" w:type="pct"/>
            <w:tcBorders>
              <w:top w:val="single" w:sz="4" w:space="0" w:color="000000"/>
              <w:left w:val="single" w:sz="4" w:space="0" w:color="000000"/>
              <w:bottom w:val="single" w:sz="4" w:space="0" w:color="000000"/>
              <w:right w:val="single" w:sz="4" w:space="0" w:color="000000"/>
            </w:tcBorders>
            <w:vAlign w:val="center"/>
          </w:tcPr>
          <w:p w14:paraId="2587BBC4" w14:textId="77777777" w:rsidR="00C7511A" w:rsidRPr="00D26657" w:rsidRDefault="00C7511A" w:rsidP="00662938">
            <w:pPr>
              <w:spacing w:line="240" w:lineRule="auto"/>
              <w:ind w:left="-30" w:right="-135"/>
              <w:jc w:val="center"/>
              <w:rPr>
                <w:rFonts w:eastAsia="Arial"/>
                <w:color w:val="000000"/>
                <w:sz w:val="18"/>
                <w:szCs w:val="18"/>
              </w:rPr>
            </w:pPr>
            <w:r w:rsidRPr="00D26657">
              <w:rPr>
                <w:rFonts w:eastAsia="Arial"/>
                <w:color w:val="000000"/>
                <w:sz w:val="18"/>
                <w:szCs w:val="18"/>
              </w:rPr>
              <w:t>4</w:t>
            </w:r>
          </w:p>
        </w:tc>
        <w:tc>
          <w:tcPr>
            <w:tcW w:w="1954" w:type="pct"/>
            <w:tcBorders>
              <w:top w:val="single" w:sz="4" w:space="0" w:color="000000"/>
              <w:left w:val="single" w:sz="4" w:space="0" w:color="000000"/>
              <w:bottom w:val="single" w:sz="4" w:space="0" w:color="000000"/>
              <w:right w:val="single" w:sz="4" w:space="0" w:color="000000"/>
            </w:tcBorders>
            <w:vAlign w:val="center"/>
          </w:tcPr>
          <w:p w14:paraId="633B0DE4" w14:textId="77777777" w:rsidR="00C7511A" w:rsidRPr="00D26657" w:rsidRDefault="00C7511A" w:rsidP="00662938">
            <w:pPr>
              <w:spacing w:line="240" w:lineRule="auto"/>
              <w:ind w:left="-74" w:right="-119"/>
              <w:jc w:val="center"/>
              <w:rPr>
                <w:rFonts w:eastAsia="Arial"/>
                <w:color w:val="000000"/>
                <w:sz w:val="18"/>
                <w:szCs w:val="18"/>
              </w:rPr>
            </w:pPr>
            <w:r w:rsidRPr="00D26657">
              <w:rPr>
                <w:rFonts w:eastAsia="Arial"/>
                <w:color w:val="000000"/>
                <w:sz w:val="18"/>
                <w:szCs w:val="18"/>
              </w:rPr>
              <w:t>Natural Gas based DRI-EAF</w:t>
            </w:r>
          </w:p>
        </w:tc>
        <w:tc>
          <w:tcPr>
            <w:tcW w:w="2322" w:type="pct"/>
            <w:tcBorders>
              <w:top w:val="single" w:sz="4" w:space="0" w:color="000000"/>
              <w:left w:val="single" w:sz="4" w:space="0" w:color="000000"/>
              <w:bottom w:val="single" w:sz="4" w:space="0" w:color="000000"/>
              <w:right w:val="single" w:sz="4" w:space="0" w:color="000000"/>
            </w:tcBorders>
            <w:vAlign w:val="center"/>
          </w:tcPr>
          <w:p w14:paraId="6B90CCCD" w14:textId="77777777" w:rsidR="00C7511A" w:rsidRPr="00D26657" w:rsidRDefault="00C7511A" w:rsidP="00D26657">
            <w:pPr>
              <w:spacing w:line="240" w:lineRule="auto"/>
              <w:ind w:right="432"/>
              <w:jc w:val="center"/>
              <w:rPr>
                <w:rFonts w:eastAsia="Arial"/>
                <w:color w:val="000000"/>
                <w:sz w:val="18"/>
                <w:szCs w:val="18"/>
              </w:rPr>
            </w:pPr>
            <w:r w:rsidRPr="00D26657">
              <w:rPr>
                <w:rFonts w:eastAsia="Arial"/>
                <w:color w:val="000000"/>
                <w:sz w:val="18"/>
                <w:szCs w:val="18"/>
              </w:rPr>
              <w:t>1.40-1.60</w:t>
            </w:r>
          </w:p>
        </w:tc>
      </w:tr>
      <w:tr w:rsidR="00C7511A" w:rsidRPr="00644B04" w14:paraId="338FEB7E" w14:textId="77777777" w:rsidTr="009E7B1E">
        <w:trPr>
          <w:cnfStyle w:val="000000100000" w:firstRow="0" w:lastRow="0" w:firstColumn="0" w:lastColumn="0" w:oddVBand="0" w:evenVBand="0" w:oddHBand="1" w:evenHBand="0" w:firstRowFirstColumn="0" w:firstRowLastColumn="0" w:lastRowFirstColumn="0" w:lastRowLastColumn="0"/>
        </w:trPr>
        <w:tc>
          <w:tcPr>
            <w:tcW w:w="724"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03A5450E" w14:textId="77777777" w:rsidR="00C7511A" w:rsidRPr="00D26657" w:rsidRDefault="00C7511A" w:rsidP="00662938">
            <w:pPr>
              <w:spacing w:line="240" w:lineRule="auto"/>
              <w:ind w:left="-30" w:right="-135"/>
              <w:jc w:val="center"/>
              <w:rPr>
                <w:rFonts w:eastAsia="Arial"/>
                <w:color w:val="000000"/>
                <w:sz w:val="18"/>
                <w:szCs w:val="18"/>
              </w:rPr>
            </w:pPr>
            <w:r w:rsidRPr="00D26657">
              <w:rPr>
                <w:rFonts w:eastAsia="Arial"/>
                <w:color w:val="000000"/>
                <w:sz w:val="18"/>
                <w:szCs w:val="18"/>
              </w:rPr>
              <w:t>5</w:t>
            </w:r>
          </w:p>
        </w:tc>
        <w:tc>
          <w:tcPr>
            <w:tcW w:w="1954"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7656D0E5" w14:textId="77777777" w:rsidR="00C7511A" w:rsidRPr="00D26657" w:rsidRDefault="00C7511A" w:rsidP="00662938">
            <w:pPr>
              <w:spacing w:line="240" w:lineRule="auto"/>
              <w:ind w:left="-74" w:right="-119"/>
              <w:jc w:val="center"/>
              <w:rPr>
                <w:rFonts w:eastAsia="Arial"/>
                <w:color w:val="000000"/>
                <w:sz w:val="18"/>
                <w:szCs w:val="18"/>
              </w:rPr>
            </w:pPr>
            <w:r w:rsidRPr="00D26657">
              <w:rPr>
                <w:rFonts w:eastAsia="Arial"/>
                <w:color w:val="000000"/>
                <w:sz w:val="18"/>
                <w:szCs w:val="18"/>
              </w:rPr>
              <w:t>100% scrap-based EAF</w:t>
            </w:r>
          </w:p>
        </w:tc>
        <w:tc>
          <w:tcPr>
            <w:tcW w:w="2322" w:type="pct"/>
            <w:tcBorders>
              <w:top w:val="single" w:sz="4" w:space="0" w:color="000000"/>
              <w:left w:val="single" w:sz="4" w:space="0" w:color="000000"/>
              <w:bottom w:val="single" w:sz="4" w:space="0" w:color="000000"/>
              <w:right w:val="single" w:sz="4" w:space="0" w:color="000000"/>
            </w:tcBorders>
            <w:shd w:val="clear" w:color="auto" w:fill="C9D8E1"/>
            <w:vAlign w:val="center"/>
          </w:tcPr>
          <w:p w14:paraId="7B98E4D6" w14:textId="77777777" w:rsidR="00C7511A" w:rsidRPr="00D26657" w:rsidRDefault="00C7511A" w:rsidP="00D26657">
            <w:pPr>
              <w:spacing w:line="240" w:lineRule="auto"/>
              <w:ind w:right="432"/>
              <w:jc w:val="center"/>
              <w:rPr>
                <w:rFonts w:eastAsia="Arial"/>
                <w:color w:val="000000"/>
                <w:sz w:val="18"/>
                <w:szCs w:val="18"/>
              </w:rPr>
            </w:pPr>
            <w:r w:rsidRPr="00D26657">
              <w:rPr>
                <w:rFonts w:eastAsia="Arial"/>
                <w:color w:val="000000"/>
                <w:sz w:val="18"/>
                <w:szCs w:val="18"/>
              </w:rPr>
              <w:t>0.55-0.65</w:t>
            </w:r>
          </w:p>
        </w:tc>
      </w:tr>
      <w:tr w:rsidR="00C7511A" w:rsidRPr="00644B04" w14:paraId="046D623A" w14:textId="77777777" w:rsidTr="009E7B1E">
        <w:tc>
          <w:tcPr>
            <w:tcW w:w="2678" w:type="pct"/>
            <w:gridSpan w:val="2"/>
            <w:tcBorders>
              <w:top w:val="single" w:sz="4" w:space="0" w:color="000000"/>
              <w:left w:val="single" w:sz="4" w:space="0" w:color="000000"/>
              <w:bottom w:val="single" w:sz="4" w:space="0" w:color="000000"/>
              <w:right w:val="single" w:sz="4" w:space="0" w:color="000000"/>
            </w:tcBorders>
            <w:vAlign w:val="center"/>
          </w:tcPr>
          <w:p w14:paraId="3349FD18" w14:textId="77777777" w:rsidR="00C7511A" w:rsidRPr="00D26657" w:rsidRDefault="00C7511A" w:rsidP="00662938">
            <w:pPr>
              <w:spacing w:line="240" w:lineRule="auto"/>
              <w:ind w:left="-74" w:right="-119"/>
              <w:jc w:val="center"/>
              <w:rPr>
                <w:rFonts w:eastAsia="Arial"/>
                <w:color w:val="000000"/>
                <w:sz w:val="18"/>
                <w:szCs w:val="18"/>
              </w:rPr>
            </w:pPr>
            <w:r w:rsidRPr="00D26657">
              <w:rPr>
                <w:rFonts w:eastAsia="Arial"/>
                <w:color w:val="000000"/>
                <w:sz w:val="18"/>
                <w:szCs w:val="18"/>
              </w:rPr>
              <w:t>Average emission intensity in India</w:t>
            </w:r>
          </w:p>
        </w:tc>
        <w:tc>
          <w:tcPr>
            <w:tcW w:w="2322" w:type="pct"/>
            <w:tcBorders>
              <w:top w:val="single" w:sz="4" w:space="0" w:color="000000"/>
              <w:left w:val="single" w:sz="4" w:space="0" w:color="000000"/>
              <w:bottom w:val="single" w:sz="4" w:space="0" w:color="000000"/>
              <w:right w:val="single" w:sz="4" w:space="0" w:color="000000"/>
            </w:tcBorders>
            <w:vAlign w:val="center"/>
          </w:tcPr>
          <w:p w14:paraId="387F3DAA" w14:textId="77777777" w:rsidR="00C7511A" w:rsidRPr="00D26657" w:rsidRDefault="00C7511A" w:rsidP="00D26657">
            <w:pPr>
              <w:spacing w:line="240" w:lineRule="auto"/>
              <w:ind w:right="432"/>
              <w:jc w:val="center"/>
              <w:rPr>
                <w:rFonts w:eastAsia="Arial"/>
                <w:color w:val="000000"/>
                <w:sz w:val="18"/>
                <w:szCs w:val="18"/>
              </w:rPr>
            </w:pPr>
            <w:r w:rsidRPr="00D26657">
              <w:rPr>
                <w:rFonts w:eastAsia="Arial"/>
                <w:color w:val="000000"/>
                <w:sz w:val="18"/>
                <w:szCs w:val="18"/>
              </w:rPr>
              <w:t>2.54</w:t>
            </w:r>
          </w:p>
        </w:tc>
      </w:tr>
    </w:tbl>
    <w:p w14:paraId="735DF8C6" w14:textId="77777777" w:rsidR="00C7511A" w:rsidRPr="00740FCA" w:rsidRDefault="00C7511A" w:rsidP="00C7511A">
      <w:pPr>
        <w:tabs>
          <w:tab w:val="center" w:pos="4680"/>
          <w:tab w:val="right" w:pos="9720"/>
        </w:tabs>
        <w:spacing w:before="160" w:after="120" w:line="240" w:lineRule="auto"/>
        <w:ind w:right="432"/>
        <w:rPr>
          <w:rFonts w:eastAsia="Times New Roman"/>
          <w:i/>
          <w:sz w:val="16"/>
          <w:szCs w:val="15"/>
        </w:rPr>
      </w:pPr>
      <w:r w:rsidRPr="00740FCA">
        <w:rPr>
          <w:rFonts w:eastAsia="Times New Roman"/>
          <w:i/>
          <w:sz w:val="16"/>
          <w:szCs w:val="15"/>
        </w:rPr>
        <w:t>DRI- Direct Reduced Iron, EIF- Electrical Induction Furnace, EAF- Electric Arc Furnace, BF- Blast Furnace, BOF- Basic Oxygen Furnace</w:t>
      </w:r>
    </w:p>
    <w:p w14:paraId="771DBC7C" w14:textId="77777777" w:rsidR="00C7511A" w:rsidRDefault="00C7511A" w:rsidP="00C7511A">
      <w:pPr>
        <w:tabs>
          <w:tab w:val="center" w:pos="4680"/>
          <w:tab w:val="right" w:pos="9720"/>
        </w:tabs>
        <w:spacing w:before="160" w:after="120" w:line="240" w:lineRule="auto"/>
        <w:ind w:right="432"/>
        <w:rPr>
          <w:rFonts w:eastAsia="Times New Roman"/>
          <w:i/>
          <w:sz w:val="16"/>
          <w:szCs w:val="15"/>
        </w:rPr>
      </w:pPr>
      <w:r w:rsidRPr="00740FCA">
        <w:rPr>
          <w:rFonts w:eastAsia="Times New Roman"/>
          <w:i/>
          <w:sz w:val="16"/>
          <w:szCs w:val="15"/>
        </w:rPr>
        <w:t xml:space="preserve">Source: Ministry of Steel </w:t>
      </w:r>
    </w:p>
    <w:p w14:paraId="4AD4EB4A" w14:textId="77777777" w:rsidR="00C7511A" w:rsidRPr="00E13536" w:rsidRDefault="00C7511A" w:rsidP="00C7511A">
      <w:pPr>
        <w:ind w:right="115"/>
        <w:rPr>
          <w:szCs w:val="20"/>
        </w:rPr>
      </w:pPr>
      <w:r w:rsidRPr="00E13536">
        <w:rPr>
          <w:szCs w:val="20"/>
        </w:rPr>
        <w:t>The coal sector must balance economic imperatives with sustainability. While India's immediate energy security needs justify continued coal reliance, integrating technological advancements and policy-driven incentives can create a structured transition towards lower emissions without undermining industrial competitiveness. Addressing emissions is not about eliminating coal but about making its usage more efficient and environmentally responsible.</w:t>
      </w:r>
    </w:p>
    <w:p w14:paraId="48E3F558" w14:textId="3037CBD6" w:rsidR="00C7511A" w:rsidRPr="00740FCA" w:rsidRDefault="00C7511A" w:rsidP="00C7511A">
      <w:pPr>
        <w:spacing w:before="160" w:after="120"/>
        <w:ind w:right="432"/>
        <w:rPr>
          <w:szCs w:val="20"/>
        </w:rPr>
      </w:pPr>
      <w:r w:rsidRPr="00740FCA">
        <w:rPr>
          <w:szCs w:val="20"/>
        </w:rPr>
        <w:t>-------------------------------------------------------------------------------------------------------------------------------------------</w:t>
      </w:r>
      <w:r w:rsidR="0092160F">
        <w:rPr>
          <w:szCs w:val="20"/>
        </w:rPr>
        <w:t>-----------</w:t>
      </w:r>
    </w:p>
    <w:p w14:paraId="223DFF99" w14:textId="3F23B741" w:rsidR="00C7511A" w:rsidRPr="00DE487D" w:rsidRDefault="00C7511A" w:rsidP="00662938">
      <w:pPr>
        <w:spacing w:before="160" w:after="120"/>
        <w:ind w:right="112"/>
      </w:pPr>
      <w:r w:rsidRPr="00E13536">
        <w:rPr>
          <w:b/>
          <w:bCs/>
          <w:szCs w:val="20"/>
        </w:rPr>
        <w:t xml:space="preserve">India plays a significant role in the global economy, driven by its diverse industrial base, growing consumer market, and strategic geopolitical position. As one of the fastest-growing major economies expecting a strong real growth of 6-7% in this decade, India's contribution to global GDP continues to rise. </w:t>
      </w:r>
      <w:r w:rsidR="00050971">
        <w:rPr>
          <w:b/>
          <w:bCs/>
          <w:szCs w:val="20"/>
        </w:rPr>
        <w:t>T</w:t>
      </w:r>
      <w:r w:rsidRPr="00E13536">
        <w:rPr>
          <w:b/>
          <w:bCs/>
          <w:szCs w:val="20"/>
        </w:rPr>
        <w:t xml:space="preserve">he mining sector remains crucial, contributing </w:t>
      </w:r>
      <w:r w:rsidR="00C10461" w:rsidRPr="00662938">
        <w:rPr>
          <w:b/>
          <w:bCs/>
        </w:rPr>
        <w:t>approximately</w:t>
      </w:r>
      <w:r w:rsidR="00C10461">
        <w:t xml:space="preserve"> </w:t>
      </w:r>
      <w:r w:rsidRPr="00E13536">
        <w:rPr>
          <w:b/>
          <w:bCs/>
          <w:szCs w:val="20"/>
        </w:rPr>
        <w:t>2.1% to India's GDP. Mining plays a vital role in India’s economy, providing raw materials for various industries such as power, steel, cement, and infrastructure.</w:t>
      </w:r>
      <w:r>
        <w:br w:type="page"/>
      </w:r>
    </w:p>
    <w:p w14:paraId="3F835A3D" w14:textId="583A1419" w:rsidR="00C7511A" w:rsidRDefault="00C7511A" w:rsidP="00C7511A">
      <w:pPr>
        <w:pStyle w:val="Heading10"/>
        <w:ind w:right="182"/>
      </w:pPr>
      <w:bookmarkStart w:id="293" w:name="_Toc198730361"/>
      <w:r w:rsidRPr="006F53BC">
        <w:t>Indian Mining Industry Overview</w:t>
      </w:r>
      <w:bookmarkEnd w:id="293"/>
    </w:p>
    <w:p w14:paraId="63E3F4EC" w14:textId="77777777" w:rsidR="00005A22" w:rsidRDefault="00673B66" w:rsidP="00673B66">
      <w:pPr>
        <w:pStyle w:val="Heading2"/>
      </w:pPr>
      <w:bookmarkStart w:id="294" w:name="_Toc198730362"/>
      <w:r w:rsidRPr="00574ED0">
        <w:t>Minerals at the Core</w:t>
      </w:r>
      <w:bookmarkEnd w:id="294"/>
    </w:p>
    <w:p w14:paraId="15E7D0D0" w14:textId="70F85DD7" w:rsidR="00673B66" w:rsidRPr="00740FCA" w:rsidRDefault="00673B66" w:rsidP="00662938">
      <w:pPr>
        <w:pStyle w:val="Heading30"/>
      </w:pPr>
      <w:r w:rsidRPr="00574ED0">
        <w:t>Coal</w:t>
      </w:r>
      <w:r w:rsidRPr="00740FCA">
        <w:t xml:space="preserve">, Iron Ore, and Limestone in India's Power and Infrastructure Sectors </w:t>
      </w:r>
    </w:p>
    <w:p w14:paraId="7942727B" w14:textId="77777777" w:rsidR="00673B66" w:rsidRPr="00621BC1" w:rsidRDefault="00673B66" w:rsidP="00673B66">
      <w:pPr>
        <w:ind w:right="112"/>
        <w:rPr>
          <w:szCs w:val="20"/>
        </w:rPr>
      </w:pPr>
      <w:r w:rsidRPr="00621BC1">
        <w:rPr>
          <w:szCs w:val="20"/>
        </w:rPr>
        <w:t>The main minerals mined in India are coal, iron ore, and limestone, which are intricately linked to the country's power, steel, and cement industries. Coal, the primary source of fuel for India's thermal power plants, accounts for over 75% of the country's electricity generation.</w:t>
      </w:r>
      <w:r w:rsidRPr="00621BC1">
        <w:rPr>
          <w:rStyle w:val="FootnoteReference"/>
          <w:szCs w:val="20"/>
        </w:rPr>
        <w:footnoteReference w:id="23"/>
      </w:r>
      <w:r w:rsidRPr="00621BC1">
        <w:rPr>
          <w:szCs w:val="20"/>
        </w:rPr>
        <w:t xml:space="preserve"> The power sector, which is heavily reliant on coal, is also closely tied to the steel and cement industries, as electricity is a critical input for the production of steel and cement.</w:t>
      </w:r>
    </w:p>
    <w:p w14:paraId="052EDE5C" w14:textId="69C93172" w:rsidR="00673B66" w:rsidRPr="00740FCA" w:rsidRDefault="00673B66" w:rsidP="00673B66">
      <w:pPr>
        <w:pStyle w:val="Caption1"/>
        <w:rPr>
          <w:rFonts w:eastAsia="Times New Roman" w:cs="Book Antiqua"/>
          <w:szCs w:val="18"/>
          <w:lang w:eastAsia="en-IN"/>
        </w:rPr>
      </w:pPr>
      <w:bookmarkStart w:id="295" w:name="_Toc198731499"/>
      <w:r w:rsidRPr="00740FCA">
        <w:t xml:space="preserve">Figure </w:t>
      </w:r>
      <w:r w:rsidRPr="00740FCA">
        <w:fldChar w:fldCharType="begin"/>
      </w:r>
      <w:r w:rsidRPr="00740FCA">
        <w:instrText xml:space="preserve"> STYLEREF 1 \s </w:instrText>
      </w:r>
      <w:r w:rsidRPr="00740FCA">
        <w:fldChar w:fldCharType="separate"/>
      </w:r>
      <w:r w:rsidR="002142B9">
        <w:t>2</w:t>
      </w:r>
      <w:r w:rsidRPr="00740FCA">
        <w:fldChar w:fldCharType="end"/>
      </w:r>
      <w:r w:rsidRPr="00740FCA">
        <w:t>.</w:t>
      </w:r>
      <w:r w:rsidRPr="00740FCA">
        <w:fldChar w:fldCharType="begin"/>
      </w:r>
      <w:r w:rsidRPr="00740FCA">
        <w:instrText xml:space="preserve"> SEQ Figure \* ARABIC \s 1 </w:instrText>
      </w:r>
      <w:r w:rsidRPr="00740FCA">
        <w:fldChar w:fldCharType="separate"/>
      </w:r>
      <w:r w:rsidR="002142B9">
        <w:t>1</w:t>
      </w:r>
      <w:r w:rsidRPr="00740FCA">
        <w:fldChar w:fldCharType="end"/>
      </w:r>
      <w:r w:rsidRPr="00740FCA">
        <w:t>:</w:t>
      </w:r>
      <w:r>
        <w:t xml:space="preserve"> </w:t>
      </w:r>
      <w:r w:rsidRPr="00740FCA">
        <w:rPr>
          <w:rFonts w:eastAsia="Times New Roman" w:cs="Book Antiqua"/>
          <w:szCs w:val="18"/>
          <w:lang w:eastAsia="en-IN"/>
        </w:rPr>
        <w:t>Value</w:t>
      </w:r>
      <w:r>
        <w:rPr>
          <w:rFonts w:eastAsia="Times New Roman" w:cs="Book Antiqua"/>
          <w:szCs w:val="18"/>
          <w:lang w:eastAsia="en-IN"/>
        </w:rPr>
        <w:t xml:space="preserve"> in Rs trillion</w:t>
      </w:r>
      <w:r w:rsidRPr="00740FCA">
        <w:rPr>
          <w:rFonts w:eastAsia="Times New Roman" w:cs="Book Antiqua"/>
          <w:szCs w:val="18"/>
          <w:lang w:eastAsia="en-IN"/>
        </w:rPr>
        <w:t xml:space="preserve"> of minerals in India distribution</w:t>
      </w:r>
      <w:bookmarkEnd w:id="295"/>
    </w:p>
    <w:p w14:paraId="721524B1" w14:textId="77777777" w:rsidR="00673B66" w:rsidRPr="00740FCA" w:rsidRDefault="00673B66" w:rsidP="00662938">
      <w:pPr>
        <w:spacing w:before="160" w:after="0"/>
        <w:ind w:right="432"/>
      </w:pPr>
      <w:r w:rsidRPr="00740FCA">
        <w:rPr>
          <w:noProof/>
        </w:rPr>
        <w:drawing>
          <wp:inline distT="0" distB="0" distL="0" distR="0" wp14:anchorId="1EBBD985" wp14:editId="0082FB6F">
            <wp:extent cx="6456680" cy="914400"/>
            <wp:effectExtent l="0" t="0" r="1270" b="0"/>
            <wp:docPr id="1698734416" name="Chart 1">
              <a:extLst xmlns:a="http://schemas.openxmlformats.org/drawingml/2006/main">
                <a:ext uri="{FF2B5EF4-FFF2-40B4-BE49-F238E27FC236}">
                  <a16:creationId xmlns:a16="http://schemas.microsoft.com/office/drawing/2014/main" id="{DDB6EF76-70A3-C1E3-C3A2-891CA7E38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2DA020" w14:textId="77777777" w:rsidR="00673B66" w:rsidRPr="00740FCA" w:rsidRDefault="00673B66" w:rsidP="00673B66">
      <w:pPr>
        <w:tabs>
          <w:tab w:val="center" w:pos="4680"/>
          <w:tab w:val="right" w:pos="9720"/>
        </w:tabs>
        <w:spacing w:before="160" w:after="120" w:line="240" w:lineRule="auto"/>
        <w:ind w:right="432"/>
        <w:rPr>
          <w:rFonts w:eastAsiaTheme="minorEastAsia"/>
          <w:i/>
          <w:sz w:val="16"/>
          <w:szCs w:val="15"/>
        </w:rPr>
      </w:pPr>
      <w:r w:rsidRPr="00740FCA">
        <w:rPr>
          <w:rFonts w:eastAsiaTheme="minorEastAsia"/>
          <w:i/>
          <w:sz w:val="16"/>
          <w:szCs w:val="15"/>
        </w:rPr>
        <w:t>Source: Ministry of Mines, Government of India, total value of mineral production is Rs 2.</w:t>
      </w:r>
      <w:r>
        <w:rPr>
          <w:rFonts w:eastAsiaTheme="minorEastAsia"/>
          <w:i/>
          <w:sz w:val="16"/>
          <w:szCs w:val="15"/>
        </w:rPr>
        <w:t>83</w:t>
      </w:r>
      <w:r w:rsidRPr="00740FCA">
        <w:rPr>
          <w:rFonts w:eastAsiaTheme="minorEastAsia"/>
          <w:i/>
          <w:sz w:val="16"/>
          <w:szCs w:val="15"/>
        </w:rPr>
        <w:t xml:space="preserve"> trillion for fiscal 202</w:t>
      </w:r>
      <w:r>
        <w:rPr>
          <w:rFonts w:eastAsiaTheme="minorEastAsia"/>
          <w:i/>
          <w:sz w:val="16"/>
          <w:szCs w:val="15"/>
        </w:rPr>
        <w:t>5</w:t>
      </w:r>
      <w:r w:rsidRPr="00740FCA">
        <w:rPr>
          <w:rFonts w:eastAsiaTheme="minorEastAsia"/>
          <w:i/>
          <w:sz w:val="16"/>
          <w:szCs w:val="15"/>
        </w:rPr>
        <w:t>.</w:t>
      </w:r>
    </w:p>
    <w:p w14:paraId="6164AEFC" w14:textId="77777777" w:rsidR="00673B66" w:rsidRPr="00621BC1" w:rsidRDefault="00673B66" w:rsidP="00673B66">
      <w:pPr>
        <w:ind w:right="115"/>
        <w:rPr>
          <w:szCs w:val="20"/>
        </w:rPr>
      </w:pPr>
      <w:r w:rsidRPr="00621BC1">
        <w:rPr>
          <w:szCs w:val="20"/>
        </w:rPr>
        <w:t xml:space="preserve">Coal and iron ore are the bedrock of India's mineral wealth, playing a critical role in driving the nation's industrial and economic progress. These minerals not only fuel the country’s energy needs but also support the backbone of its manufacturing sector, particularly in steel production. </w:t>
      </w:r>
    </w:p>
    <w:p w14:paraId="6E99DEB3" w14:textId="4E50D527" w:rsidR="00673B66" w:rsidRPr="00621BC1" w:rsidRDefault="00673B66" w:rsidP="00673B66">
      <w:pPr>
        <w:ind w:right="115"/>
        <w:rPr>
          <w:szCs w:val="20"/>
        </w:rPr>
      </w:pPr>
      <w:r w:rsidRPr="00621BC1">
        <w:rPr>
          <w:szCs w:val="20"/>
        </w:rPr>
        <w:t xml:space="preserve">The value of minerals mined in India is approximately evenly split between the coal and non-coal minerals. Coal is undeniably the most crucial mineral for India, accounting for </w:t>
      </w:r>
      <w:r w:rsidR="00C10461">
        <w:t xml:space="preserve">approximately </w:t>
      </w:r>
      <w:r w:rsidRPr="00621BC1">
        <w:rPr>
          <w:szCs w:val="20"/>
        </w:rPr>
        <w:t>5</w:t>
      </w:r>
      <w:r>
        <w:rPr>
          <w:szCs w:val="20"/>
        </w:rPr>
        <w:t>0</w:t>
      </w:r>
      <w:r w:rsidRPr="00621BC1">
        <w:rPr>
          <w:szCs w:val="20"/>
        </w:rPr>
        <w:t>%</w:t>
      </w:r>
      <w:r w:rsidRPr="00621BC1">
        <w:rPr>
          <w:szCs w:val="20"/>
          <w:vertAlign w:val="superscript"/>
        </w:rPr>
        <w:footnoteReference w:id="24"/>
      </w:r>
      <w:r w:rsidRPr="00621BC1">
        <w:rPr>
          <w:szCs w:val="20"/>
        </w:rPr>
        <w:t xml:space="preserve"> of the total value of minerals mined in the country</w:t>
      </w:r>
      <w:r>
        <w:rPr>
          <w:szCs w:val="20"/>
        </w:rPr>
        <w:t xml:space="preserve"> in fiscal 2025</w:t>
      </w:r>
      <w:r w:rsidRPr="00621BC1">
        <w:rPr>
          <w:szCs w:val="20"/>
        </w:rPr>
        <w:t xml:space="preserve">. Given India's large population (largest country by population in the world with </w:t>
      </w:r>
      <w:r w:rsidR="00C10461">
        <w:t xml:space="preserve">approximately </w:t>
      </w:r>
      <w:r w:rsidRPr="00621BC1">
        <w:rPr>
          <w:szCs w:val="20"/>
        </w:rPr>
        <w:t>1.44 billion people in 2024 according to IMF estimates) and rapidly growing economy (6.</w:t>
      </w:r>
      <w:r>
        <w:rPr>
          <w:szCs w:val="20"/>
        </w:rPr>
        <w:t>4</w:t>
      </w:r>
      <w:r w:rsidRPr="00621BC1">
        <w:rPr>
          <w:szCs w:val="20"/>
        </w:rPr>
        <w:t>% real GDP growth rate expected from CY202</w:t>
      </w:r>
      <w:r>
        <w:rPr>
          <w:szCs w:val="20"/>
        </w:rPr>
        <w:t>5</w:t>
      </w:r>
      <w:r w:rsidRPr="00621BC1">
        <w:rPr>
          <w:szCs w:val="20"/>
        </w:rPr>
        <w:t xml:space="preserve"> to CY20</w:t>
      </w:r>
      <w:r>
        <w:rPr>
          <w:szCs w:val="20"/>
        </w:rPr>
        <w:t>30</w:t>
      </w:r>
      <w:r w:rsidRPr="00621BC1">
        <w:rPr>
          <w:szCs w:val="20"/>
        </w:rPr>
        <w:t>, according to the IMF</w:t>
      </w:r>
      <w:r w:rsidRPr="00621BC1">
        <w:rPr>
          <w:szCs w:val="20"/>
          <w:vertAlign w:val="superscript"/>
        </w:rPr>
        <w:footnoteReference w:id="25"/>
      </w:r>
      <w:r w:rsidRPr="00621BC1">
        <w:rPr>
          <w:szCs w:val="20"/>
        </w:rPr>
        <w:t>), the demand for energy is ever-increasing, making thermal coal indispensable for ensuring energy security. The importance of coal is further underscored by its widespread use in various industries</w:t>
      </w:r>
      <w:r w:rsidRPr="00621BC1">
        <w:rPr>
          <w:szCs w:val="20"/>
          <w:vertAlign w:val="superscript"/>
        </w:rPr>
        <w:footnoteReference w:id="26"/>
      </w:r>
      <w:r w:rsidRPr="00621BC1">
        <w:rPr>
          <w:szCs w:val="20"/>
        </w:rPr>
        <w:t xml:space="preserve">, from cement to chemicals, contributing significantly to India's industrial output. </w:t>
      </w:r>
    </w:p>
    <w:p w14:paraId="20015B1C" w14:textId="1B6B9E48" w:rsidR="00673B66" w:rsidRDefault="00673B66" w:rsidP="00673B66">
      <w:pPr>
        <w:ind w:right="115"/>
        <w:rPr>
          <w:szCs w:val="20"/>
        </w:rPr>
      </w:pPr>
      <w:r w:rsidRPr="00621BC1">
        <w:rPr>
          <w:szCs w:val="20"/>
        </w:rPr>
        <w:t xml:space="preserve">Besides coal, metallic minerals contribute to the country’s mineral wealth significantly, at </w:t>
      </w:r>
      <w:r w:rsidR="00917F4E">
        <w:t xml:space="preserve">approximately </w:t>
      </w:r>
      <w:r w:rsidRPr="00621BC1">
        <w:rPr>
          <w:szCs w:val="20"/>
        </w:rPr>
        <w:t>4</w:t>
      </w:r>
      <w:r>
        <w:rPr>
          <w:szCs w:val="20"/>
        </w:rPr>
        <w:t>5</w:t>
      </w:r>
      <w:r w:rsidRPr="00621BC1">
        <w:rPr>
          <w:szCs w:val="20"/>
        </w:rPr>
        <w:t>%</w:t>
      </w:r>
      <w:r w:rsidRPr="00621BC1">
        <w:rPr>
          <w:rStyle w:val="FootnoteReference"/>
          <w:szCs w:val="20"/>
        </w:rPr>
        <w:footnoteReference w:id="27"/>
      </w:r>
      <w:r w:rsidRPr="00621BC1">
        <w:rPr>
          <w:szCs w:val="20"/>
        </w:rPr>
        <w:t xml:space="preserve"> of the value of minerals mined</w:t>
      </w:r>
      <w:r>
        <w:rPr>
          <w:szCs w:val="20"/>
        </w:rPr>
        <w:t xml:space="preserve"> in fiscal 2025</w:t>
      </w:r>
      <w:r w:rsidRPr="00621BC1">
        <w:rPr>
          <w:szCs w:val="20"/>
        </w:rPr>
        <w:t xml:space="preserve">. Iron ore, contributing </w:t>
      </w:r>
      <w:r w:rsidR="00917F4E">
        <w:t xml:space="preserve">approximately </w:t>
      </w:r>
      <w:r w:rsidRPr="00621BC1">
        <w:rPr>
          <w:szCs w:val="20"/>
        </w:rPr>
        <w:t>3</w:t>
      </w:r>
      <w:r>
        <w:rPr>
          <w:szCs w:val="20"/>
        </w:rPr>
        <w:t>4</w:t>
      </w:r>
      <w:r w:rsidRPr="00621BC1">
        <w:rPr>
          <w:szCs w:val="20"/>
        </w:rPr>
        <w:t xml:space="preserve">% to the total value of minerals mined in India, is another essential mineral that underpins India’s economic framework. Approximately </w:t>
      </w:r>
      <w:r>
        <w:rPr>
          <w:szCs w:val="20"/>
        </w:rPr>
        <w:t>76</w:t>
      </w:r>
      <w:r w:rsidRPr="00621BC1">
        <w:rPr>
          <w:szCs w:val="20"/>
        </w:rPr>
        <w:t>%</w:t>
      </w:r>
      <w:r w:rsidRPr="00621BC1">
        <w:rPr>
          <w:rStyle w:val="FootnoteReference"/>
          <w:szCs w:val="20"/>
        </w:rPr>
        <w:footnoteReference w:id="28"/>
      </w:r>
      <w:r w:rsidRPr="00621BC1">
        <w:rPr>
          <w:szCs w:val="20"/>
        </w:rPr>
        <w:t xml:space="preserve"> of the value generated by metallic minerals in India comes from iron ore, reflecting its importance. With India being the second largest producers of steel globally, the demand for high-quality iron ore is ever-growing. Given that the mining industry contributes </w:t>
      </w:r>
      <w:r w:rsidR="00917F4E">
        <w:t xml:space="preserve">approximately </w:t>
      </w:r>
      <w:r w:rsidRPr="00621BC1">
        <w:rPr>
          <w:szCs w:val="20"/>
        </w:rPr>
        <w:t xml:space="preserve">2.1% to India's GVA, coal </w:t>
      </w:r>
      <w:r>
        <w:rPr>
          <w:szCs w:val="20"/>
        </w:rPr>
        <w:t xml:space="preserve">(50%) </w:t>
      </w:r>
      <w:r w:rsidRPr="00621BC1">
        <w:rPr>
          <w:szCs w:val="20"/>
        </w:rPr>
        <w:t xml:space="preserve">and iron ore </w:t>
      </w:r>
      <w:r>
        <w:rPr>
          <w:szCs w:val="20"/>
        </w:rPr>
        <w:t xml:space="preserve">(34%) </w:t>
      </w:r>
      <w:r w:rsidRPr="00621BC1">
        <w:rPr>
          <w:szCs w:val="20"/>
        </w:rPr>
        <w:t>contribute about 8</w:t>
      </w:r>
      <w:r>
        <w:rPr>
          <w:szCs w:val="20"/>
        </w:rPr>
        <w:t>4</w:t>
      </w:r>
      <w:r w:rsidRPr="00621BC1">
        <w:rPr>
          <w:szCs w:val="20"/>
        </w:rPr>
        <w:t>%</w:t>
      </w:r>
      <w:r>
        <w:rPr>
          <w:szCs w:val="20"/>
        </w:rPr>
        <w:t xml:space="preserve"> of the mining GVA. </w:t>
      </w:r>
      <w:r w:rsidRPr="00621BC1">
        <w:rPr>
          <w:szCs w:val="20"/>
        </w:rPr>
        <w:t xml:space="preserve"> </w:t>
      </w:r>
    </w:p>
    <w:p w14:paraId="1DDD1C08" w14:textId="77777777" w:rsidR="00AF5BBE" w:rsidRDefault="00AF5BBE" w:rsidP="00673B66">
      <w:pPr>
        <w:pStyle w:val="Caption1"/>
        <w:rPr>
          <w:color w:val="auto"/>
          <w:lang w:eastAsia="en-IN"/>
        </w:rPr>
      </w:pPr>
    </w:p>
    <w:p w14:paraId="6F11122B" w14:textId="4DD96CBD" w:rsidR="00673B66" w:rsidRPr="00740FCA" w:rsidRDefault="00673B66" w:rsidP="00673B66">
      <w:pPr>
        <w:pStyle w:val="Caption1"/>
        <w:rPr>
          <w:lang w:eastAsia="en-IN"/>
        </w:rPr>
      </w:pPr>
      <w:bookmarkStart w:id="296" w:name="_Toc198731500"/>
      <w:r w:rsidRPr="005F372B">
        <w:rPr>
          <w:color w:val="auto"/>
          <w:lang w:eastAsia="en-IN"/>
        </w:rPr>
        <w:t xml:space="preserve">Figure </w:t>
      </w:r>
      <w:r w:rsidRPr="005F372B">
        <w:rPr>
          <w:color w:val="auto"/>
          <w:lang w:eastAsia="en-IN"/>
        </w:rPr>
        <w:fldChar w:fldCharType="begin"/>
      </w:r>
      <w:r w:rsidRPr="005F372B">
        <w:rPr>
          <w:color w:val="auto"/>
          <w:lang w:eastAsia="en-IN"/>
        </w:rPr>
        <w:instrText xml:space="preserve"> STYLEREF 1 \s </w:instrText>
      </w:r>
      <w:r w:rsidRPr="005F372B">
        <w:rPr>
          <w:color w:val="auto"/>
          <w:lang w:eastAsia="en-IN"/>
        </w:rPr>
        <w:fldChar w:fldCharType="separate"/>
      </w:r>
      <w:r w:rsidR="002142B9">
        <w:rPr>
          <w:color w:val="auto"/>
          <w:lang w:eastAsia="en-IN"/>
        </w:rPr>
        <w:t>2</w:t>
      </w:r>
      <w:r w:rsidRPr="005F372B">
        <w:rPr>
          <w:color w:val="auto"/>
          <w:lang w:eastAsia="en-IN"/>
        </w:rPr>
        <w:fldChar w:fldCharType="end"/>
      </w:r>
      <w:r w:rsidRPr="005F372B">
        <w:rPr>
          <w:color w:val="auto"/>
          <w:lang w:eastAsia="en-IN"/>
        </w:rPr>
        <w:t>.</w:t>
      </w:r>
      <w:r w:rsidRPr="005F372B">
        <w:rPr>
          <w:color w:val="auto"/>
          <w:lang w:eastAsia="en-IN"/>
        </w:rPr>
        <w:fldChar w:fldCharType="begin"/>
      </w:r>
      <w:r w:rsidRPr="005F372B">
        <w:rPr>
          <w:color w:val="auto"/>
          <w:lang w:eastAsia="en-IN"/>
        </w:rPr>
        <w:instrText xml:space="preserve"> SEQ Figure \* ARABIC \s 1 </w:instrText>
      </w:r>
      <w:r w:rsidRPr="005F372B">
        <w:rPr>
          <w:color w:val="auto"/>
          <w:lang w:eastAsia="en-IN"/>
        </w:rPr>
        <w:fldChar w:fldCharType="separate"/>
      </w:r>
      <w:r w:rsidR="002142B9">
        <w:rPr>
          <w:color w:val="auto"/>
          <w:lang w:eastAsia="en-IN"/>
        </w:rPr>
        <w:t>2</w:t>
      </w:r>
      <w:r w:rsidRPr="005F372B">
        <w:rPr>
          <w:color w:val="auto"/>
          <w:lang w:eastAsia="en-IN"/>
        </w:rPr>
        <w:fldChar w:fldCharType="end"/>
      </w:r>
      <w:r w:rsidRPr="005F372B">
        <w:rPr>
          <w:lang w:eastAsia="en-IN"/>
        </w:rPr>
        <w:t>: Value of minerals (coal and major minerals) in India (Rs trillion)</w:t>
      </w:r>
      <w:bookmarkEnd w:id="296"/>
      <w:r w:rsidRPr="00740FCA">
        <w:rPr>
          <w:lang w:eastAsia="en-IN"/>
        </w:rPr>
        <w:t xml:space="preserve"> </w:t>
      </w:r>
    </w:p>
    <w:p w14:paraId="7CF2E305" w14:textId="77777777" w:rsidR="00673B66" w:rsidRPr="00740FCA" w:rsidRDefault="00673B66" w:rsidP="00673B66">
      <w:pPr>
        <w:spacing w:before="160" w:after="120" w:line="240" w:lineRule="auto"/>
        <w:ind w:right="432"/>
        <w:rPr>
          <w:rFonts w:eastAsia="Calibri"/>
          <w:color w:val="434242"/>
          <w:kern w:val="0"/>
          <w:szCs w:val="20"/>
          <w:lang w:val="en-GB"/>
          <w14:ligatures w14:val="none"/>
        </w:rPr>
      </w:pPr>
      <w:r w:rsidRPr="002C5CE1">
        <w:rPr>
          <w:rFonts w:eastAsia="Calibri"/>
          <w:noProof/>
          <w:color w:val="434242"/>
          <w:kern w:val="0"/>
          <w:szCs w:val="20"/>
          <w14:ligatures w14:val="none"/>
        </w:rPr>
        <w:drawing>
          <wp:inline distT="0" distB="0" distL="0" distR="0" wp14:anchorId="0536A014" wp14:editId="1BA7CD33">
            <wp:extent cx="6479540" cy="1789044"/>
            <wp:effectExtent l="0" t="0" r="0" b="1905"/>
            <wp:docPr id="1391811936" name="Chart 1">
              <a:extLst xmlns:a="http://schemas.openxmlformats.org/drawingml/2006/main">
                <a:ext uri="{FF2B5EF4-FFF2-40B4-BE49-F238E27FC236}">
                  <a16:creationId xmlns:a16="http://schemas.microsoft.com/office/drawing/2014/main" id="{F1CC61E3-1863-25A2-0CB7-9017C0315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FC2A22" w14:textId="4FDBA76F" w:rsidR="00673B66" w:rsidRPr="00740FCA" w:rsidRDefault="00673B66" w:rsidP="00673B66">
      <w:pPr>
        <w:tabs>
          <w:tab w:val="center" w:pos="4680"/>
          <w:tab w:val="right" w:pos="9720"/>
        </w:tabs>
        <w:spacing w:before="160" w:after="120" w:line="240" w:lineRule="auto"/>
        <w:ind w:right="432"/>
        <w:rPr>
          <w:rFonts w:eastAsiaTheme="minorEastAsia"/>
          <w:i/>
          <w:sz w:val="16"/>
          <w:szCs w:val="15"/>
        </w:rPr>
      </w:pPr>
      <w:r w:rsidRPr="00740FCA">
        <w:rPr>
          <w:rFonts w:eastAsiaTheme="minorEastAsia"/>
          <w:i/>
          <w:sz w:val="16"/>
          <w:szCs w:val="15"/>
        </w:rPr>
        <w:t>Source: Ministry of Mines and Crisil Intelligence, total value Rs</w:t>
      </w:r>
      <w:r w:rsidRPr="00662938">
        <w:rPr>
          <w:rFonts w:eastAsiaTheme="minorEastAsia"/>
          <w:i/>
          <w:iCs/>
          <w:sz w:val="12"/>
          <w:szCs w:val="11"/>
        </w:rPr>
        <w:t xml:space="preserve"> </w:t>
      </w:r>
      <w:r w:rsidR="00917F4E" w:rsidRPr="00662938">
        <w:rPr>
          <w:i/>
          <w:iCs/>
          <w:sz w:val="16"/>
          <w:szCs w:val="18"/>
        </w:rPr>
        <w:t>approximately</w:t>
      </w:r>
      <w:r w:rsidR="00917F4E" w:rsidRPr="00662938">
        <w:rPr>
          <w:sz w:val="16"/>
          <w:szCs w:val="18"/>
        </w:rPr>
        <w:t xml:space="preserve"> </w:t>
      </w:r>
      <w:r w:rsidRPr="00740FCA">
        <w:rPr>
          <w:rFonts w:eastAsiaTheme="minorEastAsia"/>
          <w:i/>
          <w:sz w:val="16"/>
          <w:szCs w:val="15"/>
        </w:rPr>
        <w:t>2.</w:t>
      </w:r>
      <w:r>
        <w:rPr>
          <w:rFonts w:eastAsiaTheme="minorEastAsia"/>
          <w:i/>
          <w:sz w:val="16"/>
          <w:szCs w:val="15"/>
        </w:rPr>
        <w:t>83</w:t>
      </w:r>
      <w:r w:rsidRPr="00740FCA">
        <w:rPr>
          <w:rFonts w:eastAsiaTheme="minorEastAsia"/>
          <w:i/>
          <w:sz w:val="16"/>
          <w:szCs w:val="15"/>
        </w:rPr>
        <w:t xml:space="preserve"> trillion in fiscal 202</w:t>
      </w:r>
      <w:r>
        <w:rPr>
          <w:rFonts w:eastAsiaTheme="minorEastAsia"/>
          <w:i/>
          <w:sz w:val="16"/>
          <w:szCs w:val="15"/>
        </w:rPr>
        <w:t>5</w:t>
      </w:r>
      <w:r w:rsidRPr="00740FCA">
        <w:rPr>
          <w:rFonts w:eastAsiaTheme="minorEastAsia"/>
          <w:i/>
          <w:sz w:val="16"/>
          <w:szCs w:val="15"/>
        </w:rPr>
        <w:t>; All years are fiscal years</w:t>
      </w:r>
    </w:p>
    <w:p w14:paraId="40E922CF" w14:textId="51BB5C45" w:rsidR="00673B66" w:rsidRPr="00621BC1" w:rsidRDefault="00673B66" w:rsidP="00673B66">
      <w:pPr>
        <w:keepNext/>
        <w:keepLines/>
        <w:spacing w:before="160" w:line="276" w:lineRule="auto"/>
        <w:ind w:right="432"/>
        <w:rPr>
          <w:rFonts w:eastAsia="Times New Roman" w:cs="Book Antiqua"/>
          <w:b/>
          <w:bCs/>
          <w:kern w:val="0"/>
          <w:szCs w:val="16"/>
          <w:lang w:val="en-GB" w:eastAsia="en-IN"/>
          <w14:ligatures w14:val="none"/>
        </w:rPr>
      </w:pPr>
      <w:bookmarkStart w:id="297" w:name="_Toc198731501"/>
      <w:r w:rsidRPr="00621BC1">
        <w:rPr>
          <w:rFonts w:eastAsia="Times New Roman" w:cs="Book Antiqua"/>
          <w:b/>
          <w:bCs/>
          <w:color w:val="auto"/>
          <w:kern w:val="0"/>
          <w:szCs w:val="16"/>
          <w:lang w:eastAsia="en-IN"/>
          <w14:ligatures w14:val="none"/>
        </w:rPr>
        <w:t xml:space="preserve">Figure </w:t>
      </w:r>
      <w:r w:rsidRPr="00621BC1">
        <w:rPr>
          <w:rFonts w:eastAsia="Times New Roman" w:cs="Book Antiqua"/>
          <w:b/>
          <w:bCs/>
          <w:color w:val="auto"/>
          <w:kern w:val="0"/>
          <w:szCs w:val="16"/>
          <w:lang w:eastAsia="en-IN"/>
          <w14:ligatures w14:val="none"/>
        </w:rPr>
        <w:fldChar w:fldCharType="begin"/>
      </w:r>
      <w:r w:rsidRPr="00621BC1">
        <w:rPr>
          <w:rFonts w:eastAsia="Times New Roman" w:cs="Book Antiqua"/>
          <w:b/>
          <w:bCs/>
          <w:color w:val="auto"/>
          <w:kern w:val="0"/>
          <w:szCs w:val="16"/>
          <w:lang w:eastAsia="en-IN"/>
          <w14:ligatures w14:val="none"/>
        </w:rPr>
        <w:instrText xml:space="preserve"> STYLEREF 1 \s </w:instrText>
      </w:r>
      <w:r w:rsidRPr="00621BC1">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2</w:t>
      </w:r>
      <w:r w:rsidRPr="00621BC1">
        <w:rPr>
          <w:rFonts w:eastAsia="Times New Roman" w:cs="Book Antiqua"/>
          <w:b/>
          <w:bCs/>
          <w:color w:val="auto"/>
          <w:kern w:val="0"/>
          <w:szCs w:val="16"/>
          <w:lang w:eastAsia="en-IN"/>
          <w14:ligatures w14:val="none"/>
        </w:rPr>
        <w:fldChar w:fldCharType="end"/>
      </w:r>
      <w:r w:rsidRPr="00621BC1">
        <w:rPr>
          <w:rFonts w:eastAsia="Times New Roman" w:cs="Book Antiqua"/>
          <w:b/>
          <w:bCs/>
          <w:color w:val="auto"/>
          <w:kern w:val="0"/>
          <w:szCs w:val="16"/>
          <w:lang w:eastAsia="en-IN"/>
          <w14:ligatures w14:val="none"/>
        </w:rPr>
        <w:t>.</w:t>
      </w:r>
      <w:r w:rsidRPr="00621BC1">
        <w:rPr>
          <w:rFonts w:eastAsia="Times New Roman" w:cs="Book Antiqua"/>
          <w:b/>
          <w:bCs/>
          <w:color w:val="auto"/>
          <w:kern w:val="0"/>
          <w:szCs w:val="16"/>
          <w:lang w:eastAsia="en-IN"/>
          <w14:ligatures w14:val="none"/>
        </w:rPr>
        <w:fldChar w:fldCharType="begin"/>
      </w:r>
      <w:r w:rsidRPr="00621BC1">
        <w:rPr>
          <w:rFonts w:eastAsia="Times New Roman" w:cs="Book Antiqua"/>
          <w:b/>
          <w:bCs/>
          <w:color w:val="auto"/>
          <w:kern w:val="0"/>
          <w:szCs w:val="16"/>
          <w:lang w:eastAsia="en-IN"/>
          <w14:ligatures w14:val="none"/>
        </w:rPr>
        <w:instrText xml:space="preserve"> SEQ Figure \* ARABIC \s 1 </w:instrText>
      </w:r>
      <w:r w:rsidRPr="00621BC1">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3</w:t>
      </w:r>
      <w:r w:rsidRPr="00621BC1">
        <w:rPr>
          <w:rFonts w:eastAsia="Times New Roman" w:cs="Book Antiqua"/>
          <w:b/>
          <w:bCs/>
          <w:color w:val="auto"/>
          <w:kern w:val="0"/>
          <w:szCs w:val="16"/>
          <w:lang w:eastAsia="en-IN"/>
          <w14:ligatures w14:val="none"/>
        </w:rPr>
        <w:fldChar w:fldCharType="end"/>
      </w:r>
      <w:r w:rsidRPr="00621BC1">
        <w:rPr>
          <w:rFonts w:eastAsia="Times New Roman" w:cs="Book Antiqua"/>
          <w:b/>
          <w:bCs/>
          <w:kern w:val="0"/>
          <w:szCs w:val="16"/>
          <w:lang w:val="en-GB" w:eastAsia="en-IN"/>
          <w14:ligatures w14:val="none"/>
        </w:rPr>
        <w:t>: Value of coal produced in India and expected future value (Rs trillion)</w:t>
      </w:r>
      <w:bookmarkEnd w:id="297"/>
    </w:p>
    <w:p w14:paraId="4AE92B7A" w14:textId="77777777" w:rsidR="00673B66" w:rsidRPr="00740FCA" w:rsidRDefault="00673B66" w:rsidP="00673B66">
      <w:pPr>
        <w:spacing w:before="160" w:after="120" w:line="240" w:lineRule="auto"/>
        <w:ind w:right="432"/>
        <w:rPr>
          <w:rFonts w:eastAsia="Calibri"/>
          <w:color w:val="434242"/>
          <w:kern w:val="0"/>
          <w:szCs w:val="20"/>
          <w:lang w:val="en-GB"/>
          <w14:ligatures w14:val="none"/>
        </w:rPr>
      </w:pPr>
      <w:r>
        <w:rPr>
          <w:rFonts w:eastAsia="Calibri"/>
          <w:noProof/>
          <w:color w:val="434242"/>
          <w:kern w:val="0"/>
          <w:szCs w:val="20"/>
          <w:lang w:val="en-GB"/>
          <w14:ligatures w14:val="none"/>
        </w:rPr>
        <w:drawing>
          <wp:inline distT="0" distB="0" distL="0" distR="0" wp14:anchorId="0F77DE45" wp14:editId="0496AE26">
            <wp:extent cx="6364605" cy="2127885"/>
            <wp:effectExtent l="0" t="0" r="0" b="5715"/>
            <wp:docPr id="1154058452" name="Picture 1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7023" name="Picture 19" descr="A graph with numbers and a ba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4605" cy="2127885"/>
                    </a:xfrm>
                    <a:prstGeom prst="rect">
                      <a:avLst/>
                    </a:prstGeom>
                    <a:noFill/>
                  </pic:spPr>
                </pic:pic>
              </a:graphicData>
            </a:graphic>
          </wp:inline>
        </w:drawing>
      </w:r>
    </w:p>
    <w:p w14:paraId="6E35BDB6" w14:textId="77777777" w:rsidR="00673B66" w:rsidRDefault="00673B66" w:rsidP="00673B66">
      <w:pPr>
        <w:tabs>
          <w:tab w:val="center" w:pos="4680"/>
          <w:tab w:val="right" w:pos="9720"/>
        </w:tabs>
        <w:spacing w:before="160" w:after="120" w:line="240" w:lineRule="auto"/>
        <w:ind w:right="432"/>
        <w:rPr>
          <w:rFonts w:eastAsiaTheme="minorEastAsia"/>
          <w:i/>
          <w:sz w:val="16"/>
          <w:szCs w:val="15"/>
        </w:rPr>
      </w:pPr>
      <w:r w:rsidRPr="00740FCA">
        <w:rPr>
          <w:rFonts w:eastAsiaTheme="minorEastAsia"/>
          <w:i/>
          <w:sz w:val="16"/>
          <w:szCs w:val="15"/>
        </w:rPr>
        <w:t>Source: Ministry of Mines, Crisil Intelligence analysis assuming growth rate of 7.0% in coal supply growth; All years are fiscal years</w:t>
      </w:r>
      <w:r>
        <w:rPr>
          <w:rFonts w:eastAsiaTheme="minorEastAsia"/>
          <w:i/>
          <w:sz w:val="16"/>
          <w:szCs w:val="15"/>
        </w:rPr>
        <w:t>, E: Estimates</w:t>
      </w:r>
    </w:p>
    <w:p w14:paraId="65EA1756" w14:textId="77777777" w:rsidR="00D57D90" w:rsidRPr="00850186" w:rsidRDefault="00D57D90" w:rsidP="00D57D90">
      <w:pPr>
        <w:pStyle w:val="Heading30"/>
        <w:ind w:right="450"/>
      </w:pPr>
      <w:r w:rsidRPr="00850186">
        <w:t>Mining policies and regulations</w:t>
      </w:r>
    </w:p>
    <w:p w14:paraId="608E37D9" w14:textId="77777777" w:rsidR="00D57D90" w:rsidRDefault="00D57D90" w:rsidP="00D57D90">
      <w:pPr>
        <w:spacing w:before="160" w:after="120"/>
        <w:ind w:right="450"/>
        <w:rPr>
          <w:szCs w:val="20"/>
        </w:rPr>
      </w:pPr>
      <w:r w:rsidRPr="004521AB">
        <w:rPr>
          <w:szCs w:val="20"/>
        </w:rPr>
        <w:t>India’s mining sector is a cornerstone of its economic strategy, playing a crucial role in ensuring security of energy and the critical mineral resources necessary for industrial growth. The country recognizes the importance of its vast mineral reserves in providing reliable and affordable energy essential for sustaining economic activities and driving industrialization. Additionally, with the growing geopolitical uncertainties and supply chain disruptions, India is strategically focusing on reducing its dependence of foreign sources for key minerals. By developing and safeguarding its domestic mineral resources, India aims to protect key industries, such as electronics, renewable energy and defense, from the vulnerabilities arising from global supply fluctuations.</w:t>
      </w:r>
    </w:p>
    <w:p w14:paraId="4FDD2248" w14:textId="77777777" w:rsidR="0071761D" w:rsidRPr="00850186" w:rsidRDefault="0071761D" w:rsidP="0071761D">
      <w:pPr>
        <w:pStyle w:val="Heading40"/>
        <w:ind w:right="450"/>
        <w:rPr>
          <w:szCs w:val="20"/>
        </w:rPr>
      </w:pPr>
      <w:r w:rsidRPr="00850186">
        <w:rPr>
          <w:szCs w:val="20"/>
        </w:rPr>
        <w:t xml:space="preserve">Mines and Minerals (Development and Regulation) Act, 1957 </w:t>
      </w:r>
    </w:p>
    <w:p w14:paraId="35A045F8" w14:textId="7178FF7E" w:rsidR="0071761D" w:rsidRPr="00850186" w:rsidRDefault="0071761D" w:rsidP="0071761D">
      <w:pPr>
        <w:spacing w:before="160" w:after="120"/>
        <w:ind w:right="450"/>
        <w:rPr>
          <w:szCs w:val="20"/>
        </w:rPr>
      </w:pPr>
      <w:r w:rsidRPr="004521AB">
        <w:rPr>
          <w:szCs w:val="20"/>
        </w:rPr>
        <w:t xml:space="preserve">The </w:t>
      </w:r>
      <w:r w:rsidRPr="004521AB">
        <w:rPr>
          <w:i/>
          <w:iCs/>
          <w:szCs w:val="20"/>
        </w:rPr>
        <w:t>MMDR Act</w:t>
      </w:r>
      <w:r w:rsidRPr="004521AB">
        <w:rPr>
          <w:szCs w:val="20"/>
        </w:rPr>
        <w:t xml:space="preserve"> is the cornerstone of India’s mining regulatory framework, governing all aspects of mineral development and regulation. The Act classifies minerals into major (coal being part of First Schedule, Part A of the Act) and minor, with different regulatory frameworks governing each. In 2015, the major amendments of the Act were approved with the introduction of a transparent, competitive bidding process for the allocation of mineral blocks, replacing the earlier first-come, first-serve system. In addition, the amendments made post 2015 aimed to streamline the auction process, reduce bureaucratic delays and increase penalties for illegal mining activities.</w:t>
      </w:r>
    </w:p>
    <w:p w14:paraId="4B017877" w14:textId="77777777" w:rsidR="00D57D90" w:rsidRPr="00850186" w:rsidRDefault="00D57D90" w:rsidP="00D57D90">
      <w:pPr>
        <w:pStyle w:val="Heading40"/>
        <w:ind w:right="450"/>
        <w:rPr>
          <w:szCs w:val="20"/>
        </w:rPr>
      </w:pPr>
      <w:r w:rsidRPr="00850186">
        <w:rPr>
          <w:szCs w:val="20"/>
        </w:rPr>
        <w:t>National Mineral Policy, 2019</w:t>
      </w:r>
    </w:p>
    <w:p w14:paraId="12775802" w14:textId="77777777" w:rsidR="00D57D90" w:rsidRPr="00850186" w:rsidRDefault="00D57D90" w:rsidP="00D57D90">
      <w:pPr>
        <w:spacing w:before="160" w:after="120"/>
        <w:ind w:right="450"/>
        <w:rPr>
          <w:szCs w:val="20"/>
        </w:rPr>
      </w:pPr>
      <w:r w:rsidRPr="004521AB">
        <w:rPr>
          <w:szCs w:val="20"/>
        </w:rPr>
        <w:t>The National Mineral Policy (</w:t>
      </w:r>
      <w:r w:rsidRPr="004521AB">
        <w:rPr>
          <w:i/>
          <w:iCs/>
          <w:szCs w:val="20"/>
        </w:rPr>
        <w:t>NMP) 2019</w:t>
      </w:r>
      <w:r w:rsidRPr="004521AB">
        <w:rPr>
          <w:szCs w:val="20"/>
        </w:rPr>
        <w:t xml:space="preserve"> was introduced to replace the policy of 2008, reflecting changes in the scenario of India’s mineral resources. </w:t>
      </w:r>
      <w:r w:rsidRPr="004521AB">
        <w:rPr>
          <w:i/>
          <w:iCs/>
          <w:szCs w:val="20"/>
        </w:rPr>
        <w:t>NMP</w:t>
      </w:r>
      <w:r w:rsidRPr="004521AB">
        <w:rPr>
          <w:szCs w:val="20"/>
        </w:rPr>
        <w:t xml:space="preserve"> is a comprehensive framework established by the government to guide the development and regulation of India’s mineral resources. The policy aims to ensure the sustainable and efficient utilization of mineral resources</w:t>
      </w:r>
      <w:r>
        <w:rPr>
          <w:szCs w:val="20"/>
        </w:rPr>
        <w:t xml:space="preserve">. </w:t>
      </w:r>
      <w:r w:rsidRPr="004521AB">
        <w:rPr>
          <w:szCs w:val="20"/>
        </w:rPr>
        <w:t>It promotes the adoption of modern technologies and practices that minimize environmental degradation, reduce waste and enhance resource efficiency. The policy advocates transparent and accountable governance in the mining sector and aims to attract both domestic and foreign investments in the exploration and mining sectors. The policy promotes value addition and mineral beneficiation within India, aiming to reduce the export of raw mineral and increase the export of value-added products.</w:t>
      </w:r>
    </w:p>
    <w:p w14:paraId="373C7CC7" w14:textId="77777777" w:rsidR="00D57D90" w:rsidRPr="00850186" w:rsidRDefault="00D57D90" w:rsidP="00D57D90">
      <w:pPr>
        <w:pStyle w:val="Heading40"/>
        <w:ind w:right="450"/>
        <w:rPr>
          <w:szCs w:val="20"/>
        </w:rPr>
      </w:pPr>
      <w:r w:rsidRPr="00850186">
        <w:rPr>
          <w:szCs w:val="20"/>
        </w:rPr>
        <w:t>Mineral Concession Rules, 1960 (MCR)</w:t>
      </w:r>
    </w:p>
    <w:p w14:paraId="268BB3CA" w14:textId="77777777" w:rsidR="00D57D90" w:rsidRDefault="00D57D90" w:rsidP="00D57D90">
      <w:pPr>
        <w:spacing w:before="160" w:after="120"/>
        <w:ind w:right="450"/>
        <w:rPr>
          <w:szCs w:val="20"/>
        </w:rPr>
      </w:pPr>
      <w:r w:rsidRPr="004521AB">
        <w:rPr>
          <w:szCs w:val="20"/>
        </w:rPr>
        <w:t xml:space="preserve">The </w:t>
      </w:r>
      <w:r w:rsidRPr="004521AB">
        <w:rPr>
          <w:i/>
          <w:iCs/>
          <w:szCs w:val="20"/>
        </w:rPr>
        <w:t>Mineral Concession Rules</w:t>
      </w:r>
      <w:r w:rsidRPr="004521AB">
        <w:rPr>
          <w:szCs w:val="20"/>
        </w:rPr>
        <w:t xml:space="preserve"> </w:t>
      </w:r>
      <w:r w:rsidRPr="004521AB">
        <w:rPr>
          <w:i/>
          <w:iCs/>
          <w:szCs w:val="20"/>
        </w:rPr>
        <w:t>1960</w:t>
      </w:r>
      <w:r w:rsidRPr="004521AB">
        <w:rPr>
          <w:szCs w:val="20"/>
        </w:rPr>
        <w:t xml:space="preserve"> provide the procedural details for the grant of mineral concessions under the </w:t>
      </w:r>
      <w:r w:rsidRPr="004521AB">
        <w:rPr>
          <w:i/>
          <w:iCs/>
          <w:szCs w:val="20"/>
        </w:rPr>
        <w:t>MMDR Act</w:t>
      </w:r>
      <w:r w:rsidRPr="004521AB">
        <w:rPr>
          <w:szCs w:val="20"/>
        </w:rPr>
        <w:t>. This law defines the procedures for applying for reconnaissance permits, prospecting licenses and mining leases. It also outlines the rights and responsibilities of concession holders.</w:t>
      </w:r>
    </w:p>
    <w:p w14:paraId="587D0986" w14:textId="77777777" w:rsidR="00D57D90" w:rsidRPr="00850186" w:rsidRDefault="00D57D90" w:rsidP="00D57D90">
      <w:pPr>
        <w:pStyle w:val="Heading40"/>
        <w:ind w:right="450"/>
        <w:rPr>
          <w:szCs w:val="20"/>
        </w:rPr>
      </w:pPr>
      <w:r w:rsidRPr="00850186">
        <w:rPr>
          <w:szCs w:val="20"/>
        </w:rPr>
        <w:t>Mineral Conservation and Development Rules, 2017</w:t>
      </w:r>
    </w:p>
    <w:p w14:paraId="4FE33BE9" w14:textId="77777777" w:rsidR="00D57D90" w:rsidRDefault="00D57D90" w:rsidP="00D57D90">
      <w:pPr>
        <w:spacing w:before="160" w:after="120"/>
        <w:ind w:right="450"/>
        <w:rPr>
          <w:szCs w:val="20"/>
        </w:rPr>
      </w:pPr>
      <w:r w:rsidRPr="004521AB">
        <w:rPr>
          <w:i/>
          <w:iCs/>
          <w:szCs w:val="20"/>
        </w:rPr>
        <w:t>The Mineral Conservation and Development Rules, 2017,</w:t>
      </w:r>
      <w:r w:rsidRPr="004521AB">
        <w:rPr>
          <w:szCs w:val="20"/>
        </w:rPr>
        <w:t xml:space="preserve"> were established under the</w:t>
      </w:r>
      <w:r w:rsidRPr="004521AB">
        <w:rPr>
          <w:i/>
          <w:iCs/>
          <w:szCs w:val="20"/>
        </w:rPr>
        <w:t xml:space="preserve"> MMDR Act</w:t>
      </w:r>
      <w:r w:rsidRPr="004521AB">
        <w:rPr>
          <w:szCs w:val="20"/>
        </w:rPr>
        <w:t xml:space="preserve"> to ensure the systematic and scientific exploitation of minerals. The rules aim to conserve minerals and ensure their proper utilization, with a focus on minimizing wastage and ensuring environmentally responsible mining practices. It provides guidelines for the sustainable development of mines, including proper closure plans, restoration of mined areas and measures to mitigate environmental impact. It also consists of regulations for the health and safety of workers.</w:t>
      </w:r>
    </w:p>
    <w:p w14:paraId="5B7E3881" w14:textId="77777777" w:rsidR="00D57D90" w:rsidRDefault="00D57D90" w:rsidP="00D57D90">
      <w:pPr>
        <w:pStyle w:val="Heading40"/>
        <w:ind w:right="450"/>
        <w:rPr>
          <w:szCs w:val="20"/>
        </w:rPr>
      </w:pPr>
      <w:r w:rsidRPr="0026654E">
        <w:rPr>
          <w:szCs w:val="20"/>
        </w:rPr>
        <w:t>Minerals (Other than Atomic and Hydro Carbons Energy Minerals) Concession Rules, 2016</w:t>
      </w:r>
      <w:r>
        <w:rPr>
          <w:szCs w:val="20"/>
        </w:rPr>
        <w:t xml:space="preserve"> (MCR)</w:t>
      </w:r>
    </w:p>
    <w:p w14:paraId="144A850F" w14:textId="77777777" w:rsidR="00D57D90" w:rsidRPr="0026654E" w:rsidRDefault="00D57D90" w:rsidP="00D57D90">
      <w:pPr>
        <w:ind w:right="324"/>
      </w:pPr>
      <w:r w:rsidRPr="00CC7731">
        <w:t>The "Minerals (Other than Atomic and Hydro Carbons Energy Minerals) Concession</w:t>
      </w:r>
      <w:r>
        <w:t xml:space="preserve"> </w:t>
      </w:r>
      <w:r w:rsidRPr="00CC7731">
        <w:t>Rules" govern the regulation of mineral concessions in India, excluding those related to atomic and energy minerals.</w:t>
      </w:r>
      <w:r w:rsidRPr="001B769E">
        <w:t xml:space="preserve"> The MCR 2016 is a law framed under the Mines and Minerals (Development and Regulation) Act, 1957 (MMDR Act).</w:t>
      </w:r>
      <w:r>
        <w:t xml:space="preserve"> These </w:t>
      </w:r>
      <w:r w:rsidRPr="00577593">
        <w:t>rules replaced the older MCR 1960, aligning the mineral concession system with the 2015 MMDR Amendment, which introduced auction-based allocation of mining rights</w:t>
      </w:r>
    </w:p>
    <w:p w14:paraId="09DF3BE9" w14:textId="77777777" w:rsidR="00D57D90" w:rsidRDefault="00D57D90" w:rsidP="00D57D90">
      <w:pPr>
        <w:pStyle w:val="Heading40"/>
        <w:ind w:right="450"/>
        <w:rPr>
          <w:szCs w:val="20"/>
        </w:rPr>
      </w:pPr>
      <w:r w:rsidRPr="00CE2D16">
        <w:rPr>
          <w:szCs w:val="20"/>
        </w:rPr>
        <w:t>Mineral Auction Rules, 2015</w:t>
      </w:r>
    </w:p>
    <w:p w14:paraId="540A1A9B" w14:textId="77777777" w:rsidR="00D57D90" w:rsidRPr="00CE2D16" w:rsidRDefault="00D57D90" w:rsidP="00D57D90">
      <w:r>
        <w:t>T</w:t>
      </w:r>
      <w:r w:rsidRPr="00565EB7">
        <w:t>he Mineral (Auction) Rules, 2015 and subsequent amendments, primarily focus on establishing a fair and transparent bidding process for mineral blocks.</w:t>
      </w:r>
      <w:r>
        <w:t xml:space="preserve"> These rules govern how mining leases (MLs) and composite licenses (CLs) are offered via auctions. They provide a transparent, fair and competitive bidding process for granting ML and CL. The Mineral Auction Rules define the </w:t>
      </w:r>
      <w:r w:rsidRPr="005576B6">
        <w:t>auction parameters, including, reserve price, bid parameter, auction process, eligibility criteria, payment terms, penalties for default,</w:t>
      </w:r>
      <w:r>
        <w:t xml:space="preserve"> etc.</w:t>
      </w:r>
      <w:r w:rsidRPr="005576B6">
        <w:t xml:space="preserve"> to ensure transparent and competitive allocation of mineral blocks.</w:t>
      </w:r>
    </w:p>
    <w:p w14:paraId="22AB98A8" w14:textId="77777777" w:rsidR="00D57D90" w:rsidRDefault="00D57D90" w:rsidP="00D57D90">
      <w:pPr>
        <w:pStyle w:val="Heading40"/>
        <w:ind w:right="450"/>
        <w:rPr>
          <w:szCs w:val="20"/>
        </w:rPr>
      </w:pPr>
      <w:r w:rsidRPr="005576B6">
        <w:rPr>
          <w:szCs w:val="20"/>
        </w:rPr>
        <w:t xml:space="preserve">Mines &amp; Minerals (Contribution to District Mineral Foundation) Rules, 2015  </w:t>
      </w:r>
    </w:p>
    <w:p w14:paraId="2C0C3189" w14:textId="77777777" w:rsidR="00D57D90" w:rsidRPr="00CA46B4" w:rsidRDefault="00D57D90" w:rsidP="00D57D90">
      <w:r>
        <w:t xml:space="preserve">The District Mineral Fund (DMF) </w:t>
      </w:r>
      <w:r w:rsidRPr="0065357C">
        <w:t>is a non-profit body that works to benefit the people and areas impacted by mining, funded by contributions from mining concession holders</w:t>
      </w:r>
      <w:r>
        <w:t xml:space="preserve">. Section 9B of the MMDR Act empowers State Governments to establish DMFs in districts affected by mining activities. According to the </w:t>
      </w:r>
      <w:r w:rsidRPr="005428F0">
        <w:t>Mines &amp; Minerals (Contribution to District Mineral Foundation) Rules, 2015</w:t>
      </w:r>
      <w:r>
        <w:t xml:space="preserve">, mining lease holder must pay an additional amount to the District Mineral Foundation (DMF) of the district where they operate, in addition to the royalty. </w:t>
      </w:r>
    </w:p>
    <w:p w14:paraId="6AD519B4" w14:textId="77777777" w:rsidR="00D57D90" w:rsidRDefault="00D57D90" w:rsidP="00D57D90">
      <w:pPr>
        <w:pStyle w:val="Heading40"/>
        <w:ind w:right="450"/>
        <w:rPr>
          <w:szCs w:val="20"/>
        </w:rPr>
      </w:pPr>
      <w:r w:rsidRPr="00333E3A">
        <w:rPr>
          <w:szCs w:val="20"/>
        </w:rPr>
        <w:t>Offshore Mineral Concession Rules- 2006</w:t>
      </w:r>
    </w:p>
    <w:p w14:paraId="0C47EC6E" w14:textId="77777777" w:rsidR="00D57D90" w:rsidRPr="00333E3A" w:rsidRDefault="00D57D90" w:rsidP="00D57D90">
      <w:r w:rsidRPr="005C3CC8">
        <w:t>The Offshore Areas Mineral Concession Rules, 2006, outline the procedures for obtaining permits, licenses, or leases for mining in India's offshore areas, including its territorial waters, continental shelf, and exclusive economic zone. These rules, enacted under the Offshore Areas Mineral (Development and Regulation) Act, 2002, govern the grant and renewal of concessions for mineral development in these maritime zones</w:t>
      </w:r>
      <w:r>
        <w:t xml:space="preserve">.  </w:t>
      </w:r>
      <w:r w:rsidRPr="00774CF9">
        <w:t>The rules cover the grant of Reconnaissance Permits (RP), Exploration Licenses (EL), and Prospecting Licenses (PL) for mineral exploration and extraction.</w:t>
      </w:r>
    </w:p>
    <w:p w14:paraId="3E45E9F0" w14:textId="77777777" w:rsidR="00D57D90" w:rsidRPr="00850186" w:rsidRDefault="00D57D90" w:rsidP="00D57D90">
      <w:pPr>
        <w:pStyle w:val="Heading40"/>
        <w:ind w:right="450"/>
        <w:rPr>
          <w:szCs w:val="20"/>
        </w:rPr>
      </w:pPr>
      <w:r w:rsidRPr="00850186">
        <w:rPr>
          <w:szCs w:val="20"/>
        </w:rPr>
        <w:t>National Steel Policy, 2017</w:t>
      </w:r>
    </w:p>
    <w:p w14:paraId="1B2C7BF3" w14:textId="77777777" w:rsidR="00D57D90" w:rsidRDefault="00D57D90" w:rsidP="00D57D90">
      <w:pPr>
        <w:spacing w:before="160" w:after="120"/>
        <w:ind w:right="450"/>
        <w:rPr>
          <w:szCs w:val="20"/>
        </w:rPr>
      </w:pPr>
      <w:r w:rsidRPr="004521AB">
        <w:rPr>
          <w:i/>
          <w:iCs/>
          <w:szCs w:val="20"/>
        </w:rPr>
        <w:t>The National Steel Policy, 2017,</w:t>
      </w:r>
      <w:r w:rsidRPr="004521AB">
        <w:rPr>
          <w:szCs w:val="20"/>
        </w:rPr>
        <w:t xml:space="preserve"> formulated by the </w:t>
      </w:r>
      <w:r w:rsidRPr="0047096D">
        <w:t>Ministry of Steel, aims to enhance the growth and sustainability of the Indian steel industry. It seeks to boost domestic steel production, reduce reliance on imports, and establish India as a global steel powerhouse. The policy aims to make India self-reliant in steel</w:t>
      </w:r>
      <w:r w:rsidRPr="004521AB">
        <w:rPr>
          <w:szCs w:val="20"/>
        </w:rPr>
        <w:t xml:space="preserve"> production by enhancing capacity to 300 MT and increasing per capita consumption to 160 kg by 2030-31. </w:t>
      </w:r>
    </w:p>
    <w:p w14:paraId="149BD200" w14:textId="77777777" w:rsidR="00D57D90" w:rsidRPr="00850186" w:rsidRDefault="00D57D90" w:rsidP="00D57D90">
      <w:pPr>
        <w:pStyle w:val="Heading40"/>
        <w:ind w:right="450"/>
        <w:rPr>
          <w:szCs w:val="20"/>
        </w:rPr>
      </w:pPr>
      <w:r w:rsidRPr="00850186">
        <w:rPr>
          <w:szCs w:val="20"/>
        </w:rPr>
        <w:t>Mission Coking Coal, 2021</w:t>
      </w:r>
    </w:p>
    <w:p w14:paraId="38D410BC" w14:textId="77777777" w:rsidR="00D57D90" w:rsidRPr="004521AB" w:rsidRDefault="00D57D90" w:rsidP="00D57D90">
      <w:pPr>
        <w:spacing w:before="160" w:after="120"/>
        <w:ind w:right="450"/>
        <w:rPr>
          <w:szCs w:val="20"/>
        </w:rPr>
      </w:pPr>
      <w:r w:rsidRPr="004521AB">
        <w:rPr>
          <w:szCs w:val="20"/>
        </w:rPr>
        <w:t xml:space="preserve">The Ministry of Coal has embarked on an ambitious mission </w:t>
      </w:r>
      <w:r w:rsidRPr="004521AB">
        <w:rPr>
          <w:i/>
          <w:iCs/>
          <w:szCs w:val="20"/>
        </w:rPr>
        <w:t>"Mission Coking Coal”, aimed</w:t>
      </w:r>
      <w:r w:rsidRPr="004521AB">
        <w:rPr>
          <w:szCs w:val="20"/>
        </w:rPr>
        <w:t xml:space="preserve"> at enhancing domestic coking coal production to reduce the country's reliance on imports. This initiative is driven by the growing demand for coking coal from the steel sector, which is expected to drive economic growth. The mission seeks to increase domestic raw coking coal production to 140 million tons (MT) by the financial year 2029-30. This mission aligns with broader initiatives like the National Steel Policy 2017, targeting reduced import dependency and securing a steady supply of coking coal through domestic exploration, beneficiation, and infrastructure development.</w:t>
      </w:r>
    </w:p>
    <w:p w14:paraId="3A92C1C2" w14:textId="77777777" w:rsidR="00D57D90" w:rsidRPr="004521AB" w:rsidRDefault="00D57D90" w:rsidP="00D57D90">
      <w:pPr>
        <w:ind w:right="450"/>
        <w:rPr>
          <w:b/>
          <w:bCs/>
          <w:szCs w:val="18"/>
        </w:rPr>
      </w:pPr>
      <w:r w:rsidRPr="004521AB">
        <w:rPr>
          <w:b/>
          <w:bCs/>
          <w:szCs w:val="18"/>
        </w:rPr>
        <w:t>Recommendations by Inter-Ministerial Committee</w:t>
      </w:r>
    </w:p>
    <w:p w14:paraId="2B1FF191" w14:textId="77777777" w:rsidR="00D57D90" w:rsidRPr="004521AB" w:rsidRDefault="00D57D90" w:rsidP="00D57D90">
      <w:pPr>
        <w:spacing w:after="120"/>
        <w:ind w:right="446"/>
        <w:rPr>
          <w:szCs w:val="18"/>
        </w:rPr>
      </w:pPr>
      <w:r w:rsidRPr="004521AB">
        <w:rPr>
          <w:szCs w:val="18"/>
        </w:rPr>
        <w:t>Ministry of Coal</w:t>
      </w:r>
      <w:r>
        <w:rPr>
          <w:szCs w:val="18"/>
        </w:rPr>
        <w:t>, Govt. of India</w:t>
      </w:r>
      <w:r w:rsidRPr="004521AB">
        <w:rPr>
          <w:szCs w:val="18"/>
        </w:rPr>
        <w:t xml:space="preserve"> has assessed the sector-wise demand of coking coal and non-coking coal in the country by fiscal 2030 and likewise prepared coal logistic plan for effective and efficient evacuation of coal. Taking all these into consideration and to substitute the imports of coal the committee has come to the following recommendations for reducing coking coal imports:</w:t>
      </w:r>
    </w:p>
    <w:p w14:paraId="03830319" w14:textId="77777777" w:rsidR="00D57D90" w:rsidRPr="00383F57" w:rsidRDefault="00D57D90" w:rsidP="00D57D90">
      <w:pPr>
        <w:numPr>
          <w:ilvl w:val="0"/>
          <w:numId w:val="35"/>
        </w:numPr>
        <w:spacing w:before="0"/>
        <w:ind w:right="446"/>
        <w:contextualSpacing/>
        <w:rPr>
          <w:szCs w:val="20"/>
        </w:rPr>
      </w:pPr>
      <w:r w:rsidRPr="00383F57">
        <w:rPr>
          <w:szCs w:val="20"/>
        </w:rPr>
        <w:t>Utilization of raw coking coal production by steel sector</w:t>
      </w:r>
    </w:p>
    <w:p w14:paraId="541A8B21" w14:textId="77777777" w:rsidR="00D57D90" w:rsidRPr="00383F57" w:rsidRDefault="00D57D90" w:rsidP="00D57D90">
      <w:pPr>
        <w:numPr>
          <w:ilvl w:val="0"/>
          <w:numId w:val="35"/>
        </w:numPr>
        <w:spacing w:before="0"/>
        <w:ind w:right="446"/>
        <w:contextualSpacing/>
        <w:rPr>
          <w:szCs w:val="20"/>
        </w:rPr>
      </w:pPr>
      <w:r w:rsidRPr="00383F57">
        <w:rPr>
          <w:szCs w:val="20"/>
        </w:rPr>
        <w:t>Adoption of Stamp-Charging Technology for steel making</w:t>
      </w:r>
    </w:p>
    <w:p w14:paraId="195861E8" w14:textId="77777777" w:rsidR="00D57D90" w:rsidRPr="00383F57" w:rsidRDefault="00D57D90" w:rsidP="00D57D90">
      <w:pPr>
        <w:numPr>
          <w:ilvl w:val="0"/>
          <w:numId w:val="35"/>
        </w:numPr>
        <w:spacing w:before="0"/>
        <w:ind w:right="446"/>
        <w:contextualSpacing/>
        <w:rPr>
          <w:szCs w:val="20"/>
        </w:rPr>
      </w:pPr>
      <w:r w:rsidRPr="00383F57">
        <w:rPr>
          <w:szCs w:val="20"/>
        </w:rPr>
        <w:t>Enhancing Washing Capacity in the country</w:t>
      </w:r>
    </w:p>
    <w:p w14:paraId="6EB0D0DA" w14:textId="77777777" w:rsidR="00D57D90" w:rsidRPr="00383F57" w:rsidRDefault="00D57D90" w:rsidP="00D57D90">
      <w:pPr>
        <w:numPr>
          <w:ilvl w:val="0"/>
          <w:numId w:val="35"/>
        </w:numPr>
        <w:spacing w:before="0"/>
        <w:ind w:right="446"/>
        <w:contextualSpacing/>
        <w:rPr>
          <w:szCs w:val="20"/>
        </w:rPr>
      </w:pPr>
      <w:r w:rsidRPr="00383F57">
        <w:rPr>
          <w:szCs w:val="20"/>
        </w:rPr>
        <w:t>Monetization of Old Washeries</w:t>
      </w:r>
    </w:p>
    <w:p w14:paraId="104937A8" w14:textId="77777777" w:rsidR="00D57D90" w:rsidRPr="00383F57" w:rsidRDefault="00D57D90" w:rsidP="00D57D90">
      <w:pPr>
        <w:numPr>
          <w:ilvl w:val="0"/>
          <w:numId w:val="35"/>
        </w:numPr>
        <w:spacing w:before="0"/>
        <w:ind w:right="446"/>
        <w:contextualSpacing/>
        <w:rPr>
          <w:szCs w:val="20"/>
        </w:rPr>
      </w:pPr>
      <w:r w:rsidRPr="00383F57">
        <w:rPr>
          <w:szCs w:val="20"/>
        </w:rPr>
        <w:t>Low ash thermal coal as PCI (Pulverized Coal injection) in Blast Furnace</w:t>
      </w:r>
    </w:p>
    <w:p w14:paraId="63E8D044" w14:textId="77777777" w:rsidR="00D57D90" w:rsidRPr="00383F57" w:rsidRDefault="00D57D90" w:rsidP="00D57D90">
      <w:pPr>
        <w:numPr>
          <w:ilvl w:val="0"/>
          <w:numId w:val="35"/>
        </w:numPr>
        <w:spacing w:before="0"/>
        <w:ind w:right="446"/>
        <w:contextualSpacing/>
        <w:rPr>
          <w:szCs w:val="20"/>
        </w:rPr>
      </w:pPr>
      <w:r w:rsidRPr="00383F57">
        <w:rPr>
          <w:szCs w:val="20"/>
        </w:rPr>
        <w:t>Enhancing Coal gasification based Direct reduced Iron (DRI)</w:t>
      </w:r>
    </w:p>
    <w:p w14:paraId="758AAF4B" w14:textId="77777777" w:rsidR="00D57D90" w:rsidRPr="00AC6D61" w:rsidRDefault="00D57D90" w:rsidP="00D57D90">
      <w:pPr>
        <w:pStyle w:val="Heading40"/>
        <w:ind w:right="450"/>
        <w:rPr>
          <w:szCs w:val="20"/>
        </w:rPr>
      </w:pPr>
      <w:r w:rsidRPr="00AC6D61">
        <w:t>Abandoned coal block auction policy</w:t>
      </w:r>
      <w:r w:rsidRPr="004521AB">
        <w:rPr>
          <w:vertAlign w:val="superscript"/>
        </w:rPr>
        <w:footnoteReference w:id="29"/>
      </w:r>
    </w:p>
    <w:p w14:paraId="6473D458" w14:textId="77777777" w:rsidR="00D57D90" w:rsidRPr="002C778F" w:rsidRDefault="00D57D90" w:rsidP="00D57D90">
      <w:pPr>
        <w:ind w:right="450"/>
        <w:rPr>
          <w:szCs w:val="20"/>
        </w:rPr>
      </w:pPr>
      <w:r w:rsidRPr="002C778F">
        <w:rPr>
          <w:szCs w:val="20"/>
        </w:rPr>
        <w:t xml:space="preserve">To promote an optimum utilization of coal resources in the national interest, the Government is eager to include the private sector in operating closed/abandoned/discontinued mines through a mechanism that would benefit both the government and the private sector. </w:t>
      </w:r>
    </w:p>
    <w:p w14:paraId="4AA616CD" w14:textId="77777777" w:rsidR="00D57D90" w:rsidRPr="00AC6D61" w:rsidRDefault="00D57D90" w:rsidP="00D57D90">
      <w:pPr>
        <w:pStyle w:val="Heading40"/>
        <w:ind w:right="450"/>
        <w:rPr>
          <w:sz w:val="18"/>
          <w:szCs w:val="18"/>
        </w:rPr>
      </w:pPr>
      <w:r w:rsidRPr="00AC6D61">
        <w:rPr>
          <w:szCs w:val="20"/>
        </w:rPr>
        <w:t>Environmental regulations</w:t>
      </w:r>
    </w:p>
    <w:p w14:paraId="60C5805A" w14:textId="77777777" w:rsidR="00D57D90" w:rsidRDefault="00D57D90" w:rsidP="00D57D90">
      <w:pPr>
        <w:spacing w:before="160" w:after="120"/>
        <w:ind w:right="450"/>
        <w:rPr>
          <w:szCs w:val="20"/>
        </w:rPr>
      </w:pPr>
      <w:r w:rsidRPr="004521AB">
        <w:rPr>
          <w:szCs w:val="20"/>
        </w:rPr>
        <w:t xml:space="preserve">Environmental regulations play a critical role in ensuring responsible mineral extraction. </w:t>
      </w:r>
      <w:r w:rsidRPr="004521AB">
        <w:rPr>
          <w:i/>
          <w:iCs/>
          <w:szCs w:val="20"/>
        </w:rPr>
        <w:t xml:space="preserve">The Environment Protection Act, 1986, the Forest Conservation Act, 1980, and the Wildlife Protection Act, 1972 </w:t>
      </w:r>
      <w:r w:rsidRPr="004521AB">
        <w:rPr>
          <w:szCs w:val="20"/>
        </w:rPr>
        <w:t xml:space="preserve">are key legislative frameworks that govern environmental aspects of mining. These laws mandate environmental impact assessments (EIA) for major mining projects, clearances for mining in forested areas and stringent measures to protect wildlife habitats. </w:t>
      </w:r>
    </w:p>
    <w:p w14:paraId="13D9DA49" w14:textId="77777777" w:rsidR="00D57D90" w:rsidRPr="00AC6D61" w:rsidRDefault="00D57D90" w:rsidP="00D57D90">
      <w:pPr>
        <w:pStyle w:val="Heading40"/>
        <w:ind w:right="450"/>
        <w:rPr>
          <w:sz w:val="18"/>
          <w:szCs w:val="18"/>
        </w:rPr>
      </w:pPr>
      <w:r w:rsidRPr="00AC6D61">
        <w:rPr>
          <w:szCs w:val="20"/>
        </w:rPr>
        <w:t>Taxation on minerals</w:t>
      </w:r>
    </w:p>
    <w:p w14:paraId="2797D0FA" w14:textId="77777777" w:rsidR="00D57D90" w:rsidRPr="004521AB" w:rsidRDefault="00D57D90" w:rsidP="00D57D90">
      <w:pPr>
        <w:spacing w:before="160" w:after="120"/>
        <w:ind w:right="450"/>
        <w:rPr>
          <w:b/>
          <w:bCs/>
          <w:szCs w:val="20"/>
        </w:rPr>
      </w:pPr>
      <w:r w:rsidRPr="004521AB">
        <w:rPr>
          <w:b/>
          <w:bCs/>
          <w:szCs w:val="20"/>
        </w:rPr>
        <w:t>Royalty</w:t>
      </w:r>
    </w:p>
    <w:p w14:paraId="0638D1FA" w14:textId="77777777" w:rsidR="00D57D90" w:rsidRPr="004521AB" w:rsidRDefault="00D57D90" w:rsidP="00D57D90">
      <w:pPr>
        <w:spacing w:before="160" w:after="120"/>
        <w:ind w:right="450"/>
      </w:pPr>
      <w:r w:rsidRPr="004521AB">
        <w:rPr>
          <w:szCs w:val="20"/>
        </w:rPr>
        <w:t>As per Section 9</w:t>
      </w:r>
      <w:r>
        <w:rPr>
          <w:szCs w:val="20"/>
        </w:rPr>
        <w:t xml:space="preserve"> </w:t>
      </w:r>
      <w:r w:rsidRPr="004521AB">
        <w:rPr>
          <w:szCs w:val="20"/>
        </w:rPr>
        <w:t xml:space="preserve">of the </w:t>
      </w:r>
      <w:r w:rsidRPr="004521AB">
        <w:rPr>
          <w:i/>
          <w:iCs/>
          <w:szCs w:val="20"/>
        </w:rPr>
        <w:t>MMDR Act</w:t>
      </w:r>
      <w:r w:rsidRPr="004521AB">
        <w:rPr>
          <w:szCs w:val="20"/>
        </w:rPr>
        <w:t xml:space="preserve">, the holder of a mining lease granted on or after the commencement of the Act has to pay royalty on any mineral removed or consumed by him or by his agent, manager, employee, contractor or sub-lessee from the leased area at the rate specified for that mineral in the </w:t>
      </w:r>
      <w:r w:rsidRPr="004521AB">
        <w:rPr>
          <w:i/>
          <w:iCs/>
          <w:szCs w:val="20"/>
        </w:rPr>
        <w:t>Second Schedule</w:t>
      </w:r>
      <w:r>
        <w:rPr>
          <w:szCs w:val="20"/>
        </w:rPr>
        <w:t xml:space="preserve"> of the Act. </w:t>
      </w:r>
      <w:r w:rsidRPr="004521AB">
        <w:rPr>
          <w:szCs w:val="20"/>
        </w:rPr>
        <w:t xml:space="preserve"> </w:t>
      </w:r>
    </w:p>
    <w:p w14:paraId="4CDC1E6A" w14:textId="77777777" w:rsidR="00D57D90" w:rsidRPr="004521AB" w:rsidRDefault="00D57D90" w:rsidP="00D57D90">
      <w:pPr>
        <w:spacing w:before="160" w:after="120"/>
        <w:ind w:right="450"/>
        <w:rPr>
          <w:b/>
          <w:bCs/>
          <w:szCs w:val="20"/>
        </w:rPr>
      </w:pPr>
      <w:r w:rsidRPr="004521AB">
        <w:rPr>
          <w:b/>
          <w:bCs/>
          <w:szCs w:val="20"/>
        </w:rPr>
        <w:t xml:space="preserve">District Mineral Fund </w:t>
      </w:r>
    </w:p>
    <w:p w14:paraId="3387A3FF" w14:textId="77777777" w:rsidR="00D57D90" w:rsidRPr="004521AB" w:rsidRDefault="00D57D90" w:rsidP="00D57D90">
      <w:pPr>
        <w:spacing w:before="160" w:after="120"/>
        <w:ind w:right="450"/>
        <w:rPr>
          <w:szCs w:val="20"/>
        </w:rPr>
      </w:pPr>
      <w:r w:rsidRPr="004521AB">
        <w:rPr>
          <w:szCs w:val="20"/>
        </w:rPr>
        <w:t xml:space="preserve">The District Mineral Foundation (DMF) was established as per Section 9B of the MMDR Act, to ensure that the benefits of mining extend to communities affected by these activities. Funded by contributions from mining leaseholders, the DMF focuses on the welfare of people in mining-affected areas, particularly in the fields of health, education, and infrastructure development. </w:t>
      </w:r>
    </w:p>
    <w:p w14:paraId="75AB3F28" w14:textId="77777777" w:rsidR="00D57D90" w:rsidRPr="004521AB" w:rsidRDefault="00D57D90" w:rsidP="00D57D90">
      <w:pPr>
        <w:spacing w:before="160" w:after="120"/>
        <w:ind w:right="450"/>
        <w:rPr>
          <w:b/>
          <w:bCs/>
          <w:szCs w:val="20"/>
        </w:rPr>
      </w:pPr>
      <w:r w:rsidRPr="004521AB">
        <w:rPr>
          <w:b/>
          <w:bCs/>
          <w:szCs w:val="20"/>
        </w:rPr>
        <w:t>National Mineral Exploration Trust Rules, 2015</w:t>
      </w:r>
    </w:p>
    <w:p w14:paraId="45A2D359" w14:textId="77777777" w:rsidR="00D57D90" w:rsidRPr="004521AB" w:rsidRDefault="00D57D90" w:rsidP="00D57D90">
      <w:pPr>
        <w:spacing w:before="160" w:after="120"/>
        <w:ind w:right="450"/>
        <w:rPr>
          <w:szCs w:val="20"/>
        </w:rPr>
      </w:pPr>
      <w:r w:rsidRPr="004521AB">
        <w:rPr>
          <w:szCs w:val="20"/>
        </w:rPr>
        <w:t xml:space="preserve">The </w:t>
      </w:r>
      <w:r w:rsidRPr="004521AB">
        <w:rPr>
          <w:i/>
          <w:iCs/>
          <w:szCs w:val="20"/>
        </w:rPr>
        <w:t>National Mineral Exploration Trust Rules, 2015,</w:t>
      </w:r>
      <w:r w:rsidRPr="004521AB">
        <w:rPr>
          <w:szCs w:val="20"/>
        </w:rPr>
        <w:t xml:space="preserve"> were established as per Section 9</w:t>
      </w:r>
      <w:r>
        <w:rPr>
          <w:szCs w:val="20"/>
        </w:rPr>
        <w:t>C</w:t>
      </w:r>
      <w:r w:rsidRPr="004521AB">
        <w:rPr>
          <w:szCs w:val="20"/>
        </w:rPr>
        <w:t xml:space="preserve"> of the MMDR Act to support mineral exploration activities in India, particularly for minerals that are crucial for national development but are under-explored. </w:t>
      </w:r>
      <w:r>
        <w:rPr>
          <w:szCs w:val="20"/>
        </w:rPr>
        <w:t xml:space="preserve">The mining companies are mandated to contribute 2% of the applicable royalty in the NMET fund. </w:t>
      </w:r>
    </w:p>
    <w:p w14:paraId="1292D3E1" w14:textId="77777777" w:rsidR="00D57D90" w:rsidRDefault="00D57D90" w:rsidP="00D57D90">
      <w:pPr>
        <w:spacing w:before="160" w:after="120"/>
        <w:ind w:right="450"/>
        <w:rPr>
          <w:b/>
          <w:bCs/>
          <w:szCs w:val="20"/>
        </w:rPr>
      </w:pPr>
      <w:r w:rsidRPr="004521AB">
        <w:rPr>
          <w:b/>
          <w:bCs/>
          <w:szCs w:val="20"/>
        </w:rPr>
        <w:t>State Specific Taxes</w:t>
      </w:r>
    </w:p>
    <w:p w14:paraId="25D70A59" w14:textId="77777777" w:rsidR="00D57D90" w:rsidRDefault="00D57D90" w:rsidP="00D57D90">
      <w:pPr>
        <w:spacing w:before="160" w:after="120"/>
        <w:ind w:right="450"/>
        <w:rPr>
          <w:szCs w:val="20"/>
        </w:rPr>
      </w:pPr>
      <w:r w:rsidRPr="000F78E5">
        <w:rPr>
          <w:szCs w:val="20"/>
        </w:rPr>
        <w:t>In addition to the statutory taxes such as GST and GST compensation cess, there are specific charges which are levied by states which impact the overall price of coal</w:t>
      </w:r>
      <w:r>
        <w:rPr>
          <w:szCs w:val="20"/>
        </w:rPr>
        <w:t>/ minerals</w:t>
      </w:r>
      <w:r w:rsidRPr="000F78E5">
        <w:rPr>
          <w:szCs w:val="20"/>
        </w:rPr>
        <w:t xml:space="preserve">. Some of the key states which levy such taxes include Chhattisgarh, Madhya Pradesh, Jharkhand, and West Bengal. </w:t>
      </w:r>
    </w:p>
    <w:p w14:paraId="295629FB" w14:textId="77777777" w:rsidR="00D42579" w:rsidRPr="009F7BC1" w:rsidRDefault="00D42579" w:rsidP="00D42579">
      <w:pPr>
        <w:pStyle w:val="Heading2"/>
        <w:ind w:right="450"/>
      </w:pPr>
      <w:bookmarkStart w:id="298" w:name="_Toc198730363"/>
      <w:r w:rsidRPr="009F7BC1">
        <w:t>India’s energy requirements</w:t>
      </w:r>
      <w:bookmarkEnd w:id="298"/>
    </w:p>
    <w:p w14:paraId="69955B59" w14:textId="77777777" w:rsidR="00D42579" w:rsidRPr="004521AB" w:rsidRDefault="00D42579" w:rsidP="00D42579">
      <w:pPr>
        <w:spacing w:before="160" w:after="120"/>
        <w:ind w:right="450"/>
        <w:rPr>
          <w:szCs w:val="20"/>
        </w:rPr>
      </w:pPr>
      <w:r w:rsidRPr="004521AB">
        <w:rPr>
          <w:szCs w:val="20"/>
        </w:rPr>
        <w:t xml:space="preserve">India aspires to be a developed country by 2047, when it celebrates its 100th year of Independence. This includes achieving high per capita income with improved living standards. A rising population combined with the twin forces of urbanization and industrialization underpins growth in energy demand. </w:t>
      </w:r>
    </w:p>
    <w:p w14:paraId="21DE4505" w14:textId="77777777" w:rsidR="00D42579" w:rsidRPr="004521AB" w:rsidRDefault="00D42579" w:rsidP="00D42579">
      <w:pPr>
        <w:spacing w:before="160" w:after="120"/>
        <w:ind w:right="450"/>
        <w:rPr>
          <w:szCs w:val="20"/>
        </w:rPr>
      </w:pPr>
      <w:r w:rsidRPr="004521AB">
        <w:rPr>
          <w:szCs w:val="20"/>
        </w:rPr>
        <w:t xml:space="preserve">According to estimates by BP (2024) Statistical Review of World Energy, global energy consumption rose at a CAGR of 1.6% between 2010 and 2023 (from 506 exajoule or EJ to 620 EJ). The country-wise share of energy consumption with major economies are as shown below: </w:t>
      </w:r>
    </w:p>
    <w:p w14:paraId="670A8291" w14:textId="33772073" w:rsidR="00D42579" w:rsidRPr="004521AB" w:rsidRDefault="00D42579" w:rsidP="00D42579">
      <w:pPr>
        <w:keepNext/>
        <w:keepLines/>
        <w:spacing w:before="160" w:line="276" w:lineRule="auto"/>
        <w:ind w:right="432"/>
        <w:rPr>
          <w:rFonts w:eastAsia="Times New Roman" w:cs="Book Antiqua"/>
          <w:b/>
          <w:bCs/>
          <w:kern w:val="0"/>
          <w:szCs w:val="16"/>
          <w:lang w:val="en-GB" w:eastAsia="en-IN"/>
          <w14:ligatures w14:val="none"/>
        </w:rPr>
      </w:pPr>
      <w:bookmarkStart w:id="299" w:name="_Toc198731502"/>
      <w:r w:rsidRPr="004521AB">
        <w:rPr>
          <w:rFonts w:eastAsia="Times New Roman" w:cs="Book Antiqua"/>
          <w:b/>
          <w:bCs/>
          <w:iCs/>
          <w:kern w:val="0"/>
          <w:szCs w:val="16"/>
          <w:lang w:val="en-GB" w:eastAsia="en-IN"/>
          <w14:ligatures w14:val="none"/>
        </w:rPr>
        <w:t xml:space="preserve">Figure </w:t>
      </w:r>
      <w:r w:rsidRPr="004521AB">
        <w:rPr>
          <w:rFonts w:eastAsia="Times New Roman" w:cs="Book Antiqua"/>
          <w:b/>
          <w:bCs/>
          <w:iCs/>
          <w:kern w:val="0"/>
          <w:szCs w:val="16"/>
          <w:lang w:val="en-GB" w:eastAsia="en-IN"/>
          <w14:ligatures w14:val="none"/>
        </w:rPr>
        <w:fldChar w:fldCharType="begin"/>
      </w:r>
      <w:r w:rsidRPr="004521AB">
        <w:rPr>
          <w:rFonts w:eastAsia="Times New Roman" w:cs="Book Antiqua"/>
          <w:b/>
          <w:bCs/>
          <w:iCs/>
          <w:kern w:val="0"/>
          <w:szCs w:val="16"/>
          <w:lang w:val="en-GB" w:eastAsia="en-IN"/>
          <w14:ligatures w14:val="none"/>
        </w:rPr>
        <w:instrText xml:space="preserve"> STYLEREF 1 \s </w:instrText>
      </w:r>
      <w:r w:rsidRPr="004521AB">
        <w:rPr>
          <w:rFonts w:eastAsia="Times New Roman" w:cs="Book Antiqua"/>
          <w:b/>
          <w:bCs/>
          <w:iCs/>
          <w:kern w:val="0"/>
          <w:szCs w:val="16"/>
          <w:lang w:val="en-GB" w:eastAsia="en-IN"/>
          <w14:ligatures w14:val="none"/>
        </w:rPr>
        <w:fldChar w:fldCharType="separate"/>
      </w:r>
      <w:r w:rsidR="002142B9">
        <w:rPr>
          <w:rFonts w:eastAsia="Times New Roman" w:cs="Book Antiqua"/>
          <w:b/>
          <w:bCs/>
          <w:iCs/>
          <w:noProof/>
          <w:kern w:val="0"/>
          <w:szCs w:val="16"/>
          <w:lang w:val="en-GB" w:eastAsia="en-IN"/>
          <w14:ligatures w14:val="none"/>
        </w:rPr>
        <w:t>2</w:t>
      </w:r>
      <w:r w:rsidRPr="004521AB">
        <w:rPr>
          <w:rFonts w:eastAsia="Times New Roman" w:cs="Book Antiqua"/>
          <w:b/>
          <w:bCs/>
          <w:iCs/>
          <w:kern w:val="0"/>
          <w:szCs w:val="16"/>
          <w:lang w:val="en-GB" w:eastAsia="en-IN"/>
          <w14:ligatures w14:val="none"/>
        </w:rPr>
        <w:fldChar w:fldCharType="end"/>
      </w:r>
      <w:r w:rsidRPr="004521AB">
        <w:rPr>
          <w:rFonts w:eastAsia="Times New Roman" w:cs="Book Antiqua"/>
          <w:b/>
          <w:bCs/>
          <w:iCs/>
          <w:kern w:val="0"/>
          <w:szCs w:val="16"/>
          <w:lang w:val="en-GB" w:eastAsia="en-IN"/>
          <w14:ligatures w14:val="none"/>
        </w:rPr>
        <w:t>.</w:t>
      </w:r>
      <w:r w:rsidRPr="004521AB">
        <w:rPr>
          <w:rFonts w:eastAsia="Times New Roman" w:cs="Book Antiqua"/>
          <w:b/>
          <w:bCs/>
          <w:iCs/>
          <w:kern w:val="0"/>
          <w:szCs w:val="16"/>
          <w:lang w:val="en-GB" w:eastAsia="en-IN"/>
          <w14:ligatures w14:val="none"/>
        </w:rPr>
        <w:fldChar w:fldCharType="begin"/>
      </w:r>
      <w:r w:rsidRPr="004521AB">
        <w:rPr>
          <w:rFonts w:eastAsia="Times New Roman" w:cs="Book Antiqua"/>
          <w:b/>
          <w:bCs/>
          <w:iCs/>
          <w:kern w:val="0"/>
          <w:szCs w:val="16"/>
          <w:lang w:val="en-GB" w:eastAsia="en-IN"/>
          <w14:ligatures w14:val="none"/>
        </w:rPr>
        <w:instrText xml:space="preserve"> SEQ Figure \* ARABIC \s 1 </w:instrText>
      </w:r>
      <w:r w:rsidRPr="004521AB">
        <w:rPr>
          <w:rFonts w:eastAsia="Times New Roman" w:cs="Book Antiqua"/>
          <w:b/>
          <w:bCs/>
          <w:iCs/>
          <w:kern w:val="0"/>
          <w:szCs w:val="16"/>
          <w:lang w:val="en-GB" w:eastAsia="en-IN"/>
          <w14:ligatures w14:val="none"/>
        </w:rPr>
        <w:fldChar w:fldCharType="separate"/>
      </w:r>
      <w:r w:rsidR="002142B9">
        <w:rPr>
          <w:rFonts w:eastAsia="Times New Roman" w:cs="Book Antiqua"/>
          <w:b/>
          <w:bCs/>
          <w:iCs/>
          <w:noProof/>
          <w:kern w:val="0"/>
          <w:szCs w:val="16"/>
          <w:lang w:val="en-GB" w:eastAsia="en-IN"/>
          <w14:ligatures w14:val="none"/>
        </w:rPr>
        <w:t>4</w:t>
      </w:r>
      <w:r w:rsidRPr="004521AB">
        <w:rPr>
          <w:rFonts w:eastAsia="Times New Roman" w:cs="Book Antiqua"/>
          <w:b/>
          <w:bCs/>
          <w:iCs/>
          <w:kern w:val="0"/>
          <w:szCs w:val="16"/>
          <w:lang w:val="en-GB" w:eastAsia="en-IN"/>
          <w14:ligatures w14:val="none"/>
        </w:rPr>
        <w:fldChar w:fldCharType="end"/>
      </w:r>
      <w:r w:rsidRPr="004521AB">
        <w:rPr>
          <w:rFonts w:eastAsia="Times New Roman" w:cs="Book Antiqua"/>
          <w:bCs/>
          <w:iCs/>
          <w:kern w:val="0"/>
          <w:szCs w:val="16"/>
          <w:lang w:val="en-GB" w:eastAsia="en-IN"/>
          <w14:ligatures w14:val="none"/>
        </w:rPr>
        <w:t xml:space="preserve"> :</w:t>
      </w:r>
      <w:r w:rsidRPr="004521AB">
        <w:rPr>
          <w:rFonts w:eastAsia="Times New Roman" w:cs="Book Antiqua"/>
          <w:b/>
          <w:bCs/>
          <w:kern w:val="0"/>
          <w:szCs w:val="16"/>
          <w:lang w:val="en-GB" w:eastAsia="en-IN"/>
          <w14:ligatures w14:val="none"/>
        </w:rPr>
        <w:t>World’s energy consumption (EJ) by major countries in CY2018 and CY2023</w:t>
      </w:r>
      <w:bookmarkEnd w:id="2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380"/>
      </w:tblGrid>
      <w:tr w:rsidR="00D42579" w:rsidRPr="004521AB" w14:paraId="52B23467" w14:textId="77777777" w:rsidTr="001106FC">
        <w:tc>
          <w:tcPr>
            <w:tcW w:w="5098" w:type="dxa"/>
          </w:tcPr>
          <w:p w14:paraId="193FE5E5" w14:textId="77777777" w:rsidR="00D42579" w:rsidRPr="004521AB" w:rsidRDefault="00D42579" w:rsidP="001106FC">
            <w:pPr>
              <w:spacing w:line="240" w:lineRule="auto"/>
              <w:ind w:right="432"/>
              <w:rPr>
                <w:rFonts w:eastAsia="Calibri"/>
                <w:color w:val="434242"/>
                <w:szCs w:val="20"/>
                <w:lang w:val="en-GB"/>
              </w:rPr>
            </w:pPr>
            <w:r w:rsidRPr="004521AB">
              <w:rPr>
                <w:rFonts w:eastAsia="Calibri"/>
                <w:noProof/>
                <w:color w:val="434242"/>
                <w:szCs w:val="20"/>
                <w:lang w:val="en-GB"/>
              </w:rPr>
              <w:drawing>
                <wp:inline distT="0" distB="0" distL="0" distR="0" wp14:anchorId="697B2667" wp14:editId="347D28DE">
                  <wp:extent cx="3005455" cy="1842867"/>
                  <wp:effectExtent l="0" t="0" r="4445" b="5080"/>
                  <wp:docPr id="716696769" name="Chart 1">
                    <a:extLst xmlns:a="http://schemas.openxmlformats.org/drawingml/2006/main">
                      <a:ext uri="{FF2B5EF4-FFF2-40B4-BE49-F238E27FC236}">
                        <a16:creationId xmlns:a16="http://schemas.microsoft.com/office/drawing/2014/main" id="{FB0F49CA-E47A-4D42-FDA4-B07DF679D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099" w:type="dxa"/>
          </w:tcPr>
          <w:p w14:paraId="43634747" w14:textId="77777777" w:rsidR="00D42579" w:rsidRPr="004521AB" w:rsidRDefault="00D42579" w:rsidP="001106FC">
            <w:pPr>
              <w:spacing w:line="240" w:lineRule="auto"/>
              <w:ind w:right="432"/>
              <w:rPr>
                <w:rFonts w:eastAsia="Calibri"/>
                <w:color w:val="434242"/>
                <w:szCs w:val="20"/>
                <w:lang w:val="en-GB"/>
              </w:rPr>
            </w:pPr>
            <w:r w:rsidRPr="004521AB">
              <w:rPr>
                <w:i/>
                <w:noProof/>
                <w:color w:val="434242"/>
                <w:sz w:val="16"/>
                <w:szCs w:val="18"/>
                <w:lang w:val="en-GB"/>
              </w:rPr>
              <w:drawing>
                <wp:inline distT="0" distB="0" distL="0" distR="0" wp14:anchorId="4095A943" wp14:editId="488B364C">
                  <wp:extent cx="3164205" cy="1856935"/>
                  <wp:effectExtent l="0" t="0" r="0" b="0"/>
                  <wp:docPr id="1944043316" name="Chart 1">
                    <a:extLst xmlns:a="http://schemas.openxmlformats.org/drawingml/2006/main">
                      <a:ext uri="{FF2B5EF4-FFF2-40B4-BE49-F238E27FC236}">
                        <a16:creationId xmlns:a16="http://schemas.microsoft.com/office/drawing/2014/main" id="{26ADC739-1F53-A0E7-772B-63371F91A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19912372" w14:textId="77777777" w:rsidR="00D42579" w:rsidRPr="004521AB" w:rsidRDefault="00D42579" w:rsidP="00D42579">
      <w:pPr>
        <w:tabs>
          <w:tab w:val="center" w:pos="4680"/>
          <w:tab w:val="right" w:pos="9720"/>
        </w:tabs>
        <w:spacing w:after="120" w:line="240" w:lineRule="auto"/>
        <w:ind w:right="432"/>
        <w:rPr>
          <w:rFonts w:eastAsiaTheme="minorEastAsia"/>
          <w:i/>
          <w:sz w:val="16"/>
          <w:szCs w:val="18"/>
        </w:rPr>
      </w:pPr>
      <w:r w:rsidRPr="004521AB">
        <w:rPr>
          <w:rFonts w:eastAsiaTheme="minorEastAsia"/>
          <w:i/>
          <w:sz w:val="16"/>
          <w:szCs w:val="18"/>
        </w:rPr>
        <w:t>Source:</w:t>
      </w:r>
      <w:r w:rsidRPr="004521AB">
        <w:rPr>
          <w:rFonts w:eastAsiaTheme="minorEastAsia"/>
          <w:i/>
          <w:sz w:val="16"/>
          <w:szCs w:val="15"/>
        </w:rPr>
        <w:t xml:space="preserve"> BP (2024) Statistical Review of World Energy</w:t>
      </w:r>
      <w:r w:rsidRPr="004521AB">
        <w:rPr>
          <w:rFonts w:eastAsiaTheme="minorEastAsia"/>
          <w:i/>
          <w:sz w:val="16"/>
          <w:szCs w:val="18"/>
        </w:rPr>
        <w:t>, CY- Calendar Year</w:t>
      </w:r>
    </w:p>
    <w:p w14:paraId="2C67D716" w14:textId="46D0FA35" w:rsidR="007E0BB7" w:rsidRDefault="00D42579" w:rsidP="00D42579">
      <w:pPr>
        <w:pStyle w:val="Heading2"/>
        <w:ind w:right="112"/>
      </w:pPr>
      <w:bookmarkStart w:id="300" w:name="_Toc198730364"/>
      <w:r w:rsidRPr="009F7BC1">
        <w:t xml:space="preserve">Correlation of </w:t>
      </w:r>
      <w:r w:rsidR="007E0BB7">
        <w:t xml:space="preserve">Major Sectors </w:t>
      </w:r>
      <w:r w:rsidR="00DB5722">
        <w:t>with the GDP growth</w:t>
      </w:r>
      <w:bookmarkEnd w:id="300"/>
    </w:p>
    <w:p w14:paraId="76B7A379" w14:textId="572E75BE" w:rsidR="00D42579" w:rsidRPr="009F7BC1" w:rsidRDefault="00D42579" w:rsidP="00662938">
      <w:pPr>
        <w:pStyle w:val="Heading30"/>
      </w:pPr>
      <w:r w:rsidRPr="009F7BC1">
        <w:t>Steel sector with GDP growth</w:t>
      </w:r>
    </w:p>
    <w:p w14:paraId="7E0759FB" w14:textId="77777777" w:rsidR="00D42579" w:rsidRDefault="00D42579" w:rsidP="00D42579">
      <w:pPr>
        <w:ind w:right="450"/>
        <w:rPr>
          <w:szCs w:val="20"/>
        </w:rPr>
      </w:pPr>
      <w:r w:rsidRPr="004521AB">
        <w:rPr>
          <w:szCs w:val="20"/>
        </w:rPr>
        <w:t>The demand growth of steel and GDP growth is highly correlated, with both following a similar trend since 2018</w:t>
      </w:r>
      <w:r w:rsidRPr="004521AB">
        <w:rPr>
          <w:szCs w:val="20"/>
          <w:vertAlign w:val="superscript"/>
        </w:rPr>
        <w:footnoteReference w:id="30"/>
      </w:r>
      <w:r w:rsidRPr="004521AB">
        <w:rPr>
          <w:szCs w:val="20"/>
        </w:rPr>
        <w:t xml:space="preserve">. When real GDP growth is high, steel demand growth tends to be high as well. The steel demand growth rate experienced a down cycle from CY19 to CY20, with a decline of -1.6% and -5.1%, respectively, due to the pandemic. The steel demand growth rate has been in an </w:t>
      </w:r>
      <w:r>
        <w:rPr>
          <w:szCs w:val="20"/>
        </w:rPr>
        <w:t>cyclical</w:t>
      </w:r>
      <w:r w:rsidRPr="004521AB">
        <w:rPr>
          <w:szCs w:val="20"/>
        </w:rPr>
        <w:t xml:space="preserve"> since CY21, with growth rates of 16.2%, 5.7%, and 12.2% in CY21, CY22, and CY23, respectively. </w:t>
      </w:r>
    </w:p>
    <w:p w14:paraId="1F665483" w14:textId="1192BA05" w:rsidR="00D42579" w:rsidRPr="004521AB" w:rsidRDefault="00D42579" w:rsidP="00D42579">
      <w:pPr>
        <w:spacing w:before="160" w:after="120" w:line="280" w:lineRule="exact"/>
        <w:ind w:right="450"/>
        <w:rPr>
          <w:rFonts w:eastAsia="Times New Roman" w:cs="Book Antiqua"/>
          <w:b/>
          <w:bCs/>
          <w:iCs/>
          <w:kern w:val="0"/>
          <w:szCs w:val="18"/>
          <w:lang w:val="en-GB" w:eastAsia="en-IN"/>
          <w14:ligatures w14:val="none"/>
        </w:rPr>
      </w:pPr>
      <w:bookmarkStart w:id="301" w:name="_Toc198731503"/>
      <w:r w:rsidRPr="004521AB">
        <w:rPr>
          <w:rFonts w:eastAsia="Times New Roman" w:cs="Book Antiqua"/>
          <w:b/>
          <w:bCs/>
          <w:iCs/>
          <w:kern w:val="0"/>
          <w:szCs w:val="18"/>
          <w:lang w:val="en-GB" w:eastAsia="en-IN"/>
          <w14:ligatures w14:val="none"/>
        </w:rPr>
        <w:t xml:space="preserve">Figure </w:t>
      </w:r>
      <w:r w:rsidRPr="004521AB">
        <w:rPr>
          <w:rFonts w:eastAsia="Times New Roman" w:cs="Book Antiqua"/>
          <w:b/>
          <w:bCs/>
          <w:iCs/>
          <w:kern w:val="0"/>
          <w:szCs w:val="18"/>
          <w:lang w:val="en-GB" w:eastAsia="en-IN"/>
          <w14:ligatures w14:val="none"/>
        </w:rPr>
        <w:fldChar w:fldCharType="begin"/>
      </w:r>
      <w:r w:rsidRPr="004521AB">
        <w:rPr>
          <w:rFonts w:eastAsia="Times New Roman" w:cs="Book Antiqua"/>
          <w:b/>
          <w:bCs/>
          <w:iCs/>
          <w:kern w:val="0"/>
          <w:szCs w:val="18"/>
          <w:lang w:val="en-GB" w:eastAsia="en-IN"/>
          <w14:ligatures w14:val="none"/>
        </w:rPr>
        <w:instrText xml:space="preserve"> STYLEREF 1 \s </w:instrText>
      </w:r>
      <w:r w:rsidRPr="004521AB">
        <w:rPr>
          <w:rFonts w:eastAsia="Times New Roman" w:cs="Book Antiqua"/>
          <w:b/>
          <w:bCs/>
          <w:iCs/>
          <w:kern w:val="0"/>
          <w:szCs w:val="18"/>
          <w:lang w:val="en-GB" w:eastAsia="en-IN"/>
          <w14:ligatures w14:val="none"/>
        </w:rPr>
        <w:fldChar w:fldCharType="separate"/>
      </w:r>
      <w:r w:rsidR="002142B9">
        <w:rPr>
          <w:rFonts w:eastAsia="Times New Roman" w:cs="Book Antiqua"/>
          <w:b/>
          <w:bCs/>
          <w:iCs/>
          <w:noProof/>
          <w:kern w:val="0"/>
          <w:szCs w:val="18"/>
          <w:lang w:val="en-GB" w:eastAsia="en-IN"/>
          <w14:ligatures w14:val="none"/>
        </w:rPr>
        <w:t>2</w:t>
      </w:r>
      <w:r w:rsidRPr="004521AB">
        <w:rPr>
          <w:rFonts w:eastAsia="Times New Roman" w:cs="Book Antiqua"/>
          <w:b/>
          <w:bCs/>
          <w:iCs/>
          <w:kern w:val="0"/>
          <w:szCs w:val="18"/>
          <w:lang w:val="en-GB" w:eastAsia="en-IN"/>
          <w14:ligatures w14:val="none"/>
        </w:rPr>
        <w:fldChar w:fldCharType="end"/>
      </w:r>
      <w:r w:rsidRPr="004521AB">
        <w:rPr>
          <w:rFonts w:eastAsia="Times New Roman" w:cs="Book Antiqua"/>
          <w:b/>
          <w:bCs/>
          <w:iCs/>
          <w:kern w:val="0"/>
          <w:szCs w:val="18"/>
          <w:lang w:val="en-GB" w:eastAsia="en-IN"/>
          <w14:ligatures w14:val="none"/>
        </w:rPr>
        <w:t>.</w:t>
      </w:r>
      <w:r w:rsidRPr="004521AB">
        <w:rPr>
          <w:rFonts w:eastAsia="Times New Roman" w:cs="Book Antiqua"/>
          <w:b/>
          <w:bCs/>
          <w:iCs/>
          <w:kern w:val="0"/>
          <w:szCs w:val="18"/>
          <w:lang w:val="en-GB" w:eastAsia="en-IN"/>
          <w14:ligatures w14:val="none"/>
        </w:rPr>
        <w:fldChar w:fldCharType="begin"/>
      </w:r>
      <w:r w:rsidRPr="004521AB">
        <w:rPr>
          <w:rFonts w:eastAsia="Times New Roman" w:cs="Book Antiqua"/>
          <w:b/>
          <w:bCs/>
          <w:iCs/>
          <w:kern w:val="0"/>
          <w:szCs w:val="18"/>
          <w:lang w:val="en-GB" w:eastAsia="en-IN"/>
          <w14:ligatures w14:val="none"/>
        </w:rPr>
        <w:instrText xml:space="preserve"> SEQ Figure \* ARABIC \s 1 </w:instrText>
      </w:r>
      <w:r w:rsidRPr="004521AB">
        <w:rPr>
          <w:rFonts w:eastAsia="Times New Roman" w:cs="Book Antiqua"/>
          <w:b/>
          <w:bCs/>
          <w:iCs/>
          <w:kern w:val="0"/>
          <w:szCs w:val="18"/>
          <w:lang w:val="en-GB" w:eastAsia="en-IN"/>
          <w14:ligatures w14:val="none"/>
        </w:rPr>
        <w:fldChar w:fldCharType="separate"/>
      </w:r>
      <w:r w:rsidR="002142B9">
        <w:rPr>
          <w:rFonts w:eastAsia="Times New Roman" w:cs="Book Antiqua"/>
          <w:b/>
          <w:bCs/>
          <w:iCs/>
          <w:noProof/>
          <w:kern w:val="0"/>
          <w:szCs w:val="18"/>
          <w:lang w:val="en-GB" w:eastAsia="en-IN"/>
          <w14:ligatures w14:val="none"/>
        </w:rPr>
        <w:t>5</w:t>
      </w:r>
      <w:r w:rsidRPr="004521AB">
        <w:rPr>
          <w:rFonts w:eastAsia="Times New Roman" w:cs="Book Antiqua"/>
          <w:b/>
          <w:bCs/>
          <w:iCs/>
          <w:kern w:val="0"/>
          <w:szCs w:val="18"/>
          <w:lang w:val="en-GB" w:eastAsia="en-IN"/>
          <w14:ligatures w14:val="none"/>
        </w:rPr>
        <w:fldChar w:fldCharType="end"/>
      </w:r>
      <w:r w:rsidRPr="004521AB">
        <w:rPr>
          <w:rFonts w:eastAsia="Times New Roman" w:cs="Book Antiqua"/>
          <w:b/>
          <w:bCs/>
          <w:iCs/>
          <w:kern w:val="0"/>
          <w:szCs w:val="18"/>
          <w:lang w:val="en-GB" w:eastAsia="en-IN"/>
          <w14:ligatures w14:val="none"/>
        </w:rPr>
        <w:t>: Growth in steel demand vs GDP in India</w:t>
      </w:r>
      <w:bookmarkEnd w:id="301"/>
    </w:p>
    <w:p w14:paraId="33C4F577" w14:textId="77777777" w:rsidR="00D42579" w:rsidRPr="004521AB" w:rsidRDefault="00D42579" w:rsidP="00D42579">
      <w:pPr>
        <w:spacing w:after="200" w:line="276" w:lineRule="auto"/>
        <w:ind w:right="450"/>
        <w:rPr>
          <w:rFonts w:eastAsiaTheme="minorEastAsia" w:cs="Times New Roman"/>
          <w:i/>
          <w:color w:val="auto"/>
          <w:kern w:val="0"/>
          <w:sz w:val="16"/>
          <w:szCs w:val="22"/>
          <w:lang w:val="en-GB"/>
          <w14:ligatures w14:val="none"/>
        </w:rPr>
      </w:pPr>
      <w:r w:rsidRPr="004521AB">
        <w:rPr>
          <w:rFonts w:eastAsiaTheme="minorEastAsia"/>
          <w:i/>
          <w:noProof/>
          <w:color w:val="auto"/>
          <w:kern w:val="0"/>
          <w:sz w:val="16"/>
          <w:szCs w:val="22"/>
          <w14:ligatures w14:val="none"/>
        </w:rPr>
        <mc:AlternateContent>
          <mc:Choice Requires="wpg">
            <w:drawing>
              <wp:anchor distT="0" distB="0" distL="114300" distR="114300" simplePos="0" relativeHeight="251658255" behindDoc="0" locked="0" layoutInCell="1" allowOverlap="1" wp14:anchorId="1FAEDBFA" wp14:editId="1239BB8C">
                <wp:simplePos x="0" y="0"/>
                <wp:positionH relativeFrom="margin">
                  <wp:posOffset>672612</wp:posOffset>
                </wp:positionH>
                <wp:positionV relativeFrom="paragraph">
                  <wp:posOffset>41470</wp:posOffset>
                </wp:positionV>
                <wp:extent cx="5627077" cy="351773"/>
                <wp:effectExtent l="0" t="0" r="0" b="0"/>
                <wp:wrapNone/>
                <wp:docPr id="211989168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077" cy="351773"/>
                          <a:chOff x="2127" y="12074"/>
                          <a:chExt cx="6966" cy="671"/>
                        </a:xfrm>
                      </wpg:grpSpPr>
                      <wps:wsp>
                        <wps:cNvPr id="1160704120" name="Rectangle 133"/>
                        <wps:cNvSpPr>
                          <a:spLocks noChangeArrowheads="1"/>
                        </wps:cNvSpPr>
                        <wps:spPr bwMode="auto">
                          <a:xfrm>
                            <a:off x="2127" y="12074"/>
                            <a:ext cx="670" cy="604"/>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6046F8" w14:textId="77777777" w:rsidR="00D42579" w:rsidRPr="00AF7BFA" w:rsidRDefault="00D42579" w:rsidP="00D42579">
                              <w:pPr>
                                <w:jc w:val="center"/>
                                <w:rPr>
                                  <w:b/>
                                  <w:bCs/>
                                  <w:sz w:val="18"/>
                                  <w:szCs w:val="18"/>
                                  <w:lang w:val="en-IN"/>
                                </w:rPr>
                              </w:pPr>
                              <w:r>
                                <w:rPr>
                                  <w:b/>
                                  <w:bCs/>
                                  <w:sz w:val="18"/>
                                  <w:szCs w:val="18"/>
                                  <w:lang w:val="en-IN"/>
                                </w:rPr>
                                <w:t>1.17</w:t>
                              </w:r>
                            </w:p>
                          </w:txbxContent>
                        </wps:txbx>
                        <wps:bodyPr rot="0" vert="horz" wrap="square" lIns="91440" tIns="45720" rIns="91440" bIns="45720" anchor="ctr" anchorCtr="0" upright="1">
                          <a:noAutofit/>
                        </wps:bodyPr>
                      </wps:wsp>
                      <wps:wsp>
                        <wps:cNvPr id="366870737" name="Rectangle 134"/>
                        <wps:cNvSpPr>
                          <a:spLocks noChangeArrowheads="1"/>
                        </wps:cNvSpPr>
                        <wps:spPr bwMode="auto">
                          <a:xfrm>
                            <a:off x="3332" y="12074"/>
                            <a:ext cx="670" cy="657"/>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8F58AF" w14:textId="77777777" w:rsidR="00D42579" w:rsidRPr="00AF7BFA" w:rsidRDefault="00D42579" w:rsidP="00D42579">
                              <w:pPr>
                                <w:jc w:val="center"/>
                                <w:rPr>
                                  <w:b/>
                                  <w:bCs/>
                                  <w:sz w:val="18"/>
                                  <w:szCs w:val="18"/>
                                  <w:lang w:val="en-IN"/>
                                </w:rPr>
                              </w:pPr>
                              <w:r>
                                <w:rPr>
                                  <w:b/>
                                  <w:bCs/>
                                  <w:sz w:val="18"/>
                                  <w:szCs w:val="18"/>
                                  <w:lang w:val="en-IN"/>
                                </w:rPr>
                                <w:t>-0.41</w:t>
                              </w:r>
                            </w:p>
                          </w:txbxContent>
                        </wps:txbx>
                        <wps:bodyPr rot="0" vert="horz" wrap="square" lIns="91440" tIns="45720" rIns="91440" bIns="45720" anchor="ctr" anchorCtr="0" upright="1">
                          <a:noAutofit/>
                        </wps:bodyPr>
                      </wps:wsp>
                      <wps:wsp>
                        <wps:cNvPr id="1231281419" name="Rectangle 135"/>
                        <wps:cNvSpPr>
                          <a:spLocks noChangeArrowheads="1"/>
                        </wps:cNvSpPr>
                        <wps:spPr bwMode="auto">
                          <a:xfrm>
                            <a:off x="4672" y="12074"/>
                            <a:ext cx="670" cy="656"/>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C49FB13" w14:textId="77777777" w:rsidR="00D42579" w:rsidRPr="00450184" w:rsidRDefault="00D42579" w:rsidP="00D42579">
                              <w:pPr>
                                <w:jc w:val="center"/>
                                <w:rPr>
                                  <w:b/>
                                  <w:bCs/>
                                  <w:sz w:val="18"/>
                                  <w:szCs w:val="18"/>
                                </w:rPr>
                              </w:pPr>
                              <w:r w:rsidRPr="00450184">
                                <w:rPr>
                                  <w:b/>
                                  <w:bCs/>
                                  <w:sz w:val="18"/>
                                  <w:szCs w:val="18"/>
                                </w:rPr>
                                <w:t>0.</w:t>
                              </w:r>
                              <w:r>
                                <w:rPr>
                                  <w:b/>
                                  <w:bCs/>
                                  <w:sz w:val="18"/>
                                  <w:szCs w:val="18"/>
                                </w:rPr>
                                <w:t>88</w:t>
                              </w:r>
                            </w:p>
                          </w:txbxContent>
                        </wps:txbx>
                        <wps:bodyPr rot="0" vert="horz" wrap="square" lIns="91440" tIns="45720" rIns="91440" bIns="45720" anchor="ctr" anchorCtr="0" upright="1">
                          <a:noAutofit/>
                        </wps:bodyPr>
                      </wps:wsp>
                      <wps:wsp>
                        <wps:cNvPr id="1307909633" name="Rectangle 136"/>
                        <wps:cNvSpPr>
                          <a:spLocks noChangeArrowheads="1"/>
                        </wps:cNvSpPr>
                        <wps:spPr bwMode="auto">
                          <a:xfrm>
                            <a:off x="5860" y="12074"/>
                            <a:ext cx="670" cy="656"/>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D320F60" w14:textId="77777777" w:rsidR="00D42579" w:rsidRPr="00450184" w:rsidRDefault="00D42579" w:rsidP="00D42579">
                              <w:pPr>
                                <w:jc w:val="center"/>
                                <w:rPr>
                                  <w:b/>
                                  <w:bCs/>
                                  <w:sz w:val="18"/>
                                  <w:szCs w:val="18"/>
                                </w:rPr>
                              </w:pPr>
                              <w:r>
                                <w:rPr>
                                  <w:b/>
                                  <w:bCs/>
                                  <w:sz w:val="18"/>
                                  <w:szCs w:val="18"/>
                                </w:rPr>
                                <w:t>1</w:t>
                              </w:r>
                              <w:r w:rsidRPr="00450184">
                                <w:rPr>
                                  <w:b/>
                                  <w:bCs/>
                                  <w:sz w:val="18"/>
                                  <w:szCs w:val="18"/>
                                </w:rPr>
                                <w:t>.</w:t>
                              </w:r>
                              <w:r>
                                <w:rPr>
                                  <w:b/>
                                  <w:bCs/>
                                  <w:sz w:val="18"/>
                                  <w:szCs w:val="18"/>
                                </w:rPr>
                                <w:t>67</w:t>
                              </w:r>
                            </w:p>
                          </w:txbxContent>
                        </wps:txbx>
                        <wps:bodyPr rot="0" vert="horz" wrap="square" lIns="91440" tIns="45720" rIns="91440" bIns="45720" anchor="ctr" anchorCtr="0" upright="1">
                          <a:noAutofit/>
                        </wps:bodyPr>
                      </wps:wsp>
                      <wps:wsp>
                        <wps:cNvPr id="314923050" name="Rectangle 137"/>
                        <wps:cNvSpPr>
                          <a:spLocks noChangeArrowheads="1"/>
                        </wps:cNvSpPr>
                        <wps:spPr bwMode="auto">
                          <a:xfrm>
                            <a:off x="7150" y="12074"/>
                            <a:ext cx="670" cy="671"/>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8498F0" w14:textId="77777777" w:rsidR="00D42579" w:rsidRPr="00450184" w:rsidRDefault="00D42579" w:rsidP="00D42579">
                              <w:pPr>
                                <w:jc w:val="center"/>
                                <w:rPr>
                                  <w:b/>
                                  <w:bCs/>
                                  <w:sz w:val="18"/>
                                  <w:szCs w:val="18"/>
                                </w:rPr>
                              </w:pPr>
                              <w:r>
                                <w:rPr>
                                  <w:b/>
                                  <w:bCs/>
                                  <w:sz w:val="18"/>
                                  <w:szCs w:val="18"/>
                                </w:rPr>
                                <w:t>0</w:t>
                              </w:r>
                              <w:r w:rsidRPr="00450184">
                                <w:rPr>
                                  <w:b/>
                                  <w:bCs/>
                                  <w:sz w:val="18"/>
                                  <w:szCs w:val="18"/>
                                </w:rPr>
                                <w:t>.</w:t>
                              </w:r>
                              <w:r>
                                <w:rPr>
                                  <w:b/>
                                  <w:bCs/>
                                  <w:sz w:val="18"/>
                                  <w:szCs w:val="18"/>
                                </w:rPr>
                                <w:t>75</w:t>
                              </w:r>
                            </w:p>
                          </w:txbxContent>
                        </wps:txbx>
                        <wps:bodyPr rot="0" vert="horz" wrap="square" lIns="91440" tIns="45720" rIns="91440" bIns="45720" anchor="ctr" anchorCtr="0" upright="1">
                          <a:noAutofit/>
                        </wps:bodyPr>
                      </wps:wsp>
                      <wps:wsp>
                        <wps:cNvPr id="891580170" name="Rectangle 138"/>
                        <wps:cNvSpPr>
                          <a:spLocks noChangeArrowheads="1"/>
                        </wps:cNvSpPr>
                        <wps:spPr bwMode="auto">
                          <a:xfrm>
                            <a:off x="8406" y="12074"/>
                            <a:ext cx="687" cy="670"/>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EBF878" w14:textId="77777777" w:rsidR="00D42579" w:rsidRPr="001917CF" w:rsidRDefault="00D42579" w:rsidP="00D42579">
                              <w:pPr>
                                <w:jc w:val="center"/>
                                <w:rPr>
                                  <w:b/>
                                  <w:bCs/>
                                  <w:sz w:val="18"/>
                                  <w:szCs w:val="18"/>
                                  <w:lang w:val="en-IN"/>
                                </w:rPr>
                              </w:pPr>
                              <w:r>
                                <w:rPr>
                                  <w:b/>
                                  <w:bCs/>
                                  <w:sz w:val="18"/>
                                  <w:szCs w:val="18"/>
                                  <w:lang w:val="en-IN"/>
                                </w:rPr>
                                <w:t>1.33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EDBFA" id="Group 132" o:spid="_x0000_s1026" style="position:absolute;left:0;text-align:left;margin-left:52.95pt;margin-top:3.25pt;width:443.1pt;height:27.7pt;z-index:251658255;mso-position-horizontal-relative:margin" coordorigin="2127,12074" coordsize="69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UoYgMAAJISAAAOAAAAZHJzL2Uyb0RvYy54bWzsWG1vmzAQ/j5p/8Hy9xUMxJCoSVW1azWp&#10;26p1+wEOmBcNMLNJSPfrd7ZD3qdOnRSpUfiAsA+f7557fPb58mpRlWjOpSpEPcbkwsWI17FIijob&#10;4x/f7z5EGKmW1QkrRc3H+JkrfDV5/+6ya0bcE7koEy4RKKnVqGvGOG/bZuQ4Ks55xdSFaHgNwlTI&#10;irXQlJmTSNaB9qp0PNelTidk0kgRc6Wg99YK8cToT1Met1/TVPEWlWMMtrXmLc17qt/O5JKNMsma&#10;vIiXZrBXWFGxooZJV6puWcvQTBZ7qqoilkKJtL2IReWINC1ibnwAb4i74829FLPG+JKNuqxZwQTQ&#10;7uD0arXxl/m9bJ6aR2mth88HEf9UgIvTNdloU67bmf0ZTbvPIoF4slkrjOOLVFZaBbiEFgbf5xW+&#10;fNGiGDoH1AvdMMQoBpk/IGHo2wDEOURJD/OIB2KQEs8Ng174cTmeDim1g2lItNBhIzuvsXVpm449&#10;kEmt8VL/h9dTzhpuwqA0Ho8SFQlYSKgbugEYilHNKsDiG7CN1VnJEfGNY9oOGNCjqyy0qBY3OfzH&#10;r6UUXc5ZAvZZd7YG6IaCwLyI9SHQeshpCOZpuKlr4FwhxkaNVO09FxXSH2MswXoTSTZ/UK0Ft/9F&#10;B1aJskjuirI0DZlNb0qJ5gzW1XU4jCJqxpazCnhhuwMXHhtC6NYBNn/TvhtMUVaNCeSW/rLWs9RC&#10;z2dN0T0QZQuJDXG7mC5AqDunInkGpKSwCxwSEnzkQv7GqIPFPcbq14xJjlH5qQa0hyQIdDYwjWAQ&#10;6hjKTcl0U8LqGFSNcdxKjGzjprU5ZNbIIsthLmLcr8U1rIe0MPCt7VpaDpQ8Ejd9SiNYaT6spX1q&#10;Gh5o445ATd/3vd31vE/NQbi1mE+EmjZLaM/WTDgztM+enk+8iARkeIiigx61I1A0oOG/UJSeLEW9&#10;HuxzErVJsaeo74ZDd0hhLz+QRQ0fjpRFBxGFDWr7VHQgi54uRVenqTNFtyjqk2Do+e4A2LG/z5tN&#10;9UgMDYm24SWG7hzaT2mfXx2qzgzdYmg0JIPIJboK2Wdo1O88R9jmo8CF2vEvDI2WNamulmy50Zez&#10;fQX0poskcxJdnaneDkNNVQ8XH6Y+XF7S6JuVzbaprdZXSZM/AAAA//8DAFBLAwQUAAYACAAAACEA&#10;b4Vpht0AAAAIAQAADwAAAGRycy9kb3ducmV2LnhtbEyPQUvDQBCF74L/YRnBm91sJcXEbEop6qkI&#10;toJ4m2anSWh2N2S3SfrvHU96/HiPN98U69l2YqQhtN5pUIsEBLnKm9bVGj4Prw9PIEJEZ7DzjjRc&#10;KcC6vL0pMDd+ch807mMteMSFHDU0Mfa5lKFqyGJY+J4cZyc/WIyMQy3NgBOP204uk2QlLbaOLzTY&#10;07ah6ry/WA1vE06bR/Uy7s6n7fX7kL5/7RRpfX83b55BRJrjXxl+9VkdSnY6+oszQXTMSZpxVcMq&#10;BcF5li0ViCOzykCWhfz/QPkDAAD//wMAUEsBAi0AFAAGAAgAAAAhALaDOJL+AAAA4QEAABMAAAAA&#10;AAAAAAAAAAAAAAAAAFtDb250ZW50X1R5cGVzXS54bWxQSwECLQAUAAYACAAAACEAOP0h/9YAAACU&#10;AQAACwAAAAAAAAAAAAAAAAAvAQAAX3JlbHMvLnJlbHNQSwECLQAUAAYACAAAACEASpY1KGIDAACS&#10;EgAADgAAAAAAAAAAAAAAAAAuAgAAZHJzL2Uyb0RvYy54bWxQSwECLQAUAAYACAAAACEAb4Vpht0A&#10;AAAIAQAADwAAAAAAAAAAAAAAAAC8BQAAZHJzL2Rvd25yZXYueG1sUEsFBgAAAAAEAAQA8wAAAMYG&#10;AAAAAA==&#10;">
                <v:rect id="Rectangle 133" o:spid="_x0000_s1027" style="position:absolute;left:2127;top:12074;width:670;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P9zAAAAOMAAAAPAAAAZHJzL2Rvd25yZXYueG1sRI9Ba8JA&#10;EIXvhf6HZQq9SN2NiJbUVVpBqB4UtYceh+w0Cc3OptlV4793DkKPM/PmvffNFr1v1Jm6WAe2kA0N&#10;KOIiuJpLC1/H1csrqJiQHTaBycKVIizmjw8zzF248J7Oh1QqMeGYo4UqpTbXOhYVeYzD0BLL7Sd0&#10;HpOMXaldhxcx940eGTPRHmuWhApbWlZU/B5O3oIZhObj5Ne+3A3Wm+v++6+otxtrn5/69zdQifr0&#10;L75/fzqpn03M1IyzkVAIkyxAz28AAAD//wMAUEsBAi0AFAAGAAgAAAAhANvh9svuAAAAhQEAABMA&#10;AAAAAAAAAAAAAAAAAAAAAFtDb250ZW50X1R5cGVzXS54bWxQSwECLQAUAAYACAAAACEAWvQsW78A&#10;AAAVAQAACwAAAAAAAAAAAAAAAAAfAQAAX3JlbHMvLnJlbHNQSwECLQAUAAYACAAAACEA9mMT/cwA&#10;AADjAAAADwAAAAAAAAAAAAAAAAAHAgAAZHJzL2Rvd25yZXYueG1sUEsFBgAAAAADAAMAtwAAAAAD&#10;AAAAAA==&#10;" fillcolor="#dcd6cf" stroked="f" strokeweight="1pt">
                  <v:textbox>
                    <w:txbxContent>
                      <w:p w14:paraId="0E6046F8" w14:textId="77777777" w:rsidR="00D42579" w:rsidRPr="00AF7BFA" w:rsidRDefault="00D42579" w:rsidP="00D42579">
                        <w:pPr>
                          <w:jc w:val="center"/>
                          <w:rPr>
                            <w:b/>
                            <w:bCs/>
                            <w:sz w:val="18"/>
                            <w:szCs w:val="18"/>
                            <w:lang w:val="en-IN"/>
                          </w:rPr>
                        </w:pPr>
                        <w:r>
                          <w:rPr>
                            <w:b/>
                            <w:bCs/>
                            <w:sz w:val="18"/>
                            <w:szCs w:val="18"/>
                            <w:lang w:val="en-IN"/>
                          </w:rPr>
                          <w:t>1.17</w:t>
                        </w:r>
                      </w:p>
                    </w:txbxContent>
                  </v:textbox>
                </v:rect>
                <v:rect id="Rectangle 134" o:spid="_x0000_s1028" style="position:absolute;left:3332;top:12074;width:670;height: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igygAAAOIAAAAPAAAAZHJzL2Rvd25yZXYueG1sRI9Ba8JA&#10;FITvBf/D8gQvorsqJBJdRQuF6qFF68HjI/uahGbfxuyq8d93CwWPw8x8wyzXna3FjVpfOdYwGSsQ&#10;xLkzFRcaTl9vozkIH5AN1o5Jw4M8rFe9lyVmxt35QLdjKESEsM9QQxlCk0np85Is+rFriKP37VqL&#10;Icq2kKbFe4TbWk6VSqTFiuNCiQ29lpT/HK9Wgxq6enu1O1t8Dnf7x+F8yauPvdaDfrdZgAjUhWf4&#10;v/1uNMySZJ6qdJbC36V4B+TqFwAA//8DAFBLAQItABQABgAIAAAAIQDb4fbL7gAAAIUBAAATAAAA&#10;AAAAAAAAAAAAAAAAAABbQ29udGVudF9UeXBlc10ueG1sUEsBAi0AFAAGAAgAAAAhAFr0LFu/AAAA&#10;FQEAAAsAAAAAAAAAAAAAAAAAHwEAAF9yZWxzLy5yZWxzUEsBAi0AFAAGAAgAAAAhAJWriKDKAAAA&#10;4gAAAA8AAAAAAAAAAAAAAAAABwIAAGRycy9kb3ducmV2LnhtbFBLBQYAAAAAAwADALcAAAD+AgAA&#10;AAA=&#10;" fillcolor="#dcd6cf" stroked="f" strokeweight="1pt">
                  <v:textbox>
                    <w:txbxContent>
                      <w:p w14:paraId="1E8F58AF" w14:textId="77777777" w:rsidR="00D42579" w:rsidRPr="00AF7BFA" w:rsidRDefault="00D42579" w:rsidP="00D42579">
                        <w:pPr>
                          <w:jc w:val="center"/>
                          <w:rPr>
                            <w:b/>
                            <w:bCs/>
                            <w:sz w:val="18"/>
                            <w:szCs w:val="18"/>
                            <w:lang w:val="en-IN"/>
                          </w:rPr>
                        </w:pPr>
                        <w:r>
                          <w:rPr>
                            <w:b/>
                            <w:bCs/>
                            <w:sz w:val="18"/>
                            <w:szCs w:val="18"/>
                            <w:lang w:val="en-IN"/>
                          </w:rPr>
                          <w:t>-0.41</w:t>
                        </w:r>
                      </w:p>
                    </w:txbxContent>
                  </v:textbox>
                </v:rect>
                <v:rect id="Rectangle 135" o:spid="_x0000_s1029" style="position:absolute;left:4672;top:12074;width:670;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iTyQAAAOMAAAAPAAAAZHJzL2Rvd25yZXYueG1sRE9La8JA&#10;EL4L/odlhF5EN0mLaHSVtlCoHhQfB49DdpqEZmfT7JrEf98tFDzO957VpjeVaKlxpWUF8TQCQZxZ&#10;XXKu4HL+mMxBOI+ssbJMCu7kYLMeDlaYatvxkdqTz0UIYZeigsL7OpXSZQUZdFNbEwfuyzYGfTib&#10;XOoGuxBuKplE0UwaLDk0FFjTe0HZ9+lmFERjW73dzNbkh/F2dz9ef7Jyv1PqadS/LkF46v1D/O/+&#10;1GF+8hwn8/glXsDfTwEAuf4FAAD//wMAUEsBAi0AFAAGAAgAAAAhANvh9svuAAAAhQEAABMAAAAA&#10;AAAAAAAAAAAAAAAAAFtDb250ZW50X1R5cGVzXS54bWxQSwECLQAUAAYACAAAACEAWvQsW78AAAAV&#10;AQAACwAAAAAAAAAAAAAAAAAfAQAAX3JlbHMvLnJlbHNQSwECLQAUAAYACAAAACEAHeCYk8kAAADj&#10;AAAADwAAAAAAAAAAAAAAAAAHAgAAZHJzL2Rvd25yZXYueG1sUEsFBgAAAAADAAMAtwAAAP0CAAAA&#10;AA==&#10;" fillcolor="#dcd6cf" stroked="f" strokeweight="1pt">
                  <v:textbox>
                    <w:txbxContent>
                      <w:p w14:paraId="7C49FB13" w14:textId="77777777" w:rsidR="00D42579" w:rsidRPr="00450184" w:rsidRDefault="00D42579" w:rsidP="00D42579">
                        <w:pPr>
                          <w:jc w:val="center"/>
                          <w:rPr>
                            <w:b/>
                            <w:bCs/>
                            <w:sz w:val="18"/>
                            <w:szCs w:val="18"/>
                          </w:rPr>
                        </w:pPr>
                        <w:r w:rsidRPr="00450184">
                          <w:rPr>
                            <w:b/>
                            <w:bCs/>
                            <w:sz w:val="18"/>
                            <w:szCs w:val="18"/>
                          </w:rPr>
                          <w:t>0.</w:t>
                        </w:r>
                        <w:r>
                          <w:rPr>
                            <w:b/>
                            <w:bCs/>
                            <w:sz w:val="18"/>
                            <w:szCs w:val="18"/>
                          </w:rPr>
                          <w:t>88</w:t>
                        </w:r>
                      </w:p>
                    </w:txbxContent>
                  </v:textbox>
                </v:rect>
                <v:rect id="Rectangle 136" o:spid="_x0000_s1030" style="position:absolute;left:5860;top:12074;width:670;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A5yAAAAOMAAAAPAAAAZHJzL2Rvd25yZXYueG1sRE9LawIx&#10;EL4X/A9hhF5Ek3bB6mqUtlBQDxYfB4/DZtxd3Ey2m6jrvzeC0ON875nOW1uJCzW+dKzhbaBAEGfO&#10;lJxr2O9++iMQPiAbrByThht5mM86L1NMjbvyhi7bkIsYwj5FDUUIdSqlzwqy6AeuJo7c0TUWQzyb&#10;XJoGrzHcVvJdqaG0WHJsKLCm74Ky0/ZsNaieq77Odmnz395yddsc/rJyvdL6tdt+TkAEasO/+Ole&#10;mDg/UR9jNR4mCTx+igDI2R0AAP//AwBQSwECLQAUAAYACAAAACEA2+H2y+4AAACFAQAAEwAAAAAA&#10;AAAAAAAAAAAAAAAAW0NvbnRlbnRfVHlwZXNdLnhtbFBLAQItABQABgAIAAAAIQBa9CxbvwAAABUB&#10;AAALAAAAAAAAAAAAAAAAAB8BAABfcmVscy8ucmVsc1BLAQItABQABgAIAAAAIQAiP8A5yAAAAOMA&#10;AAAPAAAAAAAAAAAAAAAAAAcCAABkcnMvZG93bnJldi54bWxQSwUGAAAAAAMAAwC3AAAA/AIAAAAA&#10;" fillcolor="#dcd6cf" stroked="f" strokeweight="1pt">
                  <v:textbox>
                    <w:txbxContent>
                      <w:p w14:paraId="3D320F60" w14:textId="77777777" w:rsidR="00D42579" w:rsidRPr="00450184" w:rsidRDefault="00D42579" w:rsidP="00D42579">
                        <w:pPr>
                          <w:jc w:val="center"/>
                          <w:rPr>
                            <w:b/>
                            <w:bCs/>
                            <w:sz w:val="18"/>
                            <w:szCs w:val="18"/>
                          </w:rPr>
                        </w:pPr>
                        <w:r>
                          <w:rPr>
                            <w:b/>
                            <w:bCs/>
                            <w:sz w:val="18"/>
                            <w:szCs w:val="18"/>
                          </w:rPr>
                          <w:t>1</w:t>
                        </w:r>
                        <w:r w:rsidRPr="00450184">
                          <w:rPr>
                            <w:b/>
                            <w:bCs/>
                            <w:sz w:val="18"/>
                            <w:szCs w:val="18"/>
                          </w:rPr>
                          <w:t>.</w:t>
                        </w:r>
                        <w:r>
                          <w:rPr>
                            <w:b/>
                            <w:bCs/>
                            <w:sz w:val="18"/>
                            <w:szCs w:val="18"/>
                          </w:rPr>
                          <w:t>67</w:t>
                        </w:r>
                      </w:p>
                    </w:txbxContent>
                  </v:textbox>
                </v:rect>
                <v:rect id="Rectangle 137" o:spid="_x0000_s1031" style="position:absolute;left:7150;top:12074;width:670;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CyywAAAOIAAAAPAAAAZHJzL2Rvd25yZXYueG1sRI/LasJA&#10;FIb3hb7DcArdiJnxUrExo7QFQV1UvCy6PGSOSWjmTJoZNb69sxC6/PlvfNmis7W4UOsrxxoGiQJB&#10;nDtTcaHheFj2pyB8QDZYOyYNN/KwmD8/ZZgad+UdXfahEHGEfYoayhCaVEqfl2TRJ64hjt7JtRZD&#10;lG0hTYvXOG5rOVRqIi1WHB9KbOirpPx3f7YaVM/Vn2e7tsW2t97cdj9/efW90fr1pfuYgQjUhf/w&#10;o70yGkaD8ftwpN4iRESKOCDndwAAAP//AwBQSwECLQAUAAYACAAAACEA2+H2y+4AAACFAQAAEwAA&#10;AAAAAAAAAAAAAAAAAAAAW0NvbnRlbnRfVHlwZXNdLnhtbFBLAQItABQABgAIAAAAIQBa9CxbvwAA&#10;ABUBAAALAAAAAAAAAAAAAAAAAB8BAABfcmVscy8ucmVsc1BLAQItABQABgAIAAAAIQDjq1CyywAA&#10;AOIAAAAPAAAAAAAAAAAAAAAAAAcCAABkcnMvZG93bnJldi54bWxQSwUGAAAAAAMAAwC3AAAA/wIA&#10;AAAA&#10;" fillcolor="#dcd6cf" stroked="f" strokeweight="1pt">
                  <v:textbox>
                    <w:txbxContent>
                      <w:p w14:paraId="448498F0" w14:textId="77777777" w:rsidR="00D42579" w:rsidRPr="00450184" w:rsidRDefault="00D42579" w:rsidP="00D42579">
                        <w:pPr>
                          <w:jc w:val="center"/>
                          <w:rPr>
                            <w:b/>
                            <w:bCs/>
                            <w:sz w:val="18"/>
                            <w:szCs w:val="18"/>
                          </w:rPr>
                        </w:pPr>
                        <w:r>
                          <w:rPr>
                            <w:b/>
                            <w:bCs/>
                            <w:sz w:val="18"/>
                            <w:szCs w:val="18"/>
                          </w:rPr>
                          <w:t>0</w:t>
                        </w:r>
                        <w:r w:rsidRPr="00450184">
                          <w:rPr>
                            <w:b/>
                            <w:bCs/>
                            <w:sz w:val="18"/>
                            <w:szCs w:val="18"/>
                          </w:rPr>
                          <w:t>.</w:t>
                        </w:r>
                        <w:r>
                          <w:rPr>
                            <w:b/>
                            <w:bCs/>
                            <w:sz w:val="18"/>
                            <w:szCs w:val="18"/>
                          </w:rPr>
                          <w:t>75</w:t>
                        </w:r>
                      </w:p>
                    </w:txbxContent>
                  </v:textbox>
                </v:rect>
                <v:rect id="Rectangle 138" o:spid="_x0000_s1032" style="position:absolute;left:8406;top:12074;width:687;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zgygAAAOIAAAAPAAAAZHJzL2Rvd25yZXYueG1sRI/LasJA&#10;FIb3hb7DcArdiM6kUBujo9iCoC4sXhYuD5ljEsyciZlR49t3FkKXP/+NbzLrbC1u1PrKsYZkoEAQ&#10;585UXGg47Bf9FIQPyAZrx6ThQR5m09eXCWbG3XlLt10oRBxhn6GGMoQmk9LnJVn0A9cQR+/kWosh&#10;yraQpsV7HLe1/FBqKC1WHB9KbOinpPy8u1oNqufq76td2eK3t1o/tsdLXm3WWr+/dfMxiEBd+A8/&#10;20ujIR0ln6lKviJERIo4IKd/AAAA//8DAFBLAQItABQABgAIAAAAIQDb4fbL7gAAAIUBAAATAAAA&#10;AAAAAAAAAAAAAAAAAABbQ29udGVudF9UeXBlc10ueG1sUEsBAi0AFAAGAAgAAAAhAFr0LFu/AAAA&#10;FQEAAAsAAAAAAAAAAAAAAAAAHwEAAF9yZWxzLy5yZWxzUEsBAi0AFAAGAAgAAAAhAMCg/ODKAAAA&#10;4gAAAA8AAAAAAAAAAAAAAAAABwIAAGRycy9kb3ducmV2LnhtbFBLBQYAAAAAAwADALcAAAD+AgAA&#10;AAA=&#10;" fillcolor="#dcd6cf" stroked="f" strokeweight="1pt">
                  <v:textbox>
                    <w:txbxContent>
                      <w:p w14:paraId="2DEBF878" w14:textId="77777777" w:rsidR="00D42579" w:rsidRPr="001917CF" w:rsidRDefault="00D42579" w:rsidP="00D42579">
                        <w:pPr>
                          <w:jc w:val="center"/>
                          <w:rPr>
                            <w:b/>
                            <w:bCs/>
                            <w:sz w:val="18"/>
                            <w:szCs w:val="18"/>
                            <w:lang w:val="en-IN"/>
                          </w:rPr>
                        </w:pPr>
                        <w:r>
                          <w:rPr>
                            <w:b/>
                            <w:bCs/>
                            <w:sz w:val="18"/>
                            <w:szCs w:val="18"/>
                            <w:lang w:val="en-IN"/>
                          </w:rPr>
                          <w:t>1.33</w:t>
                        </w:r>
                      </w:p>
                    </w:txbxContent>
                  </v:textbox>
                </v:rect>
                <w10:wrap anchorx="margin"/>
              </v:group>
            </w:pict>
          </mc:Fallback>
        </mc:AlternateContent>
      </w:r>
    </w:p>
    <w:p w14:paraId="2609A1D6" w14:textId="77777777" w:rsidR="00D42579" w:rsidRPr="004521AB" w:rsidRDefault="00D42579" w:rsidP="00D42579">
      <w:pPr>
        <w:spacing w:after="200" w:line="276" w:lineRule="auto"/>
        <w:ind w:right="450"/>
        <w:rPr>
          <w:rFonts w:eastAsiaTheme="minorEastAsia" w:cs="Times New Roman"/>
          <w:i/>
          <w:color w:val="auto"/>
          <w:kern w:val="0"/>
          <w:sz w:val="16"/>
          <w:szCs w:val="22"/>
          <w:lang w:val="en-GB"/>
          <w14:ligatures w14:val="none"/>
        </w:rPr>
      </w:pPr>
      <w:r w:rsidRPr="001917CF">
        <w:rPr>
          <w:rFonts w:eastAsiaTheme="minorEastAsia" w:cs="Times New Roman"/>
          <w:i/>
          <w:noProof/>
          <w:color w:val="auto"/>
          <w:kern w:val="0"/>
          <w:sz w:val="16"/>
          <w:szCs w:val="22"/>
          <w14:ligatures w14:val="none"/>
        </w:rPr>
        <w:drawing>
          <wp:inline distT="0" distB="0" distL="0" distR="0" wp14:anchorId="4BDCA667" wp14:editId="6AE88E43">
            <wp:extent cx="6463665" cy="2136618"/>
            <wp:effectExtent l="0" t="0" r="0" b="0"/>
            <wp:docPr id="707926634" name="Chart 1">
              <a:extLst xmlns:a="http://schemas.openxmlformats.org/drawingml/2006/main">
                <a:ext uri="{FF2B5EF4-FFF2-40B4-BE49-F238E27FC236}">
                  <a16:creationId xmlns:a16="http://schemas.microsoft.com/office/drawing/2014/main" id="{7653D071-5E05-5D2C-81D8-8EAC3F570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924CC8" w14:textId="77777777" w:rsidR="00D42579" w:rsidRPr="004521AB" w:rsidRDefault="00D42579" w:rsidP="00D42579">
      <w:pPr>
        <w:spacing w:after="0" w:line="276" w:lineRule="auto"/>
        <w:ind w:right="446"/>
        <w:rPr>
          <w:rFonts w:eastAsiaTheme="minorEastAsia" w:cs="Times New Roman"/>
          <w:i/>
          <w:color w:val="auto"/>
          <w:kern w:val="0"/>
          <w:sz w:val="16"/>
          <w:szCs w:val="22"/>
          <w:lang w:val="en-GB"/>
          <w14:ligatures w14:val="none"/>
        </w:rPr>
      </w:pPr>
      <w:r w:rsidRPr="004521AB">
        <w:rPr>
          <w:rFonts w:eastAsiaTheme="minorEastAsia" w:cs="Times New Roman"/>
          <w:i/>
          <w:color w:val="auto"/>
          <w:kern w:val="0"/>
          <w:sz w:val="16"/>
          <w:szCs w:val="22"/>
          <w:lang w:val="en-GB"/>
          <w14:ligatures w14:val="none"/>
        </w:rPr>
        <w:t>Note: All figures are adjusted to calendar year and the grey boxes represent the ratio of growth rate of India’s steel demand and real GDP; the GDP growth rates are from IMF; CY- Calendar Year</w:t>
      </w:r>
    </w:p>
    <w:p w14:paraId="39987DC8" w14:textId="77777777" w:rsidR="00D42579" w:rsidRDefault="00D42579" w:rsidP="00D42579">
      <w:pPr>
        <w:spacing w:before="0" w:after="200" w:line="276" w:lineRule="auto"/>
        <w:ind w:right="446"/>
        <w:rPr>
          <w:rFonts w:eastAsiaTheme="minorEastAsia" w:cs="Times New Roman"/>
          <w:i/>
          <w:color w:val="auto"/>
          <w:kern w:val="0"/>
          <w:sz w:val="16"/>
          <w:szCs w:val="22"/>
          <w:lang w:val="en-GB"/>
          <w14:ligatures w14:val="none"/>
        </w:rPr>
      </w:pPr>
      <w:r w:rsidRPr="004521AB">
        <w:rPr>
          <w:rFonts w:eastAsiaTheme="minorEastAsia" w:cs="Times New Roman"/>
          <w:i/>
          <w:color w:val="auto"/>
          <w:kern w:val="0"/>
          <w:sz w:val="16"/>
          <w:szCs w:val="22"/>
          <w:lang w:val="en-GB"/>
          <w14:ligatures w14:val="none"/>
        </w:rPr>
        <w:t>Source: Crisil Intelligence, JPC report of various years, IMF</w:t>
      </w:r>
    </w:p>
    <w:p w14:paraId="2A1E356E" w14:textId="77777777" w:rsidR="00D42579" w:rsidRPr="009F7BC1" w:rsidRDefault="00D42579" w:rsidP="00662938">
      <w:pPr>
        <w:pStyle w:val="Heading30"/>
      </w:pPr>
      <w:r w:rsidRPr="009F7BC1">
        <w:t>Correlation of Power with GDP growth</w:t>
      </w:r>
    </w:p>
    <w:p w14:paraId="63F47348" w14:textId="77777777" w:rsidR="00D42579" w:rsidRPr="004521AB" w:rsidRDefault="00D42579" w:rsidP="00D42579">
      <w:pPr>
        <w:ind w:right="450"/>
        <w:rPr>
          <w:szCs w:val="20"/>
        </w:rPr>
      </w:pPr>
      <w:r w:rsidRPr="004521AB">
        <w:rPr>
          <w:szCs w:val="20"/>
        </w:rPr>
        <w:t>The demand growth of power and GDP growth is highly correlated, with both following a similar trend since 2018</w:t>
      </w:r>
      <w:r w:rsidRPr="004521AB">
        <w:rPr>
          <w:szCs w:val="20"/>
          <w:vertAlign w:val="superscript"/>
        </w:rPr>
        <w:footnoteReference w:id="31"/>
      </w:r>
      <w:r w:rsidRPr="004521AB">
        <w:rPr>
          <w:szCs w:val="20"/>
        </w:rPr>
        <w:t xml:space="preserve">. During the pandemic, the demand for power as well as GDP declined till 2021, after which demand for power grew at 9.0% in 2022. In the subsequent year, demand for power grew by 8.0%. The growing multiple of GDP and power in the past four years is a sign of growing power demand with GDP and growing GDP with power demand. The projections of power demand for the future are also high considering growth rates of power in the past two years (year 2022 and 2023). </w:t>
      </w:r>
    </w:p>
    <w:p w14:paraId="33F78572" w14:textId="1AA797E6" w:rsidR="00D42579" w:rsidRPr="004521AB" w:rsidRDefault="00D42579" w:rsidP="00D42579">
      <w:pPr>
        <w:spacing w:before="160" w:after="120" w:line="280" w:lineRule="exact"/>
        <w:ind w:right="432"/>
        <w:rPr>
          <w:rFonts w:eastAsia="Times New Roman" w:cs="Book Antiqua"/>
          <w:b/>
          <w:bCs/>
          <w:iCs/>
          <w:kern w:val="0"/>
          <w:szCs w:val="16"/>
          <w:lang w:val="en-GB" w:eastAsia="en-IN"/>
          <w14:ligatures w14:val="none"/>
        </w:rPr>
      </w:pPr>
      <w:bookmarkStart w:id="302" w:name="_Toc198731504"/>
      <w:r w:rsidRPr="004521AB">
        <w:rPr>
          <w:rFonts w:eastAsia="Times New Roman" w:cs="Book Antiqua"/>
          <w:b/>
          <w:bCs/>
          <w:iCs/>
          <w:kern w:val="0"/>
          <w:szCs w:val="16"/>
          <w:lang w:val="en-GB" w:eastAsia="en-IN"/>
          <w14:ligatures w14:val="none"/>
        </w:rPr>
        <w:t xml:space="preserve">Figure </w:t>
      </w:r>
      <w:r w:rsidRPr="004521AB">
        <w:rPr>
          <w:rFonts w:eastAsia="Times New Roman" w:cs="Book Antiqua"/>
          <w:b/>
          <w:bCs/>
          <w:iCs/>
          <w:kern w:val="0"/>
          <w:szCs w:val="16"/>
          <w:lang w:val="en-GB" w:eastAsia="en-IN"/>
          <w14:ligatures w14:val="none"/>
        </w:rPr>
        <w:fldChar w:fldCharType="begin"/>
      </w:r>
      <w:r w:rsidRPr="004521AB">
        <w:rPr>
          <w:rFonts w:eastAsia="Times New Roman" w:cs="Book Antiqua"/>
          <w:b/>
          <w:bCs/>
          <w:iCs/>
          <w:kern w:val="0"/>
          <w:szCs w:val="16"/>
          <w:lang w:val="en-GB" w:eastAsia="en-IN"/>
          <w14:ligatures w14:val="none"/>
        </w:rPr>
        <w:instrText xml:space="preserve"> STYLEREF 1 \s </w:instrText>
      </w:r>
      <w:r w:rsidRPr="004521AB">
        <w:rPr>
          <w:rFonts w:eastAsia="Times New Roman" w:cs="Book Antiqua"/>
          <w:b/>
          <w:bCs/>
          <w:iCs/>
          <w:kern w:val="0"/>
          <w:szCs w:val="16"/>
          <w:lang w:val="en-GB" w:eastAsia="en-IN"/>
          <w14:ligatures w14:val="none"/>
        </w:rPr>
        <w:fldChar w:fldCharType="separate"/>
      </w:r>
      <w:r w:rsidR="002142B9">
        <w:rPr>
          <w:rFonts w:eastAsia="Times New Roman" w:cs="Book Antiqua"/>
          <w:b/>
          <w:bCs/>
          <w:iCs/>
          <w:noProof/>
          <w:kern w:val="0"/>
          <w:szCs w:val="16"/>
          <w:lang w:val="en-GB" w:eastAsia="en-IN"/>
          <w14:ligatures w14:val="none"/>
        </w:rPr>
        <w:t>2</w:t>
      </w:r>
      <w:r w:rsidRPr="004521AB">
        <w:rPr>
          <w:rFonts w:eastAsia="Times New Roman" w:cs="Book Antiqua"/>
          <w:b/>
          <w:bCs/>
          <w:iCs/>
          <w:kern w:val="0"/>
          <w:szCs w:val="16"/>
          <w:lang w:val="en-GB" w:eastAsia="en-IN"/>
          <w14:ligatures w14:val="none"/>
        </w:rPr>
        <w:fldChar w:fldCharType="end"/>
      </w:r>
      <w:r w:rsidRPr="004521AB">
        <w:rPr>
          <w:rFonts w:eastAsia="Times New Roman" w:cs="Book Antiqua"/>
          <w:b/>
          <w:bCs/>
          <w:iCs/>
          <w:kern w:val="0"/>
          <w:szCs w:val="16"/>
          <w:lang w:val="en-GB" w:eastAsia="en-IN"/>
          <w14:ligatures w14:val="none"/>
        </w:rPr>
        <w:t>.</w:t>
      </w:r>
      <w:r w:rsidRPr="004521AB">
        <w:rPr>
          <w:rFonts w:eastAsia="Times New Roman" w:cs="Book Antiqua"/>
          <w:b/>
          <w:bCs/>
          <w:iCs/>
          <w:kern w:val="0"/>
          <w:szCs w:val="16"/>
          <w:lang w:val="en-GB" w:eastAsia="en-IN"/>
          <w14:ligatures w14:val="none"/>
        </w:rPr>
        <w:fldChar w:fldCharType="begin"/>
      </w:r>
      <w:r w:rsidRPr="004521AB">
        <w:rPr>
          <w:rFonts w:eastAsia="Times New Roman" w:cs="Book Antiqua"/>
          <w:b/>
          <w:bCs/>
          <w:iCs/>
          <w:kern w:val="0"/>
          <w:szCs w:val="16"/>
          <w:lang w:val="en-GB" w:eastAsia="en-IN"/>
          <w14:ligatures w14:val="none"/>
        </w:rPr>
        <w:instrText xml:space="preserve"> SEQ Figure \* ARABIC \s 1 </w:instrText>
      </w:r>
      <w:r w:rsidRPr="004521AB">
        <w:rPr>
          <w:rFonts w:eastAsia="Times New Roman" w:cs="Book Antiqua"/>
          <w:b/>
          <w:bCs/>
          <w:iCs/>
          <w:kern w:val="0"/>
          <w:szCs w:val="16"/>
          <w:lang w:val="en-GB" w:eastAsia="en-IN"/>
          <w14:ligatures w14:val="none"/>
        </w:rPr>
        <w:fldChar w:fldCharType="separate"/>
      </w:r>
      <w:r w:rsidR="002142B9">
        <w:rPr>
          <w:rFonts w:eastAsia="Times New Roman" w:cs="Book Antiqua"/>
          <w:b/>
          <w:bCs/>
          <w:iCs/>
          <w:noProof/>
          <w:kern w:val="0"/>
          <w:szCs w:val="16"/>
          <w:lang w:val="en-GB" w:eastAsia="en-IN"/>
          <w14:ligatures w14:val="none"/>
        </w:rPr>
        <w:t>6</w:t>
      </w:r>
      <w:r w:rsidRPr="004521AB">
        <w:rPr>
          <w:rFonts w:eastAsia="Times New Roman" w:cs="Book Antiqua"/>
          <w:b/>
          <w:bCs/>
          <w:iCs/>
          <w:kern w:val="0"/>
          <w:szCs w:val="16"/>
          <w:lang w:val="en-GB" w:eastAsia="en-IN"/>
          <w14:ligatures w14:val="none"/>
        </w:rPr>
        <w:fldChar w:fldCharType="end"/>
      </w:r>
      <w:r w:rsidRPr="004521AB">
        <w:rPr>
          <w:rFonts w:eastAsia="Times New Roman" w:cs="Book Antiqua"/>
          <w:b/>
          <w:bCs/>
          <w:iCs/>
          <w:kern w:val="0"/>
          <w:szCs w:val="16"/>
          <w:lang w:val="en-GB" w:eastAsia="en-IN"/>
          <w14:ligatures w14:val="none"/>
        </w:rPr>
        <w:t>: Growth in power demand vs GDP in India</w:t>
      </w:r>
      <w:bookmarkEnd w:id="302"/>
    </w:p>
    <w:p w14:paraId="39C73CA8" w14:textId="77777777" w:rsidR="00D42579" w:rsidRPr="004521AB" w:rsidRDefault="00D42579" w:rsidP="00D42579">
      <w:pPr>
        <w:spacing w:before="160" w:after="120" w:line="280" w:lineRule="exact"/>
        <w:ind w:right="432"/>
        <w:rPr>
          <w:rFonts w:eastAsia="Times New Roman" w:cs="Book Antiqua"/>
          <w:b/>
          <w:bCs/>
          <w:iCs/>
          <w:kern w:val="0"/>
          <w:szCs w:val="18"/>
          <w:lang w:val="en-GB" w:eastAsia="en-IN"/>
          <w14:ligatures w14:val="none"/>
        </w:rPr>
      </w:pPr>
      <w:r w:rsidRPr="004521AB">
        <w:rPr>
          <w:noProof/>
        </w:rPr>
        <mc:AlternateContent>
          <mc:Choice Requires="wpg">
            <w:drawing>
              <wp:anchor distT="0" distB="0" distL="114300" distR="114300" simplePos="0" relativeHeight="251658254" behindDoc="0" locked="0" layoutInCell="1" allowOverlap="1" wp14:anchorId="76A6A02A" wp14:editId="715B66F6">
                <wp:simplePos x="0" y="0"/>
                <wp:positionH relativeFrom="margin">
                  <wp:posOffset>700747</wp:posOffset>
                </wp:positionH>
                <wp:positionV relativeFrom="paragraph">
                  <wp:posOffset>36146</wp:posOffset>
                </wp:positionV>
                <wp:extent cx="5627077" cy="316648"/>
                <wp:effectExtent l="0" t="0" r="0" b="7620"/>
                <wp:wrapNone/>
                <wp:docPr id="21377610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077" cy="316648"/>
                          <a:chOff x="2127" y="12074"/>
                          <a:chExt cx="6966" cy="604"/>
                        </a:xfrm>
                      </wpg:grpSpPr>
                      <wps:wsp>
                        <wps:cNvPr id="438541750" name="Rectangle 133"/>
                        <wps:cNvSpPr>
                          <a:spLocks noChangeArrowheads="1"/>
                        </wps:cNvSpPr>
                        <wps:spPr bwMode="auto">
                          <a:xfrm>
                            <a:off x="2127" y="12074"/>
                            <a:ext cx="670" cy="604"/>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A7DFCC" w14:textId="77777777" w:rsidR="00D42579" w:rsidRPr="00450184" w:rsidRDefault="00D42579" w:rsidP="00D42579">
                              <w:pPr>
                                <w:jc w:val="center"/>
                                <w:rPr>
                                  <w:b/>
                                  <w:bCs/>
                                  <w:sz w:val="18"/>
                                  <w:szCs w:val="18"/>
                                </w:rPr>
                              </w:pPr>
                              <w:r w:rsidRPr="00450184">
                                <w:rPr>
                                  <w:b/>
                                  <w:bCs/>
                                  <w:sz w:val="18"/>
                                  <w:szCs w:val="18"/>
                                </w:rPr>
                                <w:t>0.92</w:t>
                              </w:r>
                            </w:p>
                          </w:txbxContent>
                        </wps:txbx>
                        <wps:bodyPr rot="0" vert="horz" wrap="square" lIns="91440" tIns="45720" rIns="91440" bIns="45720" anchor="ctr" anchorCtr="0" upright="1">
                          <a:noAutofit/>
                        </wps:bodyPr>
                      </wps:wsp>
                      <wps:wsp>
                        <wps:cNvPr id="1372420225" name="Rectangle 134"/>
                        <wps:cNvSpPr>
                          <a:spLocks noChangeArrowheads="1"/>
                        </wps:cNvSpPr>
                        <wps:spPr bwMode="auto">
                          <a:xfrm>
                            <a:off x="3332" y="12074"/>
                            <a:ext cx="670" cy="603"/>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416488" w14:textId="77777777" w:rsidR="00D42579" w:rsidRPr="00450184" w:rsidRDefault="00D42579" w:rsidP="00D42579">
                              <w:pPr>
                                <w:jc w:val="center"/>
                                <w:rPr>
                                  <w:b/>
                                  <w:bCs/>
                                  <w:sz w:val="18"/>
                                  <w:szCs w:val="18"/>
                                </w:rPr>
                              </w:pPr>
                              <w:r>
                                <w:rPr>
                                  <w:b/>
                                  <w:bCs/>
                                  <w:sz w:val="18"/>
                                  <w:szCs w:val="18"/>
                                </w:rPr>
                                <w:t>0.51</w:t>
                              </w:r>
                            </w:p>
                          </w:txbxContent>
                        </wps:txbx>
                        <wps:bodyPr rot="0" vert="horz" wrap="square" lIns="91440" tIns="45720" rIns="91440" bIns="45720" anchor="ctr" anchorCtr="0" upright="1">
                          <a:noAutofit/>
                        </wps:bodyPr>
                      </wps:wsp>
                      <wps:wsp>
                        <wps:cNvPr id="1267536017" name="Rectangle 135"/>
                        <wps:cNvSpPr>
                          <a:spLocks noChangeArrowheads="1"/>
                        </wps:cNvSpPr>
                        <wps:spPr bwMode="auto">
                          <a:xfrm>
                            <a:off x="4672" y="12074"/>
                            <a:ext cx="670" cy="577"/>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BAA3EE" w14:textId="77777777" w:rsidR="00D42579" w:rsidRPr="00450184" w:rsidRDefault="00D42579" w:rsidP="00D42579">
                              <w:pPr>
                                <w:jc w:val="center"/>
                                <w:rPr>
                                  <w:b/>
                                  <w:bCs/>
                                  <w:sz w:val="18"/>
                                  <w:szCs w:val="18"/>
                                </w:rPr>
                              </w:pPr>
                              <w:r w:rsidRPr="00450184">
                                <w:rPr>
                                  <w:b/>
                                  <w:bCs/>
                                  <w:sz w:val="18"/>
                                  <w:szCs w:val="18"/>
                                </w:rPr>
                                <w:t>0.</w:t>
                              </w:r>
                              <w:r>
                                <w:rPr>
                                  <w:b/>
                                  <w:bCs/>
                                  <w:sz w:val="18"/>
                                  <w:szCs w:val="18"/>
                                </w:rPr>
                                <w:t>17</w:t>
                              </w:r>
                            </w:p>
                          </w:txbxContent>
                        </wps:txbx>
                        <wps:bodyPr rot="0" vert="horz" wrap="square" lIns="91440" tIns="45720" rIns="91440" bIns="45720" anchor="ctr" anchorCtr="0" upright="1">
                          <a:noAutofit/>
                        </wps:bodyPr>
                      </wps:wsp>
                      <wps:wsp>
                        <wps:cNvPr id="1989277118" name="Rectangle 136"/>
                        <wps:cNvSpPr>
                          <a:spLocks noChangeArrowheads="1"/>
                        </wps:cNvSpPr>
                        <wps:spPr bwMode="auto">
                          <a:xfrm>
                            <a:off x="5860" y="12074"/>
                            <a:ext cx="670" cy="603"/>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92F91DE" w14:textId="77777777" w:rsidR="00D42579" w:rsidRPr="00450184" w:rsidRDefault="00D42579" w:rsidP="00D42579">
                              <w:pPr>
                                <w:jc w:val="center"/>
                                <w:rPr>
                                  <w:b/>
                                  <w:bCs/>
                                  <w:sz w:val="18"/>
                                  <w:szCs w:val="18"/>
                                </w:rPr>
                              </w:pPr>
                              <w:r w:rsidRPr="00450184">
                                <w:rPr>
                                  <w:b/>
                                  <w:bCs/>
                                  <w:sz w:val="18"/>
                                  <w:szCs w:val="18"/>
                                </w:rPr>
                                <w:t>0.</w:t>
                              </w:r>
                              <w:r>
                                <w:rPr>
                                  <w:b/>
                                  <w:bCs/>
                                  <w:sz w:val="18"/>
                                  <w:szCs w:val="18"/>
                                </w:rPr>
                                <w:t>62</w:t>
                              </w:r>
                            </w:p>
                          </w:txbxContent>
                        </wps:txbx>
                        <wps:bodyPr rot="0" vert="horz" wrap="square" lIns="91440" tIns="45720" rIns="91440" bIns="45720" anchor="ctr" anchorCtr="0" upright="1">
                          <a:noAutofit/>
                        </wps:bodyPr>
                      </wps:wsp>
                      <wps:wsp>
                        <wps:cNvPr id="1612960451" name="Rectangle 137"/>
                        <wps:cNvSpPr>
                          <a:spLocks noChangeArrowheads="1"/>
                        </wps:cNvSpPr>
                        <wps:spPr bwMode="auto">
                          <a:xfrm>
                            <a:off x="7150" y="12074"/>
                            <a:ext cx="670" cy="603"/>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FBB22A" w14:textId="77777777" w:rsidR="00D42579" w:rsidRPr="00450184" w:rsidRDefault="00D42579" w:rsidP="00D42579">
                              <w:pPr>
                                <w:jc w:val="center"/>
                                <w:rPr>
                                  <w:b/>
                                  <w:bCs/>
                                  <w:sz w:val="18"/>
                                  <w:szCs w:val="18"/>
                                </w:rPr>
                              </w:pPr>
                              <w:r w:rsidRPr="00450184">
                                <w:rPr>
                                  <w:b/>
                                  <w:bCs/>
                                  <w:sz w:val="18"/>
                                  <w:szCs w:val="18"/>
                                </w:rPr>
                                <w:t>1.</w:t>
                              </w:r>
                              <w:r>
                                <w:rPr>
                                  <w:b/>
                                  <w:bCs/>
                                  <w:sz w:val="18"/>
                                  <w:szCs w:val="18"/>
                                </w:rPr>
                                <w:t>18</w:t>
                              </w:r>
                            </w:p>
                          </w:txbxContent>
                        </wps:txbx>
                        <wps:bodyPr rot="0" vert="horz" wrap="square" lIns="91440" tIns="45720" rIns="91440" bIns="45720" anchor="ctr" anchorCtr="0" upright="1">
                          <a:noAutofit/>
                        </wps:bodyPr>
                      </wps:wsp>
                      <wps:wsp>
                        <wps:cNvPr id="612988528" name="Rectangle 138"/>
                        <wps:cNvSpPr>
                          <a:spLocks noChangeArrowheads="1"/>
                        </wps:cNvSpPr>
                        <wps:spPr bwMode="auto">
                          <a:xfrm>
                            <a:off x="8406" y="12074"/>
                            <a:ext cx="687" cy="550"/>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EEB7CB" w14:textId="77777777" w:rsidR="00D42579" w:rsidRPr="00E51723" w:rsidRDefault="00D42579" w:rsidP="00D42579">
                              <w:pPr>
                                <w:jc w:val="center"/>
                                <w:rPr>
                                  <w:b/>
                                  <w:bCs/>
                                  <w:sz w:val="18"/>
                                  <w:szCs w:val="18"/>
                                  <w:lang w:val="en-IN"/>
                                </w:rPr>
                              </w:pPr>
                              <w:r>
                                <w:rPr>
                                  <w:b/>
                                  <w:bCs/>
                                  <w:sz w:val="18"/>
                                  <w:szCs w:val="18"/>
                                  <w:lang w:val="en-IN"/>
                                </w:rPr>
                                <w:t>0.87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6A02A" id="_x0000_s1033" style="position:absolute;left:0;text-align:left;margin-left:55.2pt;margin-top:2.85pt;width:443.1pt;height:24.95pt;z-index:251658254;mso-position-horizontal-relative:margin" coordorigin="2127,12074" coordsize="696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uYwMAAJwSAAAOAAAAZHJzL2Uyb0RvYy54bWzsWNtunDAQfa/Uf7D83oC5GHYVEkVJE1VK&#10;26hpP8AL5qICpjYbNv36jm3Y3SRbRUrVlXLhAWGPPR6fOTNjc3i8amp0w6WqRJtgcuBixNtUZFVb&#10;JPjH9/MPMUaqZ23GatHyBN9yhY+P3r87HLo590Qp6oxLBEpaNR+6BJd9380dR6Ulb5g6EB1vQZgL&#10;2bAemrJwMskG0N7Ujue61BmEzDopUq4U9J5ZIT4y+vOcp/3XPFe8R3WCwbbevKV5L/TbOTpk80Ky&#10;rqzS0Qz2BCsaVrWw6FrVGesZWsrqgaqmSqVQIu8PUtE4Is+rlJs9wG6Ie283F1IsO7OXYj4U3Rom&#10;gPYeTk9Wm365uZDddXclrfXweSnSnwpwcYaumG/Ldbuwg9Fi+Cwy8Cdb9sJsfJXLRquALaGVwfd2&#10;jS9f9SiFzpB6kRtFGKUg8wmlQWwdkJbgJT3NIx6IQUo8Nwom4cdxPp1RaidT1wgdNrfrGltH27Tv&#10;gUxqg5f6N7yuS9Zx4wal8biSqMoSHPhxGJAoBFa1rAEovgHZWFvUHBHf16ZrM2D8BK6yyKJWnJYw&#10;jp9IKYaSswzMI3o8bGJrgm4o8MujUO/CbEKcRmCeRvs+YGzeSdVfcNEg/ZFgCdYbR7KbS9VrazZD&#10;tF+VqKvsvKpr05DF4rSW6IZBWJ1EszimZm69bIAWtjtw4bEehG7tXzOaTt2gX1k1Zq07+utWr9IK&#10;vZ41RfcYfDQkFtp+tVgZT9AJ7IXIbgEwKWyYQ1qCj1LI3xgNEOIJVr+WTHKM6k8tgD4jQaBzgmkE&#10;YeRBQ25LFtsS1qagKsFpLzGyjdPeZpJlJ6uihLWIQaEVJxAVeWVQ1G60do0bAGLuiaHEj7zAcz0v&#10;3EVRE0B3GAcO+U8U9X3fux/WOyhqomYd0xv+PX+KRm8U3ZlEiUej0Kcugaz/MIuGE2p7yKIBjR6n&#10;aAjFy+ajqdy9nCxqSvEmW71l0bHOk1k886KIEDjJPqTouvbsgaJhTKFC3T0cvaosOpvywVuhtyfF&#10;iaKUeDM44YVkF0XXtWcPFI2IPg+/YooSc+R9S6NwEB7PliNHNUXjOPR2ZtF17dkDRePAhUvkXyga&#10;j5fTEGj8Ugs9MZfN50VRc7+HXyDmqjj+rtH/WLbb5n61+al09AcAAP//AwBQSwMEFAAGAAgAAAAh&#10;AAk/yXveAAAACAEAAA8AAABkcnMvZG93bnJldi54bWxMj0FLw0AQhe+C/2EZwZvdRE1sYzalFPVU&#10;CrZC8TbNTpPQ7G7IbpP03zue9PjxHm++yZeTacVAvW+cVRDPIhBkS6cbWyn42r8/zEH4gFZj6ywp&#10;uJKHZXF7k2Om3Wg/adiFSvCI9RkqqEPoMil9WZNBP3MdWc5OrjcYGPtK6h5HHjetfIyiVBpsLF+o&#10;saN1TeV5dzEKPkYcV0/x27A5n9bX732yPWxiUur+blq9ggg0hb8y/OqzOhTsdHQXq71omePomasK&#10;khcQnC8WaQriyJykIItc/n+g+AEAAP//AwBQSwECLQAUAAYACAAAACEAtoM4kv4AAADhAQAAEwAA&#10;AAAAAAAAAAAAAAAAAAAAW0NvbnRlbnRfVHlwZXNdLnhtbFBLAQItABQABgAIAAAAIQA4/SH/1gAA&#10;AJQBAAALAAAAAAAAAAAAAAAAAC8BAABfcmVscy8ucmVsc1BLAQItABQABgAIAAAAIQDvTI/uYwMA&#10;AJwSAAAOAAAAAAAAAAAAAAAAAC4CAABkcnMvZTJvRG9jLnhtbFBLAQItABQABgAIAAAAIQAJP8l7&#10;3gAAAAgBAAAPAAAAAAAAAAAAAAAAAL0FAABkcnMvZG93bnJldi54bWxQSwUGAAAAAAQABADzAAAA&#10;yAYAAAAA&#10;">
                <v:rect id="Rectangle 133" o:spid="_x0000_s1034" style="position:absolute;left:2127;top:12074;width:670;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swyQAAAOIAAAAPAAAAZHJzL2Rvd25yZXYueG1sRI/LisIw&#10;FIb3wrxDOANuZEy9zUg1iiMI6kKp48LloTm2xeak00Stb28Wgsuf/8Y3nTemFDeqXWFZQa8bgSBO&#10;rS44U3D8W32NQTiPrLG0TAoe5GA++2hNMdb2zgndDj4TYYRdjApy76tYSpfmZNB1bUUcvLOtDfog&#10;60zqGu9h3JSyH0Xf0mDB4SHHipY5pZfD1SiIOrb8vZqNyfadzfaRnP7TYrdVqv3ZLCYgPDX+HX61&#10;11rBcDAeDXs/owARkAIOyNkTAAD//wMAUEsBAi0AFAAGAAgAAAAhANvh9svuAAAAhQEAABMAAAAA&#10;AAAAAAAAAAAAAAAAAFtDb250ZW50X1R5cGVzXS54bWxQSwECLQAUAAYACAAAACEAWvQsW78AAAAV&#10;AQAACwAAAAAAAAAAAAAAAAAfAQAAX3JlbHMvLnJlbHNQSwECLQAUAAYACAAAACEAb2ibMMkAAADi&#10;AAAADwAAAAAAAAAAAAAAAAAHAgAAZHJzL2Rvd25yZXYueG1sUEsFBgAAAAADAAMAtwAAAP0CAAAA&#10;AA==&#10;" fillcolor="#dcd6cf" stroked="f" strokeweight="1pt">
                  <v:textbox>
                    <w:txbxContent>
                      <w:p w14:paraId="50A7DFCC" w14:textId="77777777" w:rsidR="00D42579" w:rsidRPr="00450184" w:rsidRDefault="00D42579" w:rsidP="00D42579">
                        <w:pPr>
                          <w:jc w:val="center"/>
                          <w:rPr>
                            <w:b/>
                            <w:bCs/>
                            <w:sz w:val="18"/>
                            <w:szCs w:val="18"/>
                          </w:rPr>
                        </w:pPr>
                        <w:r w:rsidRPr="00450184">
                          <w:rPr>
                            <w:b/>
                            <w:bCs/>
                            <w:sz w:val="18"/>
                            <w:szCs w:val="18"/>
                          </w:rPr>
                          <w:t>0.92</w:t>
                        </w:r>
                      </w:p>
                    </w:txbxContent>
                  </v:textbox>
                </v:rect>
                <v:rect id="Rectangle 134" o:spid="_x0000_s1035" style="position:absolute;left:3332;top:12074;width:67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9fyQAAAOMAAAAPAAAAZHJzL2Rvd25yZXYueG1sRE/NagIx&#10;EL4XfIcwghepSdPalq1RWqGgHhRtDz0Om3F3cTPZbqKub2+EQo/z/c9k1rlanKgNlWcDDyMFgjj3&#10;tuLCwPfX5/0riBCRLdaeycCFAsymvbsJZtafeUunXSxECuGQoYEyxiaTMuQlOQwj3xAnbu9bhzGd&#10;bSFti+cU7mqplXqWDitODSU2NC8pP+yOzoAa+vrj6Jau2AyXq8v25zev1itjBv3u/Q1EpC7+i//c&#10;C5vmP77oJ620HsPtpwSAnF4BAAD//wMAUEsBAi0AFAAGAAgAAAAhANvh9svuAAAAhQEAABMAAAAA&#10;AAAAAAAAAAAAAAAAAFtDb250ZW50X1R5cGVzXS54bWxQSwECLQAUAAYACAAAACEAWvQsW78AAAAV&#10;AQAACwAAAAAAAAAAAAAAAAAfAQAAX3JlbHMvLnJlbHNQSwECLQAUAAYACAAAACEA7rdvX8kAAADj&#10;AAAADwAAAAAAAAAAAAAAAAAHAgAAZHJzL2Rvd25yZXYueG1sUEsFBgAAAAADAAMAtwAAAP0CAAAA&#10;AA==&#10;" fillcolor="#dcd6cf" stroked="f" strokeweight="1pt">
                  <v:textbox>
                    <w:txbxContent>
                      <w:p w14:paraId="53416488" w14:textId="77777777" w:rsidR="00D42579" w:rsidRPr="00450184" w:rsidRDefault="00D42579" w:rsidP="00D42579">
                        <w:pPr>
                          <w:jc w:val="center"/>
                          <w:rPr>
                            <w:b/>
                            <w:bCs/>
                            <w:sz w:val="18"/>
                            <w:szCs w:val="18"/>
                          </w:rPr>
                        </w:pPr>
                        <w:r>
                          <w:rPr>
                            <w:b/>
                            <w:bCs/>
                            <w:sz w:val="18"/>
                            <w:szCs w:val="18"/>
                          </w:rPr>
                          <w:t>0.51</w:t>
                        </w:r>
                      </w:p>
                    </w:txbxContent>
                  </v:textbox>
                </v:rect>
                <v:rect id="Rectangle 135" o:spid="_x0000_s1036" style="position:absolute;left:4672;top:12074;width:670;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uyyQAAAOMAAAAPAAAAZHJzL2Rvd25yZXYueG1sRE9LawIx&#10;EL4X/A9hBC+iiZausjWKFQrVQ8XHweOwme4ubibbTdT135uC0ON875ktWluJKzW+dKxhNFQgiDNn&#10;Ss41HA+fgykIH5ANVo5Jw508LOadlxmmxt14R9d9yEUMYZ+ihiKEOpXSZwVZ9ENXE0fuxzUWQzyb&#10;XJoGbzHcVnKsVCItlhwbCqxpVVB23l+sBtV31cfFrm2+7a83993pNyu/N1r3uu3yHUSgNvyLn+4v&#10;E+ePk8nba6JGE/j7KQIg5w8AAAD//wMAUEsBAi0AFAAGAAgAAAAhANvh9svuAAAAhQEAABMAAAAA&#10;AAAAAAAAAAAAAAAAAFtDb250ZW50X1R5cGVzXS54bWxQSwECLQAUAAYACAAAACEAWvQsW78AAAAV&#10;AQAACwAAAAAAAAAAAAAAAAAfAQAAX3JlbHMvLnJlbHNQSwECLQAUAAYACAAAACEAy9W7sskAAADj&#10;AAAADwAAAAAAAAAAAAAAAAAHAgAAZHJzL2Rvd25yZXYueG1sUEsFBgAAAAADAAMAtwAAAP0CAAAA&#10;AA==&#10;" fillcolor="#dcd6cf" stroked="f" strokeweight="1pt">
                  <v:textbox>
                    <w:txbxContent>
                      <w:p w14:paraId="0EBAA3EE" w14:textId="77777777" w:rsidR="00D42579" w:rsidRPr="00450184" w:rsidRDefault="00D42579" w:rsidP="00D42579">
                        <w:pPr>
                          <w:jc w:val="center"/>
                          <w:rPr>
                            <w:b/>
                            <w:bCs/>
                            <w:sz w:val="18"/>
                            <w:szCs w:val="18"/>
                          </w:rPr>
                        </w:pPr>
                        <w:r w:rsidRPr="00450184">
                          <w:rPr>
                            <w:b/>
                            <w:bCs/>
                            <w:sz w:val="18"/>
                            <w:szCs w:val="18"/>
                          </w:rPr>
                          <w:t>0.</w:t>
                        </w:r>
                        <w:r>
                          <w:rPr>
                            <w:b/>
                            <w:bCs/>
                            <w:sz w:val="18"/>
                            <w:szCs w:val="18"/>
                          </w:rPr>
                          <w:t>17</w:t>
                        </w:r>
                      </w:p>
                    </w:txbxContent>
                  </v:textbox>
                </v:rect>
                <v:rect id="Rectangle 136" o:spid="_x0000_s1037" style="position:absolute;left:5860;top:12074;width:67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1qvzAAAAOMAAAAPAAAAZHJzL2Rvd25yZXYueG1sRI/NbsJA&#10;DITvlfoOK1figsomHPgJLKhFQgIOraA9cLSybhI16w3ZBcLb4wMSR3vGM5/ny87V6kJtqDwbSAcJ&#10;KOLc24oLA78/6/cJqBCRLdaeycCNAiwXry9zzKy/8p4uh1goCeGQoYEyxibTOuQlOQwD3xCL9udb&#10;h1HGttC2xauEu1oPk2SkHVYsDSU2tCop/z+cnYGk7+vPs9u64ru/3d32x1Nefe2M6b11HzNQkbr4&#10;ND+uN1bwp5PpcDxOU4GWn2QBenEHAAD//wMAUEsBAi0AFAAGAAgAAAAhANvh9svuAAAAhQEAABMA&#10;AAAAAAAAAAAAAAAAAAAAAFtDb250ZW50X1R5cGVzXS54bWxQSwECLQAUAAYACAAAACEAWvQsW78A&#10;AAAVAQAACwAAAAAAAAAAAAAAAAAfAQAAX3JlbHMvLnJlbHNQSwECLQAUAAYACAAAACEAj99ar8wA&#10;AADjAAAADwAAAAAAAAAAAAAAAAAHAgAAZHJzL2Rvd25yZXYueG1sUEsFBgAAAAADAAMAtwAAAAAD&#10;AAAAAA==&#10;" fillcolor="#dcd6cf" stroked="f" strokeweight="1pt">
                  <v:textbox>
                    <w:txbxContent>
                      <w:p w14:paraId="292F91DE" w14:textId="77777777" w:rsidR="00D42579" w:rsidRPr="00450184" w:rsidRDefault="00D42579" w:rsidP="00D42579">
                        <w:pPr>
                          <w:jc w:val="center"/>
                          <w:rPr>
                            <w:b/>
                            <w:bCs/>
                            <w:sz w:val="18"/>
                            <w:szCs w:val="18"/>
                          </w:rPr>
                        </w:pPr>
                        <w:r w:rsidRPr="00450184">
                          <w:rPr>
                            <w:b/>
                            <w:bCs/>
                            <w:sz w:val="18"/>
                            <w:szCs w:val="18"/>
                          </w:rPr>
                          <w:t>0.</w:t>
                        </w:r>
                        <w:r>
                          <w:rPr>
                            <w:b/>
                            <w:bCs/>
                            <w:sz w:val="18"/>
                            <w:szCs w:val="18"/>
                          </w:rPr>
                          <w:t>62</w:t>
                        </w:r>
                      </w:p>
                    </w:txbxContent>
                  </v:textbox>
                </v:rect>
                <v:rect id="Rectangle 137" o:spid="_x0000_s1038" style="position:absolute;left:7150;top:12074;width:67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GpyQAAAOMAAAAPAAAAZHJzL2Rvd25yZXYueG1sRE/NasJA&#10;EL4LvsMyhV6k7kZqqNFVbKFQPSjaHjwO2TEJzc6m2VXj27sFweN8/zNbdLYWZ2p95VhDMlQgiHNn&#10;Ki40/Hx/vryB8AHZYO2YNFzJw2Le780wM+7COzrvQyFiCPsMNZQhNJmUPi/Joh+6hjhyR9daDPFs&#10;C2lavMRwW8uRUqm0WHFsKLGhj5Ly3/3JalADV7+f7MoW28Fqfd0d/vJqs9b6+albTkEE6sJDfHd/&#10;mTg/TUaTVL2OE/j/KQIg5zcAAAD//wMAUEsBAi0AFAAGAAgAAAAhANvh9svuAAAAhQEAABMAAAAA&#10;AAAAAAAAAAAAAAAAAFtDb250ZW50X1R5cGVzXS54bWxQSwECLQAUAAYACAAAACEAWvQsW78AAAAV&#10;AQAACwAAAAAAAAAAAAAAAAAfAQAAX3JlbHMvLnJlbHNQSwECLQAUAAYACAAAACEA5vUBqckAAADj&#10;AAAADwAAAAAAAAAAAAAAAAAHAgAAZHJzL2Rvd25yZXYueG1sUEsFBgAAAAADAAMAtwAAAP0CAAAA&#10;AA==&#10;" fillcolor="#dcd6cf" stroked="f" strokeweight="1pt">
                  <v:textbox>
                    <w:txbxContent>
                      <w:p w14:paraId="20FBB22A" w14:textId="77777777" w:rsidR="00D42579" w:rsidRPr="00450184" w:rsidRDefault="00D42579" w:rsidP="00D42579">
                        <w:pPr>
                          <w:jc w:val="center"/>
                          <w:rPr>
                            <w:b/>
                            <w:bCs/>
                            <w:sz w:val="18"/>
                            <w:szCs w:val="18"/>
                          </w:rPr>
                        </w:pPr>
                        <w:r w:rsidRPr="00450184">
                          <w:rPr>
                            <w:b/>
                            <w:bCs/>
                            <w:sz w:val="18"/>
                            <w:szCs w:val="18"/>
                          </w:rPr>
                          <w:t>1.</w:t>
                        </w:r>
                        <w:r>
                          <w:rPr>
                            <w:b/>
                            <w:bCs/>
                            <w:sz w:val="18"/>
                            <w:szCs w:val="18"/>
                          </w:rPr>
                          <w:t>18</w:t>
                        </w:r>
                      </w:p>
                    </w:txbxContent>
                  </v:textbox>
                </v:rect>
                <v:rect id="Rectangle 138" o:spid="_x0000_s1039" style="position:absolute;left:8406;top:12074;width:68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1CyQAAAOIAAAAPAAAAZHJzL2Rvd25yZXYueG1sRE/Pa8Iw&#10;FL4P9j+EN9hFNLWgdJ1RtsHA9jCp87DjI3lry5qXrola/3tzEDx+fL9Xm9F24kSDbx0rmM8SEMTa&#10;mZZrBYfvz2kGwgdkg51jUnAhD5v148MKc+POXNFpH2oRQ9jnqKAJoc+l9Lohi37meuLI/brBYohw&#10;qKUZ8BzDbSfTJFlKiy3HhgZ7+mhI/+2PVkEycd370Ra23k2K8lL9/Ov2q1Tq+Wl8ewURaAx38c29&#10;NQqW8/QlyxZp3BwvxTsg11cAAAD//wMAUEsBAi0AFAAGAAgAAAAhANvh9svuAAAAhQEAABMAAAAA&#10;AAAAAAAAAAAAAAAAAFtDb250ZW50X1R5cGVzXS54bWxQSwECLQAUAAYACAAAACEAWvQsW78AAAAV&#10;AQAACwAAAAAAAAAAAAAAAAAfAQAAX3JlbHMvLnJlbHNQSwECLQAUAAYACAAAACEAYMU9QskAAADi&#10;AAAADwAAAAAAAAAAAAAAAAAHAgAAZHJzL2Rvd25yZXYueG1sUEsFBgAAAAADAAMAtwAAAP0CAAAA&#10;AA==&#10;" fillcolor="#dcd6cf" stroked="f" strokeweight="1pt">
                  <v:textbox>
                    <w:txbxContent>
                      <w:p w14:paraId="72EEB7CB" w14:textId="77777777" w:rsidR="00D42579" w:rsidRPr="00E51723" w:rsidRDefault="00D42579" w:rsidP="00D42579">
                        <w:pPr>
                          <w:jc w:val="center"/>
                          <w:rPr>
                            <w:b/>
                            <w:bCs/>
                            <w:sz w:val="18"/>
                            <w:szCs w:val="18"/>
                            <w:lang w:val="en-IN"/>
                          </w:rPr>
                        </w:pPr>
                        <w:r>
                          <w:rPr>
                            <w:b/>
                            <w:bCs/>
                            <w:sz w:val="18"/>
                            <w:szCs w:val="18"/>
                            <w:lang w:val="en-IN"/>
                          </w:rPr>
                          <w:t>0.87</w:t>
                        </w:r>
                      </w:p>
                    </w:txbxContent>
                  </v:textbox>
                </v:rect>
                <w10:wrap anchorx="margin"/>
              </v:group>
            </w:pict>
          </mc:Fallback>
        </mc:AlternateContent>
      </w:r>
    </w:p>
    <w:p w14:paraId="2B6ED57F" w14:textId="77777777" w:rsidR="00D42579" w:rsidRPr="004521AB" w:rsidRDefault="00D42579" w:rsidP="00D42579">
      <w:r w:rsidRPr="00B335A3">
        <w:rPr>
          <w:noProof/>
        </w:rPr>
        <w:drawing>
          <wp:inline distT="0" distB="0" distL="0" distR="0" wp14:anchorId="5A89E75F" wp14:editId="777E1906">
            <wp:extent cx="6442710" cy="1645920"/>
            <wp:effectExtent l="0" t="0" r="0" b="11430"/>
            <wp:docPr id="1131964923" name="Chart 1">
              <a:extLst xmlns:a="http://schemas.openxmlformats.org/drawingml/2006/main">
                <a:ext uri="{FF2B5EF4-FFF2-40B4-BE49-F238E27FC236}">
                  <a16:creationId xmlns:a16="http://schemas.microsoft.com/office/drawing/2014/main" id="{058513F1-C689-5E2B-B6FC-AE041D067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012228" w14:textId="77777777" w:rsidR="00D42579" w:rsidRPr="004521AB" w:rsidRDefault="00D42579" w:rsidP="00D42579">
      <w:pPr>
        <w:tabs>
          <w:tab w:val="left" w:pos="10440"/>
        </w:tabs>
        <w:spacing w:after="0" w:line="276" w:lineRule="auto"/>
        <w:ind w:right="446"/>
        <w:rPr>
          <w:rFonts w:eastAsiaTheme="minorEastAsia" w:cs="Times New Roman"/>
          <w:i/>
          <w:color w:val="auto"/>
          <w:kern w:val="0"/>
          <w:sz w:val="16"/>
          <w:szCs w:val="22"/>
          <w:lang w:val="en-GB"/>
          <w14:ligatures w14:val="none"/>
        </w:rPr>
      </w:pPr>
      <w:r w:rsidRPr="004521AB">
        <w:rPr>
          <w:rFonts w:eastAsiaTheme="minorEastAsia" w:cs="Times New Roman"/>
          <w:i/>
          <w:color w:val="auto"/>
          <w:kern w:val="0"/>
          <w:sz w:val="16"/>
          <w:szCs w:val="22"/>
          <w:lang w:val="en-GB"/>
          <w14:ligatures w14:val="none"/>
        </w:rPr>
        <w:t>Note: All figures are adjusted to calendar year and the grey boxes represent the ratio of growth rate of India’s power demand and real GDP; the GDP growth rates are from IMF; CY- Calendar Year</w:t>
      </w:r>
    </w:p>
    <w:p w14:paraId="04883B24" w14:textId="77777777" w:rsidR="00D42579" w:rsidRDefault="00D42579" w:rsidP="00D42579">
      <w:pPr>
        <w:spacing w:before="0" w:after="200" w:line="276" w:lineRule="auto"/>
        <w:rPr>
          <w:rFonts w:eastAsiaTheme="minorEastAsia" w:cs="Times New Roman"/>
          <w:i/>
          <w:color w:val="auto"/>
          <w:kern w:val="0"/>
          <w:sz w:val="16"/>
          <w:szCs w:val="22"/>
          <w:lang w:val="en-GB"/>
          <w14:ligatures w14:val="none"/>
        </w:rPr>
      </w:pPr>
      <w:r w:rsidRPr="004521AB">
        <w:rPr>
          <w:rFonts w:eastAsiaTheme="minorEastAsia" w:cs="Times New Roman"/>
          <w:i/>
          <w:color w:val="auto"/>
          <w:kern w:val="0"/>
          <w:sz w:val="16"/>
          <w:szCs w:val="22"/>
          <w:lang w:val="en-GB"/>
          <w14:ligatures w14:val="none"/>
        </w:rPr>
        <w:t>Source: Crisil Intelligence, Ministry of Power, IMF</w:t>
      </w:r>
    </w:p>
    <w:p w14:paraId="7951890D" w14:textId="77777777" w:rsidR="00D42579" w:rsidRPr="009F7BC1" w:rsidRDefault="00D42579" w:rsidP="00662938">
      <w:pPr>
        <w:pStyle w:val="Heading30"/>
      </w:pPr>
      <w:r w:rsidRPr="009F7BC1">
        <w:t>Correlation of Cement with GDP growth</w:t>
      </w:r>
    </w:p>
    <w:p w14:paraId="4803A1AC" w14:textId="77777777" w:rsidR="00D42579" w:rsidRDefault="00D42579" w:rsidP="00D42579">
      <w:pPr>
        <w:spacing w:before="160" w:after="120"/>
        <w:ind w:right="450"/>
        <w:rPr>
          <w:szCs w:val="20"/>
        </w:rPr>
      </w:pPr>
      <w:r w:rsidRPr="004521AB">
        <w:rPr>
          <w:szCs w:val="20"/>
        </w:rPr>
        <w:t>The growth of cement demand in India has been loosely tied to the country's GDP growth, with both exhibiting a similar trend over few years. Since 2018, cement demand has followed a pattern of growth, with some fluctuations, mirroring the trajectory of India's real GDP growth. During the pandemic, cement demand declined marginally in 2019 and grew at a slower pace in 2020, before rebounding in 2021 with an 8.6% growth rate. In the subsequent years, cement demand growth has continued to accelerate, with a notable 14.8% growth rate in 2023.</w:t>
      </w:r>
    </w:p>
    <w:p w14:paraId="1AC24552" w14:textId="77777777" w:rsidR="00DB5722" w:rsidRDefault="00DB5722" w:rsidP="00D42579">
      <w:pPr>
        <w:spacing w:before="160" w:after="120"/>
        <w:ind w:right="450"/>
        <w:rPr>
          <w:szCs w:val="20"/>
        </w:rPr>
      </w:pPr>
    </w:p>
    <w:p w14:paraId="037D1473" w14:textId="77777777" w:rsidR="00DB5722" w:rsidRDefault="00DB5722" w:rsidP="00D42579">
      <w:pPr>
        <w:spacing w:before="160" w:after="120"/>
        <w:ind w:right="450"/>
        <w:rPr>
          <w:szCs w:val="20"/>
        </w:rPr>
      </w:pPr>
    </w:p>
    <w:p w14:paraId="3CF376B0" w14:textId="77777777" w:rsidR="00DB5722" w:rsidRDefault="00DB5722" w:rsidP="00D42579">
      <w:pPr>
        <w:spacing w:before="160" w:after="120"/>
        <w:ind w:right="450"/>
        <w:rPr>
          <w:szCs w:val="20"/>
        </w:rPr>
      </w:pPr>
    </w:p>
    <w:p w14:paraId="079BBB66" w14:textId="77777777" w:rsidR="00DB5722" w:rsidRDefault="00DB5722" w:rsidP="00D42579">
      <w:pPr>
        <w:spacing w:before="160" w:after="120"/>
        <w:ind w:right="450"/>
        <w:rPr>
          <w:szCs w:val="20"/>
        </w:rPr>
      </w:pPr>
    </w:p>
    <w:p w14:paraId="6A3B1792" w14:textId="77777777" w:rsidR="00DB5722" w:rsidRDefault="00DB5722" w:rsidP="00D42579">
      <w:pPr>
        <w:spacing w:before="160" w:after="120"/>
        <w:ind w:right="450"/>
        <w:rPr>
          <w:szCs w:val="20"/>
        </w:rPr>
      </w:pPr>
    </w:p>
    <w:p w14:paraId="552F2EA3" w14:textId="77777777" w:rsidR="00DB5722" w:rsidRDefault="00DB5722" w:rsidP="00D42579">
      <w:pPr>
        <w:spacing w:before="160" w:after="120"/>
        <w:ind w:right="450"/>
        <w:rPr>
          <w:szCs w:val="20"/>
        </w:rPr>
      </w:pPr>
    </w:p>
    <w:p w14:paraId="58622B4A" w14:textId="77777777" w:rsidR="00DB5722" w:rsidRDefault="00DB5722" w:rsidP="00D42579">
      <w:pPr>
        <w:spacing w:before="160" w:after="120"/>
        <w:ind w:right="450"/>
        <w:rPr>
          <w:szCs w:val="20"/>
        </w:rPr>
      </w:pPr>
    </w:p>
    <w:p w14:paraId="4E5E1754" w14:textId="6CAC5E8D" w:rsidR="00D42579" w:rsidRPr="004521AB" w:rsidRDefault="00D42579" w:rsidP="00D42579">
      <w:pPr>
        <w:spacing w:before="160" w:after="120" w:line="280" w:lineRule="exact"/>
        <w:ind w:right="450"/>
        <w:rPr>
          <w:rFonts w:eastAsia="Times New Roman" w:cs="Book Antiqua"/>
          <w:b/>
          <w:bCs/>
          <w:iCs/>
          <w:kern w:val="0"/>
          <w:szCs w:val="18"/>
          <w:lang w:val="en-GB" w:eastAsia="en-IN"/>
          <w14:ligatures w14:val="none"/>
        </w:rPr>
      </w:pPr>
      <w:bookmarkStart w:id="303" w:name="_Toc198731505"/>
      <w:r w:rsidRPr="004521AB">
        <w:rPr>
          <w:rFonts w:eastAsia="Times New Roman" w:cs="Book Antiqua"/>
          <w:b/>
          <w:bCs/>
          <w:iCs/>
          <w:kern w:val="0"/>
          <w:szCs w:val="18"/>
          <w:lang w:val="en-GB" w:eastAsia="en-IN"/>
          <w14:ligatures w14:val="none"/>
        </w:rPr>
        <w:t xml:space="preserve">Figure </w:t>
      </w:r>
      <w:r w:rsidRPr="004521AB">
        <w:rPr>
          <w:rFonts w:eastAsia="Times New Roman" w:cs="Book Antiqua"/>
          <w:b/>
          <w:bCs/>
          <w:iCs/>
          <w:kern w:val="0"/>
          <w:szCs w:val="18"/>
          <w:lang w:val="en-GB" w:eastAsia="en-IN"/>
          <w14:ligatures w14:val="none"/>
        </w:rPr>
        <w:fldChar w:fldCharType="begin"/>
      </w:r>
      <w:r w:rsidRPr="004521AB">
        <w:rPr>
          <w:rFonts w:eastAsia="Times New Roman" w:cs="Book Antiqua"/>
          <w:b/>
          <w:bCs/>
          <w:iCs/>
          <w:kern w:val="0"/>
          <w:szCs w:val="18"/>
          <w:lang w:val="en-GB" w:eastAsia="en-IN"/>
          <w14:ligatures w14:val="none"/>
        </w:rPr>
        <w:instrText xml:space="preserve"> STYLEREF 1 \s </w:instrText>
      </w:r>
      <w:r w:rsidRPr="004521AB">
        <w:rPr>
          <w:rFonts w:eastAsia="Times New Roman" w:cs="Book Antiqua"/>
          <w:b/>
          <w:bCs/>
          <w:iCs/>
          <w:kern w:val="0"/>
          <w:szCs w:val="18"/>
          <w:lang w:val="en-GB" w:eastAsia="en-IN"/>
          <w14:ligatures w14:val="none"/>
        </w:rPr>
        <w:fldChar w:fldCharType="separate"/>
      </w:r>
      <w:r w:rsidR="002142B9">
        <w:rPr>
          <w:rFonts w:eastAsia="Times New Roman" w:cs="Book Antiqua"/>
          <w:b/>
          <w:bCs/>
          <w:iCs/>
          <w:noProof/>
          <w:kern w:val="0"/>
          <w:szCs w:val="18"/>
          <w:lang w:val="en-GB" w:eastAsia="en-IN"/>
          <w14:ligatures w14:val="none"/>
        </w:rPr>
        <w:t>2</w:t>
      </w:r>
      <w:r w:rsidRPr="004521AB">
        <w:rPr>
          <w:rFonts w:eastAsia="Times New Roman" w:cs="Book Antiqua"/>
          <w:b/>
          <w:bCs/>
          <w:iCs/>
          <w:kern w:val="0"/>
          <w:szCs w:val="18"/>
          <w:lang w:val="en-GB" w:eastAsia="en-IN"/>
          <w14:ligatures w14:val="none"/>
        </w:rPr>
        <w:fldChar w:fldCharType="end"/>
      </w:r>
      <w:r w:rsidRPr="004521AB">
        <w:rPr>
          <w:rFonts w:eastAsia="Times New Roman" w:cs="Book Antiqua"/>
          <w:b/>
          <w:bCs/>
          <w:iCs/>
          <w:kern w:val="0"/>
          <w:szCs w:val="18"/>
          <w:lang w:val="en-GB" w:eastAsia="en-IN"/>
          <w14:ligatures w14:val="none"/>
        </w:rPr>
        <w:t>.</w:t>
      </w:r>
      <w:r w:rsidRPr="004521AB">
        <w:rPr>
          <w:rFonts w:eastAsia="Times New Roman" w:cs="Book Antiqua"/>
          <w:b/>
          <w:bCs/>
          <w:iCs/>
          <w:kern w:val="0"/>
          <w:szCs w:val="18"/>
          <w:lang w:val="en-GB" w:eastAsia="en-IN"/>
          <w14:ligatures w14:val="none"/>
        </w:rPr>
        <w:fldChar w:fldCharType="begin"/>
      </w:r>
      <w:r w:rsidRPr="004521AB">
        <w:rPr>
          <w:rFonts w:eastAsia="Times New Roman" w:cs="Book Antiqua"/>
          <w:b/>
          <w:bCs/>
          <w:iCs/>
          <w:kern w:val="0"/>
          <w:szCs w:val="18"/>
          <w:lang w:val="en-GB" w:eastAsia="en-IN"/>
          <w14:ligatures w14:val="none"/>
        </w:rPr>
        <w:instrText xml:space="preserve"> SEQ Figure \* ARABIC \s 1 </w:instrText>
      </w:r>
      <w:r w:rsidRPr="004521AB">
        <w:rPr>
          <w:rFonts w:eastAsia="Times New Roman" w:cs="Book Antiqua"/>
          <w:b/>
          <w:bCs/>
          <w:iCs/>
          <w:kern w:val="0"/>
          <w:szCs w:val="18"/>
          <w:lang w:val="en-GB" w:eastAsia="en-IN"/>
          <w14:ligatures w14:val="none"/>
        </w:rPr>
        <w:fldChar w:fldCharType="separate"/>
      </w:r>
      <w:r w:rsidR="002142B9">
        <w:rPr>
          <w:rFonts w:eastAsia="Times New Roman" w:cs="Book Antiqua"/>
          <w:b/>
          <w:bCs/>
          <w:iCs/>
          <w:noProof/>
          <w:kern w:val="0"/>
          <w:szCs w:val="18"/>
          <w:lang w:val="en-GB" w:eastAsia="en-IN"/>
          <w14:ligatures w14:val="none"/>
        </w:rPr>
        <w:t>7</w:t>
      </w:r>
      <w:r w:rsidRPr="004521AB">
        <w:rPr>
          <w:rFonts w:eastAsia="Times New Roman" w:cs="Book Antiqua"/>
          <w:b/>
          <w:bCs/>
          <w:iCs/>
          <w:kern w:val="0"/>
          <w:szCs w:val="18"/>
          <w:lang w:val="en-GB" w:eastAsia="en-IN"/>
          <w14:ligatures w14:val="none"/>
        </w:rPr>
        <w:fldChar w:fldCharType="end"/>
      </w:r>
      <w:r w:rsidRPr="004521AB">
        <w:rPr>
          <w:rFonts w:eastAsia="Times New Roman" w:cs="Book Antiqua"/>
          <w:b/>
          <w:bCs/>
          <w:iCs/>
          <w:kern w:val="0"/>
          <w:szCs w:val="18"/>
          <w:lang w:val="en-GB" w:eastAsia="en-IN"/>
          <w14:ligatures w14:val="none"/>
        </w:rPr>
        <w:t>: Growth in cement demand vs GDP in India</w:t>
      </w:r>
      <w:bookmarkEnd w:id="303"/>
    </w:p>
    <w:p w14:paraId="0AB1D52D" w14:textId="77777777" w:rsidR="00D42579" w:rsidRPr="004521AB" w:rsidRDefault="00D42579" w:rsidP="00D42579">
      <w:pPr>
        <w:spacing w:before="160" w:after="120" w:line="280" w:lineRule="exact"/>
        <w:ind w:right="450"/>
        <w:rPr>
          <w:rFonts w:eastAsia="Times New Roman" w:cs="Book Antiqua"/>
          <w:b/>
          <w:bCs/>
          <w:iCs/>
          <w:kern w:val="0"/>
          <w:szCs w:val="18"/>
          <w:lang w:val="en-GB" w:eastAsia="en-IN"/>
          <w14:ligatures w14:val="none"/>
        </w:rPr>
      </w:pPr>
      <w:r w:rsidRPr="004521AB">
        <w:rPr>
          <w:noProof/>
        </w:rPr>
        <mc:AlternateContent>
          <mc:Choice Requires="wpg">
            <w:drawing>
              <wp:anchor distT="0" distB="0" distL="114300" distR="114300" simplePos="0" relativeHeight="251658256" behindDoc="0" locked="0" layoutInCell="1" allowOverlap="1" wp14:anchorId="3B930280" wp14:editId="11D3C424">
                <wp:simplePos x="0" y="0"/>
                <wp:positionH relativeFrom="margin">
                  <wp:align>center</wp:align>
                </wp:positionH>
                <wp:positionV relativeFrom="paragraph">
                  <wp:posOffset>162327</wp:posOffset>
                </wp:positionV>
                <wp:extent cx="5627077" cy="323463"/>
                <wp:effectExtent l="0" t="0" r="0" b="635"/>
                <wp:wrapNone/>
                <wp:docPr id="136725770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077" cy="323463"/>
                          <a:chOff x="2127" y="12074"/>
                          <a:chExt cx="6966" cy="617"/>
                        </a:xfrm>
                      </wpg:grpSpPr>
                      <wps:wsp>
                        <wps:cNvPr id="1382599323" name="Rectangle 133"/>
                        <wps:cNvSpPr>
                          <a:spLocks noChangeArrowheads="1"/>
                        </wps:cNvSpPr>
                        <wps:spPr bwMode="auto">
                          <a:xfrm>
                            <a:off x="2127" y="12074"/>
                            <a:ext cx="670" cy="577"/>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0DCBF9" w14:textId="77777777" w:rsidR="00D42579" w:rsidRPr="00AF7BFA" w:rsidRDefault="00D42579" w:rsidP="00D42579">
                              <w:pPr>
                                <w:jc w:val="center"/>
                                <w:rPr>
                                  <w:b/>
                                  <w:bCs/>
                                  <w:sz w:val="18"/>
                                  <w:szCs w:val="18"/>
                                  <w:lang w:val="en-IN"/>
                                </w:rPr>
                              </w:pPr>
                              <w:r>
                                <w:rPr>
                                  <w:b/>
                                  <w:bCs/>
                                  <w:sz w:val="18"/>
                                  <w:szCs w:val="18"/>
                                  <w:lang w:val="en-IN"/>
                                </w:rPr>
                                <w:t>2.08</w:t>
                              </w:r>
                            </w:p>
                          </w:txbxContent>
                        </wps:txbx>
                        <wps:bodyPr rot="0" vert="horz" wrap="square" lIns="91440" tIns="45720" rIns="91440" bIns="45720" anchor="ctr" anchorCtr="0" upright="1">
                          <a:noAutofit/>
                        </wps:bodyPr>
                      </wps:wsp>
                      <wps:wsp>
                        <wps:cNvPr id="899705524" name="Rectangle 134"/>
                        <wps:cNvSpPr>
                          <a:spLocks noChangeArrowheads="1"/>
                        </wps:cNvSpPr>
                        <wps:spPr bwMode="auto">
                          <a:xfrm>
                            <a:off x="3332" y="12074"/>
                            <a:ext cx="670" cy="590"/>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B56F894" w14:textId="77777777" w:rsidR="00D42579" w:rsidRPr="00AF7BFA" w:rsidRDefault="00D42579" w:rsidP="00D42579">
                              <w:pPr>
                                <w:jc w:val="center"/>
                                <w:rPr>
                                  <w:b/>
                                  <w:bCs/>
                                  <w:sz w:val="18"/>
                                  <w:szCs w:val="18"/>
                                  <w:lang w:val="en-IN"/>
                                </w:rPr>
                              </w:pPr>
                              <w:r>
                                <w:rPr>
                                  <w:b/>
                                  <w:bCs/>
                                  <w:sz w:val="18"/>
                                  <w:szCs w:val="18"/>
                                  <w:lang w:val="en-IN"/>
                                </w:rPr>
                                <w:t>-0.08</w:t>
                              </w:r>
                            </w:p>
                          </w:txbxContent>
                        </wps:txbx>
                        <wps:bodyPr rot="0" vert="horz" wrap="square" lIns="91440" tIns="45720" rIns="91440" bIns="45720" anchor="ctr" anchorCtr="0" upright="1">
                          <a:noAutofit/>
                        </wps:bodyPr>
                      </wps:wsp>
                      <wps:wsp>
                        <wps:cNvPr id="918966006" name="Rectangle 135"/>
                        <wps:cNvSpPr>
                          <a:spLocks noChangeArrowheads="1"/>
                        </wps:cNvSpPr>
                        <wps:spPr bwMode="auto">
                          <a:xfrm>
                            <a:off x="4672" y="12074"/>
                            <a:ext cx="670" cy="604"/>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8B3FE7" w14:textId="77777777" w:rsidR="00D42579" w:rsidRPr="00EA3AF3" w:rsidRDefault="00D42579" w:rsidP="00D42579">
                              <w:pPr>
                                <w:jc w:val="center"/>
                                <w:rPr>
                                  <w:b/>
                                  <w:bCs/>
                                  <w:sz w:val="18"/>
                                  <w:szCs w:val="18"/>
                                  <w:lang w:val="en-IN"/>
                                </w:rPr>
                              </w:pPr>
                              <w:r>
                                <w:rPr>
                                  <w:b/>
                                  <w:bCs/>
                                  <w:sz w:val="18"/>
                                  <w:szCs w:val="18"/>
                                  <w:lang w:val="en-IN"/>
                                </w:rPr>
                                <w:t>-1.16</w:t>
                              </w:r>
                            </w:p>
                          </w:txbxContent>
                        </wps:txbx>
                        <wps:bodyPr rot="0" vert="horz" wrap="square" lIns="91440" tIns="45720" rIns="91440" bIns="45720" anchor="ctr" anchorCtr="0" upright="1">
                          <a:noAutofit/>
                        </wps:bodyPr>
                      </wps:wsp>
                      <wps:wsp>
                        <wps:cNvPr id="1375734038" name="Rectangle 136"/>
                        <wps:cNvSpPr>
                          <a:spLocks noChangeArrowheads="1"/>
                        </wps:cNvSpPr>
                        <wps:spPr bwMode="auto">
                          <a:xfrm>
                            <a:off x="5860" y="12074"/>
                            <a:ext cx="670" cy="589"/>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1F3764" w14:textId="77777777" w:rsidR="00D42579" w:rsidRPr="00EA3AF3" w:rsidRDefault="00D42579" w:rsidP="00D42579">
                              <w:pPr>
                                <w:jc w:val="center"/>
                                <w:rPr>
                                  <w:b/>
                                  <w:bCs/>
                                  <w:sz w:val="18"/>
                                  <w:szCs w:val="18"/>
                                  <w:lang w:val="en-IN"/>
                                </w:rPr>
                              </w:pPr>
                              <w:r>
                                <w:rPr>
                                  <w:b/>
                                  <w:bCs/>
                                  <w:sz w:val="18"/>
                                  <w:szCs w:val="18"/>
                                  <w:lang w:val="en-IN"/>
                                </w:rPr>
                                <w:t>0.89</w:t>
                              </w:r>
                            </w:p>
                          </w:txbxContent>
                        </wps:txbx>
                        <wps:bodyPr rot="0" vert="horz" wrap="square" lIns="91440" tIns="45720" rIns="91440" bIns="45720" anchor="ctr" anchorCtr="0" upright="1">
                          <a:noAutofit/>
                        </wps:bodyPr>
                      </wps:wsp>
                      <wps:wsp>
                        <wps:cNvPr id="407613255" name="Rectangle 137"/>
                        <wps:cNvSpPr>
                          <a:spLocks noChangeArrowheads="1"/>
                        </wps:cNvSpPr>
                        <wps:spPr bwMode="auto">
                          <a:xfrm>
                            <a:off x="7150" y="12074"/>
                            <a:ext cx="670" cy="589"/>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F9CD331" w14:textId="77777777" w:rsidR="00D42579" w:rsidRPr="00450184" w:rsidRDefault="00D42579" w:rsidP="00D42579">
                              <w:pPr>
                                <w:jc w:val="center"/>
                                <w:rPr>
                                  <w:b/>
                                  <w:bCs/>
                                  <w:sz w:val="18"/>
                                  <w:szCs w:val="18"/>
                                </w:rPr>
                              </w:pPr>
                              <w:r>
                                <w:rPr>
                                  <w:b/>
                                  <w:bCs/>
                                  <w:sz w:val="18"/>
                                  <w:szCs w:val="18"/>
                                </w:rPr>
                                <w:t>0</w:t>
                              </w:r>
                              <w:r w:rsidRPr="00450184">
                                <w:rPr>
                                  <w:b/>
                                  <w:bCs/>
                                  <w:sz w:val="18"/>
                                  <w:szCs w:val="18"/>
                                </w:rPr>
                                <w:t>.</w:t>
                              </w:r>
                              <w:r>
                                <w:rPr>
                                  <w:b/>
                                  <w:bCs/>
                                  <w:sz w:val="18"/>
                                  <w:szCs w:val="18"/>
                                </w:rPr>
                                <w:t>70</w:t>
                              </w:r>
                            </w:p>
                          </w:txbxContent>
                        </wps:txbx>
                        <wps:bodyPr rot="0" vert="horz" wrap="square" lIns="91440" tIns="45720" rIns="91440" bIns="45720" anchor="ctr" anchorCtr="0" upright="1">
                          <a:noAutofit/>
                        </wps:bodyPr>
                      </wps:wsp>
                      <wps:wsp>
                        <wps:cNvPr id="231006203" name="Rectangle 138"/>
                        <wps:cNvSpPr>
                          <a:spLocks noChangeArrowheads="1"/>
                        </wps:cNvSpPr>
                        <wps:spPr bwMode="auto">
                          <a:xfrm>
                            <a:off x="8406" y="12074"/>
                            <a:ext cx="687" cy="617"/>
                          </a:xfrm>
                          <a:prstGeom prst="rect">
                            <a:avLst/>
                          </a:prstGeom>
                          <a:solidFill>
                            <a:srgbClr val="A79886">
                              <a:lumMod val="40000"/>
                              <a:lumOff val="6000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E5EE3CE" w14:textId="77777777" w:rsidR="00D42579" w:rsidRPr="00450184" w:rsidRDefault="00D42579" w:rsidP="00D42579">
                              <w:pPr>
                                <w:jc w:val="center"/>
                                <w:rPr>
                                  <w:b/>
                                  <w:bCs/>
                                  <w:sz w:val="18"/>
                                  <w:szCs w:val="18"/>
                                </w:rPr>
                              </w:pPr>
                              <w:r w:rsidRPr="00450184">
                                <w:rPr>
                                  <w:b/>
                                  <w:bCs/>
                                  <w:sz w:val="18"/>
                                  <w:szCs w:val="18"/>
                                </w:rPr>
                                <w:t>1.</w:t>
                              </w:r>
                              <w:r>
                                <w:rPr>
                                  <w:b/>
                                  <w:bCs/>
                                  <w:sz w:val="18"/>
                                  <w:szCs w:val="18"/>
                                </w:rPr>
                                <w:t>61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30280" id="_x0000_s1040" style="position:absolute;left:0;text-align:left;margin-left:0;margin-top:12.8pt;width:443.1pt;height:25.45pt;z-index:251658256;mso-position-horizontal:center;mso-position-horizontal-relative:margin" coordorigin="2127,12074" coordsize="696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YwTwMAAJ4SAAAOAAAAZHJzL2Uyb0RvYy54bWzsWMlu2zAQvRfoPxC8N9pXxA6CpAkKdAma&#10;9gNoiVpQSVRJ2nL69R2StuKtCJACBupaB0HkkMOZN2+GpC6vlm2DFpSLmnUT7FzYGNEuY3ndlRP8&#10;/dvduxgjIUmXk4Z1dIKfqMBX07dvLoc+pS6rWJNTjkBJJ9Khn+BKyj61LJFVtCXigvW0A2HBeEsk&#10;NHlp5ZwMoL1tLNe2Q2tgPO85y6gQ0HtrhHiq9RcFzeSXohBUomaCwTap31y/Z+ptTS9JWnLSV3W2&#10;MoO8woqW1B0sOqq6JZKgOa/3VLV1xplghbzIWGuxoqgzqn0Abxx7x5t7zua99qVMh7IfYQJod3B6&#10;tdrs8+Ke94/9AzfWw+dHlv0QgIs19GW6KVft0gxGs+ETyyGeZC6ZdnxZ8FapAJfQUuP7NOJLlxJl&#10;0BmEbmRHEUYZyDzX80PPBCCrIEpqmuu4IAap49qRvxa+X80PkzA0k0MnUkKLpGZdbevKNhV7IJN4&#10;xkv8HV6PFempDoNQeDxwVOdgoRe7QZKAGxh1pAUsvgLbSFc2FDmedkzZARPW6AoDLerYTQXj6DXn&#10;bKgoycE+R7uzNUE1BATmRawPgbaGPIyA9QruAHDfRIykPRfynrIWqY8J5mC9jiRZfBTSDF0PUYEV&#10;rKnzu7ppdIOXs5uGowWBvLqOkjgO9dxm3gIvTLdvw2NCCN0qwHp0uO6G4AmjRgdyS3/TqVU6ptYz&#10;pqgeiLKBxIRYLmdLEwpXLaOEM5Y/AWKcmUSHwgQfFeO/MBogySdY/JwTTjFqPnSAeuL4vqoKuuEH&#10;kQsNvimZbUpIl4GqCc4kx8g0bqSpJfOe12UFazkaho5dQ14UtYbx2a6VB0DNI3E0TpLIDgLXP0RR&#10;nV7KuCNQ1PM8dzev9ymaaLqMSX1SFB0LwpmihnKrMpo4MVR12MkPUTRY5/URKOqH0csUDW2dNadJ&#10;0bEgnCm6RVHHi4LI820PzrL7O314RI4GcQg71PbxaL+Mxoky6TQ5OlaEM0e3OOrbUeh4bhAcoqg+&#10;+R1pp4+c4D+n6FgQzhTdoqjrObDNu/bB+1J8xCoa++q08YcqGq+up7s3zJM6jI4F4d+hqL7hw08Q&#10;vbGtftiovyybbX2/ev6tNP0NAAD//wMAUEsDBBQABgAIAAAAIQCc1etj3QAAAAYBAAAPAAAAZHJz&#10;L2Rvd25yZXYueG1sTI9BS8NAFITvgv9heYI3u0kkMcS8lFLUUxFsBfH2mn1NQrO7IbtN0n/vetLj&#10;MMPMN+V60b2YeHSdNQjxKgLBpraqMw3C5+H1IQfhPBlFvTWMcGUH6+r2pqRC2dl88LT3jQglxhWE&#10;0Ho/FFK6umVNbmUHNsE72VGTD3JspBppDuW6l0kUZVJTZ8JCSwNvW67P+4tGeJtp3jzGL9PufNpe&#10;vw/p+9cuZsT7u2XzDMLz4v/C8Isf0KEKTEd7McqJHiEc8QhJmoEIbp5nCYgjwlOWgqxK+R+/+gEA&#10;AP//AwBQSwECLQAUAAYACAAAACEAtoM4kv4AAADhAQAAEwAAAAAAAAAAAAAAAAAAAAAAW0NvbnRl&#10;bnRfVHlwZXNdLnhtbFBLAQItABQABgAIAAAAIQA4/SH/1gAAAJQBAAALAAAAAAAAAAAAAAAAAC8B&#10;AABfcmVscy8ucmVsc1BLAQItABQABgAIAAAAIQC99rYwTwMAAJ4SAAAOAAAAAAAAAAAAAAAAAC4C&#10;AABkcnMvZTJvRG9jLnhtbFBLAQItABQABgAIAAAAIQCc1etj3QAAAAYBAAAPAAAAAAAAAAAAAAAA&#10;AKkFAABkcnMvZG93bnJldi54bWxQSwUGAAAAAAQABADzAAAAswYAAAAA&#10;">
                <v:rect id="Rectangle 133" o:spid="_x0000_s1041" style="position:absolute;left:2127;top:12074;width:670;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3FyQAAAOMAAAAPAAAAZHJzL2Rvd25yZXYueG1sRE/NasJA&#10;EL4X+g7LFLxIszHBYlJXUaFQPSixPfQ4ZKdJaHY2ZleNb98tCD3O9z/z5WBacaHeNZYVTKIYBHFp&#10;dcOVgs+Pt+cZCOeRNbaWScGNHCwXjw9zzLW9ckGXo69ECGGXo4La+y6X0pU1GXSR7YgD9217gz6c&#10;fSV1j9cQblqZxPGLNNhwaKixo01N5c/xbBTEY9uuz2ZrqsN4u7sVX6ey2e+UGj0Nq1cQngb/L767&#10;33WYn86SaZalSQp/PwUA5OIXAAD//wMAUEsBAi0AFAAGAAgAAAAhANvh9svuAAAAhQEAABMAAAAA&#10;AAAAAAAAAAAAAAAAAFtDb250ZW50X1R5cGVzXS54bWxQSwECLQAUAAYACAAAACEAWvQsW78AAAAV&#10;AQAACwAAAAAAAAAAAAAAAAAfAQAAX3JlbHMvLnJlbHNQSwECLQAUAAYACAAAACEAJ5LNxckAAADj&#10;AAAADwAAAAAAAAAAAAAAAAAHAgAAZHJzL2Rvd25yZXYueG1sUEsFBgAAAAADAAMAtwAAAP0CAAAA&#10;AA==&#10;" fillcolor="#dcd6cf" stroked="f" strokeweight="1pt">
                  <v:textbox>
                    <w:txbxContent>
                      <w:p w14:paraId="4B0DCBF9" w14:textId="77777777" w:rsidR="00D42579" w:rsidRPr="00AF7BFA" w:rsidRDefault="00D42579" w:rsidP="00D42579">
                        <w:pPr>
                          <w:jc w:val="center"/>
                          <w:rPr>
                            <w:b/>
                            <w:bCs/>
                            <w:sz w:val="18"/>
                            <w:szCs w:val="18"/>
                            <w:lang w:val="en-IN"/>
                          </w:rPr>
                        </w:pPr>
                        <w:r>
                          <w:rPr>
                            <w:b/>
                            <w:bCs/>
                            <w:sz w:val="18"/>
                            <w:szCs w:val="18"/>
                            <w:lang w:val="en-IN"/>
                          </w:rPr>
                          <w:t>2.08</w:t>
                        </w:r>
                      </w:p>
                    </w:txbxContent>
                  </v:textbox>
                </v:rect>
                <v:rect id="Rectangle 134" o:spid="_x0000_s1042" style="position:absolute;left:3332;top:12074;width:67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IBkywAAAOIAAAAPAAAAZHJzL2Rvd25yZXYueG1sRI9PawIx&#10;FMTvQr9DeIVeRJNKrboaxRYK1UPFPwePj81zd+nmZd1EXb+9EQSPw8z8hpnMGluKM9W+cKzhvatA&#10;EKfOFJxp2G1/OkMQPiAbLB2Thit5mE1fWhNMjLvwms6bkIkIYZ+ghjyEKpHSpzlZ9F1XEUfv4GqL&#10;Ico6k6bGS4TbUvaU+pQWC44LOVb0nVP6vzlZDartyq+TXdhs1V4sr+v9MS3+llq/vTbzMYhATXiG&#10;H+1fo2E4Gg1Uv9/7gPuleAfk9AYAAP//AwBQSwECLQAUAAYACAAAACEA2+H2y+4AAACFAQAAEwAA&#10;AAAAAAAAAAAAAAAAAAAAW0NvbnRlbnRfVHlwZXNdLnhtbFBLAQItABQABgAIAAAAIQBa9CxbvwAA&#10;ABUBAAALAAAAAAAAAAAAAAAAAB8BAABfcmVscy8ucmVsc1BLAQItABQABgAIAAAAIQC4uIBkywAA&#10;AOIAAAAPAAAAAAAAAAAAAAAAAAcCAABkcnMvZG93bnJldi54bWxQSwUGAAAAAAMAAwC3AAAA/wIA&#10;AAAA&#10;" fillcolor="#dcd6cf" stroked="f" strokeweight="1pt">
                  <v:textbox>
                    <w:txbxContent>
                      <w:p w14:paraId="6B56F894" w14:textId="77777777" w:rsidR="00D42579" w:rsidRPr="00AF7BFA" w:rsidRDefault="00D42579" w:rsidP="00D42579">
                        <w:pPr>
                          <w:jc w:val="center"/>
                          <w:rPr>
                            <w:b/>
                            <w:bCs/>
                            <w:sz w:val="18"/>
                            <w:szCs w:val="18"/>
                            <w:lang w:val="en-IN"/>
                          </w:rPr>
                        </w:pPr>
                        <w:r>
                          <w:rPr>
                            <w:b/>
                            <w:bCs/>
                            <w:sz w:val="18"/>
                            <w:szCs w:val="18"/>
                            <w:lang w:val="en-IN"/>
                          </w:rPr>
                          <w:t>-0.08</w:t>
                        </w:r>
                      </w:p>
                    </w:txbxContent>
                  </v:textbox>
                </v:rect>
                <v:rect id="Rectangle 135" o:spid="_x0000_s1043" style="position:absolute;left:4672;top:12074;width:670;height: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jsywAAAOIAAAAPAAAAZHJzL2Rvd25yZXYueG1sRI9Ba8JA&#10;FITvQv/D8oRepNnYQ9A0m2ALheqhovbQ4yP7moRm36bZNYn/visIHoeZ+YbJism0YqDeNZYVLKMY&#10;BHFpdcOVgq/T+9MKhPPIGlvLpOBCDor8YZZhqu3IBxqOvhIBwi5FBbX3XSqlK2sy6CLbEQfvx/YG&#10;fZB9JXWPY4CbVj7HcSINNhwWauzoraby93g2CuKFbV/PZmuq/WK7uxy+/8rmc6fU43zavIDwNPl7&#10;+Nb+0ArWy9U6SQIWrpfCHZD5PwAAAP//AwBQSwECLQAUAAYACAAAACEA2+H2y+4AAACFAQAAEwAA&#10;AAAAAAAAAAAAAAAAAAAAW0NvbnRlbnRfVHlwZXNdLnhtbFBLAQItABQABgAIAAAAIQBa9CxbvwAA&#10;ABUBAAALAAAAAAAAAAAAAAAAAB8BAABfcmVscy8ucmVsc1BLAQItABQABgAIAAAAIQAolhjsywAA&#10;AOIAAAAPAAAAAAAAAAAAAAAAAAcCAABkcnMvZG93bnJldi54bWxQSwUGAAAAAAMAAwC3AAAA/wIA&#10;AAAA&#10;" fillcolor="#dcd6cf" stroked="f" strokeweight="1pt">
                  <v:textbox>
                    <w:txbxContent>
                      <w:p w14:paraId="028B3FE7" w14:textId="77777777" w:rsidR="00D42579" w:rsidRPr="00EA3AF3" w:rsidRDefault="00D42579" w:rsidP="00D42579">
                        <w:pPr>
                          <w:jc w:val="center"/>
                          <w:rPr>
                            <w:b/>
                            <w:bCs/>
                            <w:sz w:val="18"/>
                            <w:szCs w:val="18"/>
                            <w:lang w:val="en-IN"/>
                          </w:rPr>
                        </w:pPr>
                        <w:r>
                          <w:rPr>
                            <w:b/>
                            <w:bCs/>
                            <w:sz w:val="18"/>
                            <w:szCs w:val="18"/>
                            <w:lang w:val="en-IN"/>
                          </w:rPr>
                          <w:t>-1.16</w:t>
                        </w:r>
                      </w:p>
                    </w:txbxContent>
                  </v:textbox>
                </v:rect>
                <v:rect id="Rectangle 136" o:spid="_x0000_s1044" style="position:absolute;left:5860;top:12074;width:670;height: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hrzQAAAOMAAAAPAAAAZHJzL2Rvd25yZXYueG1sRI9BT8JA&#10;EIXvJP6HzZhwIbKrVTGVhSgJCXDAgB48Trpj29idrd0Fyr93DiQcZ96b976ZznvfqCN1sQ5s4X5s&#10;QBEXwdVcWvj6XN69gIoJ2WETmCycKcJ8djOYYu7CiXd03KdSSQjHHC1UKbW51rGoyGMch5ZYtJ/Q&#10;eUwydqV2HZ4k3Df6wZhn7bFmaaiwpUVFxe/+4C2YUWjeD37ty4/RenPeff8V9XZj7fC2f3sFlahP&#10;V/PleuUEP5s8TbJHkwm0/CQL0LN/AAAA//8DAFBLAQItABQABgAIAAAAIQDb4fbL7gAAAIUBAAAT&#10;AAAAAAAAAAAAAAAAAAAAAABbQ29udGVudF9UeXBlc10ueG1sUEsBAi0AFAAGAAgAAAAhAFr0LFu/&#10;AAAAFQEAAAsAAAAAAAAAAAAAAAAAHwEAAF9yZWxzLy5yZWxzUEsBAi0AFAAGAAgAAAAhADoOmGvN&#10;AAAA4wAAAA8AAAAAAAAAAAAAAAAABwIAAGRycy9kb3ducmV2LnhtbFBLBQYAAAAAAwADALcAAAAB&#10;AwAAAAA=&#10;" fillcolor="#dcd6cf" stroked="f" strokeweight="1pt">
                  <v:textbox>
                    <w:txbxContent>
                      <w:p w14:paraId="331F3764" w14:textId="77777777" w:rsidR="00D42579" w:rsidRPr="00EA3AF3" w:rsidRDefault="00D42579" w:rsidP="00D42579">
                        <w:pPr>
                          <w:jc w:val="center"/>
                          <w:rPr>
                            <w:b/>
                            <w:bCs/>
                            <w:sz w:val="18"/>
                            <w:szCs w:val="18"/>
                            <w:lang w:val="en-IN"/>
                          </w:rPr>
                        </w:pPr>
                        <w:r>
                          <w:rPr>
                            <w:b/>
                            <w:bCs/>
                            <w:sz w:val="18"/>
                            <w:szCs w:val="18"/>
                            <w:lang w:val="en-IN"/>
                          </w:rPr>
                          <w:t>0.89</w:t>
                        </w:r>
                      </w:p>
                    </w:txbxContent>
                  </v:textbox>
                </v:rect>
                <v:rect id="Rectangle 137" o:spid="_x0000_s1045" style="position:absolute;left:7150;top:12074;width:670;height: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f4ywAAAOIAAAAPAAAAZHJzL2Rvd25yZXYueG1sRI9PawIx&#10;FMTvQr9DeAUvUhOt/1iNooVC9WBRe+jxsXndXbp5WTdR129vBMHjMDO/YWaLxpbiTLUvHGvodRUI&#10;4tSZgjMNP4fPtwkIH5ANlo5Jw5U8LOYvrRkmxl14R+d9yESEsE9QQx5ClUjp05ws+q6riKP352qL&#10;Ico6k6bGS4TbUvaVGkmLBceFHCv6yCn935+sBtVx5epk1zb77qw3193vMS22G63br81yCiJQE57h&#10;R/vLaBio8aj33h8O4X4p3gE5vwEAAP//AwBQSwECLQAUAAYACAAAACEA2+H2y+4AAACFAQAAEwAA&#10;AAAAAAAAAAAAAAAAAAAAW0NvbnRlbnRfVHlwZXNdLnhtbFBLAQItABQABgAIAAAAIQBa9CxbvwAA&#10;ABUBAAALAAAAAAAAAAAAAAAAAB8BAABfcmVscy8ucmVsc1BLAQItABQABgAIAAAAIQDQZPf4ywAA&#10;AOIAAAAPAAAAAAAAAAAAAAAAAAcCAABkcnMvZG93bnJldi54bWxQSwUGAAAAAAMAAwC3AAAA/wIA&#10;AAAA&#10;" fillcolor="#dcd6cf" stroked="f" strokeweight="1pt">
                  <v:textbox>
                    <w:txbxContent>
                      <w:p w14:paraId="4F9CD331" w14:textId="77777777" w:rsidR="00D42579" w:rsidRPr="00450184" w:rsidRDefault="00D42579" w:rsidP="00D42579">
                        <w:pPr>
                          <w:jc w:val="center"/>
                          <w:rPr>
                            <w:b/>
                            <w:bCs/>
                            <w:sz w:val="18"/>
                            <w:szCs w:val="18"/>
                          </w:rPr>
                        </w:pPr>
                        <w:r>
                          <w:rPr>
                            <w:b/>
                            <w:bCs/>
                            <w:sz w:val="18"/>
                            <w:szCs w:val="18"/>
                          </w:rPr>
                          <w:t>0</w:t>
                        </w:r>
                        <w:r w:rsidRPr="00450184">
                          <w:rPr>
                            <w:b/>
                            <w:bCs/>
                            <w:sz w:val="18"/>
                            <w:szCs w:val="18"/>
                          </w:rPr>
                          <w:t>.</w:t>
                        </w:r>
                        <w:r>
                          <w:rPr>
                            <w:b/>
                            <w:bCs/>
                            <w:sz w:val="18"/>
                            <w:szCs w:val="18"/>
                          </w:rPr>
                          <w:t>70</w:t>
                        </w:r>
                      </w:p>
                    </w:txbxContent>
                  </v:textbox>
                </v:rect>
                <v:rect id="Rectangle 138" o:spid="_x0000_s1046" style="position:absolute;left:8406;top:12074;width:687;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cZygAAAOIAAAAPAAAAZHJzL2Rvd25yZXYueG1sRI9Ba8JA&#10;FITvBf/D8oRepO4mQpHUNWih0OTQovbQ4yP7TILZt2l21fjvu4WCx2FmvmFW+Wg7caHBt441JHMF&#10;grhypuVaw9fh7WkJwgdkg51j0nAjD/l68rDCzLgr7+iyD7WIEPYZamhC6DMpfdWQRT93PXH0jm6w&#10;GKIcamkGvEa47WSq1LO02HJcaLCn14aq0/5sNaiZ67ZnW9j6c1aUt933T9V+lFo/TsfNC4hAY7iH&#10;/9vvRkO6SCIzVQv4uxTvgFz/AgAA//8DAFBLAQItABQABgAIAAAAIQDb4fbL7gAAAIUBAAATAAAA&#10;AAAAAAAAAAAAAAAAAABbQ29udGVudF9UeXBlc10ueG1sUEsBAi0AFAAGAAgAAAAhAFr0LFu/AAAA&#10;FQEAAAsAAAAAAAAAAAAAAAAAHwEAAF9yZWxzLy5yZWxzUEsBAi0AFAAGAAgAAAAhAMhNNxnKAAAA&#10;4gAAAA8AAAAAAAAAAAAAAAAABwIAAGRycy9kb3ducmV2LnhtbFBLBQYAAAAAAwADALcAAAD+AgAA&#10;AAA=&#10;" fillcolor="#dcd6cf" stroked="f" strokeweight="1pt">
                  <v:textbox>
                    <w:txbxContent>
                      <w:p w14:paraId="4E5EE3CE" w14:textId="77777777" w:rsidR="00D42579" w:rsidRPr="00450184" w:rsidRDefault="00D42579" w:rsidP="00D42579">
                        <w:pPr>
                          <w:jc w:val="center"/>
                          <w:rPr>
                            <w:b/>
                            <w:bCs/>
                            <w:sz w:val="18"/>
                            <w:szCs w:val="18"/>
                          </w:rPr>
                        </w:pPr>
                        <w:r w:rsidRPr="00450184">
                          <w:rPr>
                            <w:b/>
                            <w:bCs/>
                            <w:sz w:val="18"/>
                            <w:szCs w:val="18"/>
                          </w:rPr>
                          <w:t>1.</w:t>
                        </w:r>
                        <w:r>
                          <w:rPr>
                            <w:b/>
                            <w:bCs/>
                            <w:sz w:val="18"/>
                            <w:szCs w:val="18"/>
                          </w:rPr>
                          <w:t>61</w:t>
                        </w:r>
                      </w:p>
                    </w:txbxContent>
                  </v:textbox>
                </v:rect>
                <w10:wrap anchorx="margin"/>
              </v:group>
            </w:pict>
          </mc:Fallback>
        </mc:AlternateContent>
      </w:r>
    </w:p>
    <w:p w14:paraId="634BC2C9" w14:textId="77777777" w:rsidR="00D42579" w:rsidRPr="004521AB" w:rsidRDefault="00D42579" w:rsidP="00D42579">
      <w:pPr>
        <w:spacing w:after="200" w:line="276" w:lineRule="auto"/>
        <w:ind w:right="450"/>
        <w:rPr>
          <w:rFonts w:eastAsiaTheme="minorEastAsia" w:cs="Times New Roman"/>
          <w:i/>
          <w:color w:val="auto"/>
          <w:kern w:val="0"/>
          <w:sz w:val="16"/>
          <w:szCs w:val="22"/>
          <w:lang w:val="en-GB"/>
          <w14:ligatures w14:val="none"/>
        </w:rPr>
      </w:pPr>
      <w:r w:rsidRPr="00575298">
        <w:rPr>
          <w:rFonts w:eastAsiaTheme="minorEastAsia" w:cs="Times New Roman"/>
          <w:i/>
          <w:noProof/>
          <w:color w:val="auto"/>
          <w:kern w:val="0"/>
          <w:sz w:val="16"/>
          <w:szCs w:val="22"/>
          <w14:ligatures w14:val="none"/>
        </w:rPr>
        <w:drawing>
          <wp:inline distT="0" distB="0" distL="0" distR="0" wp14:anchorId="0418522D" wp14:editId="34154B8F">
            <wp:extent cx="6463665" cy="2009869"/>
            <wp:effectExtent l="0" t="0" r="0" b="9525"/>
            <wp:docPr id="1626606962" name="Chart 1">
              <a:extLst xmlns:a="http://schemas.openxmlformats.org/drawingml/2006/main">
                <a:ext uri="{FF2B5EF4-FFF2-40B4-BE49-F238E27FC236}">
                  <a16:creationId xmlns:a16="http://schemas.microsoft.com/office/drawing/2014/main" id="{92D64E63-DEAF-6CCB-EF32-B97ABE202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7C95FF" w14:textId="77777777" w:rsidR="00D42579" w:rsidRPr="004521AB" w:rsidRDefault="00D42579" w:rsidP="00D42579">
      <w:pPr>
        <w:spacing w:after="0" w:line="276" w:lineRule="auto"/>
        <w:ind w:right="446"/>
        <w:rPr>
          <w:rFonts w:eastAsiaTheme="minorEastAsia" w:cs="Times New Roman"/>
          <w:i/>
          <w:color w:val="auto"/>
          <w:kern w:val="0"/>
          <w:sz w:val="16"/>
          <w:szCs w:val="22"/>
          <w:lang w:val="en-GB"/>
          <w14:ligatures w14:val="none"/>
        </w:rPr>
      </w:pPr>
      <w:r w:rsidRPr="004521AB">
        <w:rPr>
          <w:rFonts w:eastAsiaTheme="minorEastAsia" w:cs="Times New Roman"/>
          <w:i/>
          <w:color w:val="auto"/>
          <w:kern w:val="0"/>
          <w:sz w:val="16"/>
          <w:szCs w:val="22"/>
          <w:lang w:val="en-GB"/>
          <w14:ligatures w14:val="none"/>
        </w:rPr>
        <w:t>Note: All figures are adjusted to calendar year and the grey boxes represent the ratio of growth rate of India’s cement demand and real GDP; the GDP growth rates are from IMF; CY- Calendar Year</w:t>
      </w:r>
    </w:p>
    <w:p w14:paraId="029356F2" w14:textId="77777777" w:rsidR="00D42579" w:rsidRPr="004521AB" w:rsidRDefault="00D42579" w:rsidP="00D42579">
      <w:pPr>
        <w:spacing w:before="0" w:after="200" w:line="276" w:lineRule="auto"/>
        <w:ind w:right="446"/>
        <w:rPr>
          <w:rFonts w:eastAsiaTheme="minorEastAsia" w:cs="Times New Roman"/>
          <w:i/>
          <w:color w:val="auto"/>
          <w:kern w:val="0"/>
          <w:sz w:val="16"/>
          <w:szCs w:val="22"/>
          <w:lang w:val="en-GB"/>
          <w14:ligatures w14:val="none"/>
        </w:rPr>
      </w:pPr>
      <w:r w:rsidRPr="004521AB">
        <w:rPr>
          <w:rFonts w:eastAsiaTheme="minorEastAsia" w:cs="Times New Roman"/>
          <w:i/>
          <w:color w:val="auto"/>
          <w:kern w:val="0"/>
          <w:sz w:val="16"/>
          <w:szCs w:val="22"/>
          <w:lang w:val="en-GB"/>
          <w14:ligatures w14:val="none"/>
        </w:rPr>
        <w:t>Source: Crisil Intelligence, IMF</w:t>
      </w:r>
    </w:p>
    <w:p w14:paraId="5D004D17" w14:textId="77777777" w:rsidR="00A16331" w:rsidRPr="009F7BC1" w:rsidRDefault="00A16331" w:rsidP="00A16331">
      <w:pPr>
        <w:pStyle w:val="Heading2"/>
        <w:ind w:right="450"/>
      </w:pPr>
      <w:bookmarkStart w:id="304" w:name="_Toc198730365"/>
      <w:r w:rsidRPr="009F7BC1">
        <w:t>Coal’s dominance in India’s energy and power sectors</w:t>
      </w:r>
      <w:bookmarkEnd w:id="304"/>
      <w:r w:rsidRPr="009F7BC1">
        <w:t xml:space="preserve"> </w:t>
      </w:r>
    </w:p>
    <w:p w14:paraId="6F9A4AD0" w14:textId="77777777" w:rsidR="00A16331" w:rsidRPr="004521AB" w:rsidRDefault="00A16331" w:rsidP="00A16331">
      <w:pPr>
        <w:spacing w:before="160" w:after="120"/>
        <w:ind w:right="450"/>
        <w:rPr>
          <w:szCs w:val="20"/>
        </w:rPr>
      </w:pPr>
      <w:r w:rsidRPr="004521AB">
        <w:rPr>
          <w:szCs w:val="20"/>
        </w:rPr>
        <w:t xml:space="preserve">The growth in coal consumption parallels India's economic expansion over the past decade. The increased demand for energy, particularly from coal, highlights the country's industrial and infrastructural growth. As of 2023, India accounted for 13% of global coal consumption, standing as the second-largest consumer after China (which dominates with a 56% share). In terms of absolute figures, India's coal consumption, measured in EJ, has risen significantly. In 2013, India's coal consumption stood at 14.4 EJ. By 2023, this figure escalated to 21.9 EJ, underscoring a substantial increase in energy demand within the country. </w:t>
      </w:r>
    </w:p>
    <w:p w14:paraId="379BEF79" w14:textId="1C4F9058" w:rsidR="00500E45" w:rsidRPr="00850186" w:rsidRDefault="00500E45" w:rsidP="00500E45">
      <w:pPr>
        <w:pStyle w:val="Heading2"/>
        <w:ind w:right="112"/>
      </w:pPr>
      <w:bookmarkStart w:id="305" w:name="_Toc198730366"/>
      <w:r w:rsidRPr="00850186">
        <w:t>Analysis of regulatory frameworks and policies governing coal sector</w:t>
      </w:r>
      <w:bookmarkEnd w:id="305"/>
      <w:r w:rsidRPr="00850186">
        <w:t xml:space="preserve"> </w:t>
      </w:r>
    </w:p>
    <w:p w14:paraId="743ECC65" w14:textId="0605D658" w:rsidR="00500E45" w:rsidRPr="004521AB" w:rsidRDefault="00500E45" w:rsidP="00500E45">
      <w:pPr>
        <w:keepNext/>
        <w:keepLines/>
        <w:spacing w:before="160"/>
        <w:ind w:right="432"/>
        <w:rPr>
          <w:rFonts w:eastAsia="Times New Roman" w:cs="Book Antiqua"/>
          <w:b/>
          <w:bCs/>
          <w:kern w:val="0"/>
          <w:szCs w:val="16"/>
          <w:lang w:val="en-GB" w:eastAsia="en-IN"/>
          <w14:ligatures w14:val="none"/>
        </w:rPr>
      </w:pPr>
      <w:bookmarkStart w:id="306" w:name="_Toc198731506"/>
      <w:r w:rsidRPr="004521AB">
        <w:rPr>
          <w:rFonts w:eastAsia="Times New Roman" w:cs="Book Antiqua"/>
          <w:b/>
          <w:bCs/>
          <w:color w:val="auto"/>
          <w:kern w:val="0"/>
          <w:szCs w:val="16"/>
          <w:lang w:eastAsia="en-IN"/>
          <w14:ligatures w14:val="none"/>
        </w:rPr>
        <w:t xml:space="preserve">Figure </w:t>
      </w:r>
      <w:r w:rsidRPr="004521AB">
        <w:rPr>
          <w:rFonts w:eastAsia="Times New Roman" w:cs="Book Antiqua"/>
          <w:b/>
          <w:bCs/>
          <w:color w:val="auto"/>
          <w:kern w:val="0"/>
          <w:szCs w:val="16"/>
          <w:lang w:eastAsia="en-IN"/>
          <w14:ligatures w14:val="none"/>
        </w:rPr>
        <w:fldChar w:fldCharType="begin"/>
      </w:r>
      <w:r w:rsidRPr="004521AB">
        <w:rPr>
          <w:rFonts w:eastAsia="Times New Roman" w:cs="Book Antiqua"/>
          <w:b/>
          <w:bCs/>
          <w:color w:val="auto"/>
          <w:kern w:val="0"/>
          <w:szCs w:val="16"/>
          <w:lang w:eastAsia="en-IN"/>
          <w14:ligatures w14:val="none"/>
        </w:rPr>
        <w:instrText xml:space="preserve"> STYLEREF 1 \s </w:instrText>
      </w:r>
      <w:r w:rsidRPr="004521AB">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2</w:t>
      </w:r>
      <w:r w:rsidRPr="004521AB">
        <w:rPr>
          <w:rFonts w:eastAsia="Times New Roman" w:cs="Book Antiqua"/>
          <w:b/>
          <w:bCs/>
          <w:color w:val="auto"/>
          <w:kern w:val="0"/>
          <w:szCs w:val="16"/>
          <w:lang w:eastAsia="en-IN"/>
          <w14:ligatures w14:val="none"/>
        </w:rPr>
        <w:fldChar w:fldCharType="end"/>
      </w:r>
      <w:r w:rsidRPr="004521AB">
        <w:rPr>
          <w:rFonts w:eastAsia="Times New Roman" w:cs="Book Antiqua"/>
          <w:b/>
          <w:bCs/>
          <w:color w:val="auto"/>
          <w:kern w:val="0"/>
          <w:szCs w:val="16"/>
          <w:lang w:eastAsia="en-IN"/>
          <w14:ligatures w14:val="none"/>
        </w:rPr>
        <w:t>.</w:t>
      </w:r>
      <w:r w:rsidRPr="004521AB">
        <w:rPr>
          <w:rFonts w:eastAsia="Times New Roman" w:cs="Book Antiqua"/>
          <w:b/>
          <w:bCs/>
          <w:color w:val="auto"/>
          <w:kern w:val="0"/>
          <w:szCs w:val="16"/>
          <w:lang w:eastAsia="en-IN"/>
          <w14:ligatures w14:val="none"/>
        </w:rPr>
        <w:fldChar w:fldCharType="begin"/>
      </w:r>
      <w:r w:rsidRPr="004521AB">
        <w:rPr>
          <w:rFonts w:eastAsia="Times New Roman" w:cs="Book Antiqua"/>
          <w:b/>
          <w:bCs/>
          <w:color w:val="auto"/>
          <w:kern w:val="0"/>
          <w:szCs w:val="16"/>
          <w:lang w:eastAsia="en-IN"/>
          <w14:ligatures w14:val="none"/>
        </w:rPr>
        <w:instrText xml:space="preserve"> SEQ Figure \* ARABIC \s 1 </w:instrText>
      </w:r>
      <w:r w:rsidRPr="004521AB">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8</w:t>
      </w:r>
      <w:r w:rsidRPr="004521AB">
        <w:rPr>
          <w:rFonts w:eastAsia="Times New Roman" w:cs="Book Antiqua"/>
          <w:b/>
          <w:bCs/>
          <w:color w:val="auto"/>
          <w:kern w:val="0"/>
          <w:szCs w:val="16"/>
          <w:lang w:eastAsia="en-IN"/>
          <w14:ligatures w14:val="none"/>
        </w:rPr>
        <w:fldChar w:fldCharType="end"/>
      </w:r>
      <w:r w:rsidRPr="004521AB">
        <w:rPr>
          <w:rFonts w:eastAsia="Times New Roman" w:cs="Book Antiqua"/>
          <w:b/>
          <w:bCs/>
          <w:kern w:val="0"/>
          <w:szCs w:val="16"/>
          <w:lang w:val="en-GB" w:eastAsia="en-IN"/>
          <w14:ligatures w14:val="none"/>
        </w:rPr>
        <w:t>: Coal sector: From nationalisation to commercialisation</w:t>
      </w:r>
      <w:bookmarkEnd w:id="306"/>
    </w:p>
    <w:p w14:paraId="28343DEC" w14:textId="77777777" w:rsidR="00500E45" w:rsidRPr="004521AB" w:rsidRDefault="00500E45" w:rsidP="00500E45">
      <w:pPr>
        <w:spacing w:before="160" w:after="120"/>
        <w:ind w:right="432"/>
        <w:rPr>
          <w:lang w:val="en-GB" w:eastAsia="en-IN"/>
        </w:rPr>
      </w:pPr>
      <w:r w:rsidRPr="004521AB">
        <w:rPr>
          <w:noProof/>
          <w:lang w:val="en-GB" w:eastAsia="en-IN"/>
        </w:rPr>
        <w:drawing>
          <wp:inline distT="0" distB="0" distL="0" distR="0" wp14:anchorId="156AA0CB" wp14:editId="53E4EEC3">
            <wp:extent cx="6305384" cy="1823728"/>
            <wp:effectExtent l="0" t="0" r="0" b="5080"/>
            <wp:docPr id="144391239" name="Picture 301" descr="A computer screen shot of 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19411" name="Picture 301" descr="A computer screen shot of a networ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1304" cy="1845687"/>
                    </a:xfrm>
                    <a:prstGeom prst="rect">
                      <a:avLst/>
                    </a:prstGeom>
                    <a:noFill/>
                  </pic:spPr>
                </pic:pic>
              </a:graphicData>
            </a:graphic>
          </wp:inline>
        </w:drawing>
      </w:r>
      <w:r w:rsidRPr="004521AB">
        <w:rPr>
          <w:rFonts w:eastAsiaTheme="minorEastAsia"/>
          <w:i/>
          <w:sz w:val="16"/>
          <w:szCs w:val="15"/>
        </w:rPr>
        <w:t>Source: Crisil Intelligence</w:t>
      </w:r>
    </w:p>
    <w:p w14:paraId="77384AB1" w14:textId="77777777" w:rsidR="00500E45" w:rsidRPr="004521AB" w:rsidRDefault="00500E45" w:rsidP="00500E45">
      <w:pPr>
        <w:spacing w:before="160" w:after="120"/>
        <w:ind w:right="450"/>
      </w:pPr>
      <w:r w:rsidRPr="004521AB">
        <w:t xml:space="preserve">Participation in coal block auctions was no longer limited to captive users but open to any player, including international ones for mining and selling coal from India. In August 2020, 100% FDI was allowed, removing the last significant vestige of regulation in the coal mining industry. Recently, existing captive allottees have been allowed to sell up to 50% of their coal production in the open market subject to meeting end use plant requirement. Subsequently, </w:t>
      </w:r>
      <w:r>
        <w:t>eleven</w:t>
      </w:r>
      <w:r w:rsidRPr="004521AB">
        <w:t xml:space="preserve"> rounds of commercial coal block auctions have been concluded so far, resulting in successful auctions of 1</w:t>
      </w:r>
      <w:r>
        <w:t>25</w:t>
      </w:r>
      <w:r w:rsidRPr="004521AB">
        <w:t xml:space="preserve"> blocks. The 1</w:t>
      </w:r>
      <w:r>
        <w:t>2</w:t>
      </w:r>
      <w:r w:rsidRPr="004521AB">
        <w:rPr>
          <w:vertAlign w:val="superscript"/>
        </w:rPr>
        <w:t>th</w:t>
      </w:r>
      <w:r w:rsidRPr="004521AB">
        <w:t xml:space="preserve"> round (Tranche X</w:t>
      </w:r>
      <w:r>
        <w:t>II</w:t>
      </w:r>
      <w:r w:rsidRPr="004521AB">
        <w:t xml:space="preserve">) was launched with Notice Inviting Tender (NIT) on </w:t>
      </w:r>
      <w:r>
        <w:t>March</w:t>
      </w:r>
      <w:r w:rsidRPr="004521AB">
        <w:t xml:space="preserve"> 2</w:t>
      </w:r>
      <w:r>
        <w:t>7</w:t>
      </w:r>
      <w:r w:rsidRPr="004521AB">
        <w:t>, 202</w:t>
      </w:r>
      <w:r>
        <w:t>5</w:t>
      </w:r>
      <w:r w:rsidRPr="004521AB">
        <w:t xml:space="preserve">, and is underway (as of </w:t>
      </w:r>
      <w:r>
        <w:t>May</w:t>
      </w:r>
      <w:r w:rsidRPr="004521AB">
        <w:t xml:space="preserve"> 202</w:t>
      </w:r>
      <w:r>
        <w:t>5</w:t>
      </w:r>
      <w:r w:rsidRPr="004521AB">
        <w:t xml:space="preserve">). </w:t>
      </w:r>
    </w:p>
    <w:p w14:paraId="45965ED6" w14:textId="215226A1" w:rsidR="00500E45" w:rsidRPr="004521AB" w:rsidRDefault="00500E45" w:rsidP="00500E45">
      <w:pPr>
        <w:keepNext/>
        <w:keepLines/>
        <w:spacing w:before="160" w:line="276" w:lineRule="auto"/>
        <w:ind w:right="450"/>
        <w:rPr>
          <w:rFonts w:eastAsia="Times New Roman" w:cs="Book Antiqua"/>
          <w:b/>
          <w:bCs/>
          <w:kern w:val="0"/>
          <w:szCs w:val="16"/>
          <w:lang w:val="en-GB" w:eastAsia="en-IN"/>
          <w14:ligatures w14:val="none"/>
        </w:rPr>
      </w:pPr>
      <w:bookmarkStart w:id="307" w:name="_Toc198731507"/>
      <w:r w:rsidRPr="004521AB">
        <w:rPr>
          <w:rFonts w:eastAsia="Times New Roman" w:cs="Book Antiqua"/>
          <w:b/>
          <w:bCs/>
          <w:color w:val="auto"/>
          <w:kern w:val="0"/>
          <w:szCs w:val="16"/>
          <w:lang w:eastAsia="en-IN"/>
          <w14:ligatures w14:val="none"/>
        </w:rPr>
        <w:t xml:space="preserve">Figure </w:t>
      </w:r>
      <w:r w:rsidRPr="004521AB">
        <w:rPr>
          <w:rFonts w:eastAsia="Times New Roman" w:cs="Book Antiqua"/>
          <w:b/>
          <w:bCs/>
          <w:color w:val="auto"/>
          <w:kern w:val="0"/>
          <w:szCs w:val="16"/>
          <w:lang w:eastAsia="en-IN"/>
          <w14:ligatures w14:val="none"/>
        </w:rPr>
        <w:fldChar w:fldCharType="begin"/>
      </w:r>
      <w:r w:rsidRPr="004521AB">
        <w:rPr>
          <w:rFonts w:eastAsia="Times New Roman" w:cs="Book Antiqua"/>
          <w:b/>
          <w:bCs/>
          <w:color w:val="auto"/>
          <w:kern w:val="0"/>
          <w:szCs w:val="16"/>
          <w:lang w:eastAsia="en-IN"/>
          <w14:ligatures w14:val="none"/>
        </w:rPr>
        <w:instrText xml:space="preserve"> STYLEREF 1 \s </w:instrText>
      </w:r>
      <w:r w:rsidRPr="004521AB">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2</w:t>
      </w:r>
      <w:r w:rsidRPr="004521AB">
        <w:rPr>
          <w:rFonts w:eastAsia="Times New Roman" w:cs="Book Antiqua"/>
          <w:b/>
          <w:bCs/>
          <w:color w:val="auto"/>
          <w:kern w:val="0"/>
          <w:szCs w:val="16"/>
          <w:lang w:eastAsia="en-IN"/>
          <w14:ligatures w14:val="none"/>
        </w:rPr>
        <w:fldChar w:fldCharType="end"/>
      </w:r>
      <w:r w:rsidRPr="004521AB">
        <w:rPr>
          <w:rFonts w:eastAsia="Times New Roman" w:cs="Book Antiqua"/>
          <w:b/>
          <w:bCs/>
          <w:color w:val="auto"/>
          <w:kern w:val="0"/>
          <w:szCs w:val="16"/>
          <w:lang w:eastAsia="en-IN"/>
          <w14:ligatures w14:val="none"/>
        </w:rPr>
        <w:t>.</w:t>
      </w:r>
      <w:r w:rsidRPr="004521AB">
        <w:rPr>
          <w:rFonts w:eastAsia="Times New Roman" w:cs="Book Antiqua"/>
          <w:b/>
          <w:bCs/>
          <w:color w:val="auto"/>
          <w:kern w:val="0"/>
          <w:szCs w:val="16"/>
          <w:lang w:eastAsia="en-IN"/>
          <w14:ligatures w14:val="none"/>
        </w:rPr>
        <w:fldChar w:fldCharType="begin"/>
      </w:r>
      <w:r w:rsidRPr="004521AB">
        <w:rPr>
          <w:rFonts w:eastAsia="Times New Roman" w:cs="Book Antiqua"/>
          <w:b/>
          <w:bCs/>
          <w:color w:val="auto"/>
          <w:kern w:val="0"/>
          <w:szCs w:val="16"/>
          <w:lang w:eastAsia="en-IN"/>
          <w14:ligatures w14:val="none"/>
        </w:rPr>
        <w:instrText xml:space="preserve"> SEQ Figure \* ARABIC \s 1 </w:instrText>
      </w:r>
      <w:r w:rsidRPr="004521AB">
        <w:rPr>
          <w:rFonts w:eastAsia="Times New Roman" w:cs="Book Antiqua"/>
          <w:b/>
          <w:bCs/>
          <w:color w:val="auto"/>
          <w:kern w:val="0"/>
          <w:szCs w:val="16"/>
          <w:lang w:eastAsia="en-IN"/>
          <w14:ligatures w14:val="none"/>
        </w:rPr>
        <w:fldChar w:fldCharType="separate"/>
      </w:r>
      <w:r w:rsidR="002142B9">
        <w:rPr>
          <w:rFonts w:eastAsia="Times New Roman" w:cs="Book Antiqua"/>
          <w:b/>
          <w:bCs/>
          <w:noProof/>
          <w:color w:val="auto"/>
          <w:kern w:val="0"/>
          <w:szCs w:val="16"/>
          <w:lang w:eastAsia="en-IN"/>
          <w14:ligatures w14:val="none"/>
        </w:rPr>
        <w:t>9</w:t>
      </w:r>
      <w:r w:rsidRPr="004521AB">
        <w:rPr>
          <w:rFonts w:eastAsia="Times New Roman" w:cs="Book Antiqua"/>
          <w:b/>
          <w:bCs/>
          <w:color w:val="auto"/>
          <w:kern w:val="0"/>
          <w:szCs w:val="16"/>
          <w:lang w:eastAsia="en-IN"/>
          <w14:ligatures w14:val="none"/>
        </w:rPr>
        <w:fldChar w:fldCharType="end"/>
      </w:r>
      <w:r w:rsidRPr="004521AB">
        <w:rPr>
          <w:rFonts w:eastAsia="Times New Roman" w:cs="Book Antiqua"/>
          <w:b/>
          <w:bCs/>
          <w:kern w:val="0"/>
          <w:szCs w:val="16"/>
          <w:lang w:val="en-GB" w:eastAsia="en-IN"/>
          <w14:ligatures w14:val="none"/>
        </w:rPr>
        <w:t>: Key policies influencing the coal market</w:t>
      </w:r>
      <w:bookmarkEnd w:id="307"/>
    </w:p>
    <w:p w14:paraId="34C11F5E" w14:textId="77777777" w:rsidR="00500E45" w:rsidRPr="004521AB" w:rsidRDefault="00500E45" w:rsidP="00500E45">
      <w:pPr>
        <w:tabs>
          <w:tab w:val="center" w:pos="4680"/>
          <w:tab w:val="right" w:pos="9720"/>
        </w:tabs>
        <w:spacing w:before="160" w:after="120" w:line="240" w:lineRule="auto"/>
        <w:ind w:right="450"/>
        <w:rPr>
          <w:rFonts w:eastAsiaTheme="minorEastAsia"/>
          <w:i/>
          <w:sz w:val="16"/>
          <w:szCs w:val="15"/>
        </w:rPr>
      </w:pPr>
      <w:r w:rsidRPr="004521AB">
        <w:rPr>
          <w:rFonts w:eastAsiaTheme="minorEastAsia"/>
          <w:i/>
          <w:noProof/>
          <w:sz w:val="16"/>
          <w:szCs w:val="15"/>
        </w:rPr>
        <mc:AlternateContent>
          <mc:Choice Requires="wpg">
            <w:drawing>
              <wp:inline distT="0" distB="0" distL="0" distR="0" wp14:anchorId="4CA3B7AD" wp14:editId="3FCA4210">
                <wp:extent cx="6583680" cy="2313829"/>
                <wp:effectExtent l="0" t="0" r="26670" b="0"/>
                <wp:docPr id="1254590190" name="Group 15"/>
                <wp:cNvGraphicFramePr/>
                <a:graphic xmlns:a="http://schemas.openxmlformats.org/drawingml/2006/main">
                  <a:graphicData uri="http://schemas.microsoft.com/office/word/2010/wordprocessingGroup">
                    <wpg:wgp>
                      <wpg:cNvGrpSpPr/>
                      <wpg:grpSpPr>
                        <a:xfrm>
                          <a:off x="0" y="0"/>
                          <a:ext cx="6583680" cy="2313829"/>
                          <a:chOff x="0" y="0"/>
                          <a:chExt cx="6465843" cy="2493991"/>
                        </a:xfrm>
                      </wpg:grpSpPr>
                      <wps:wsp>
                        <wps:cNvPr id="610177843" name="Rectangle 610177843"/>
                        <wps:cNvSpPr/>
                        <wps:spPr>
                          <a:xfrm>
                            <a:off x="1626369" y="47962"/>
                            <a:ext cx="4839474" cy="383691"/>
                          </a:xfrm>
                          <a:prstGeom prst="rect">
                            <a:avLst/>
                          </a:prstGeom>
                          <a:solidFill>
                            <a:srgbClr val="FFFFFF">
                              <a:alpha val="90000"/>
                              <a:tint val="40000"/>
                              <a:hueOff val="0"/>
                              <a:satOff val="0"/>
                              <a:lumOff val="0"/>
                              <a:alphaOff val="0"/>
                            </a:srgbClr>
                          </a:solidFill>
                          <a:ln w="12700" cap="flat" cmpd="sng" algn="ctr">
                            <a:solidFill>
                              <a:srgbClr val="FFFFFF">
                                <a:lumMod val="85000"/>
                              </a:srgbClr>
                            </a:solidFill>
                            <a:prstDash val="solid"/>
                            <a:miter lim="800000"/>
                          </a:ln>
                          <a:effectLst/>
                        </wps:spPr>
                        <wps:txbx>
                          <w:txbxContent>
                            <w:p w14:paraId="6D7E769F"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Guiding policy for sale and distribution of coal in India, introduced Letter of Assurance (LoA)-Fuel Supply Agreement (FSA) regime, sale via nominated agencies and e-auction of coal</w:t>
                              </w:r>
                            </w:p>
                          </w:txbxContent>
                        </wps:txbx>
                        <wps:bodyPr spcFirstLastPara="0" vert="horz" wrap="square" lIns="180000" tIns="0" rIns="180000" bIns="0" numCol="1" spcCol="1270" anchor="ctr" anchorCtr="0">
                          <a:noAutofit/>
                        </wps:bodyPr>
                      </wps:wsp>
                      <wps:wsp>
                        <wps:cNvPr id="92860416" name="Rectangle 92860416"/>
                        <wps:cNvSpPr/>
                        <wps:spPr>
                          <a:xfrm>
                            <a:off x="0" y="0"/>
                            <a:ext cx="1626369" cy="479613"/>
                          </a:xfrm>
                          <a:prstGeom prst="rect">
                            <a:avLst/>
                          </a:prstGeom>
                          <a:solidFill>
                            <a:srgbClr val="F1A649"/>
                          </a:solidFill>
                          <a:ln w="12700" cap="flat" cmpd="sng" algn="ctr">
                            <a:noFill/>
                            <a:prstDash val="solid"/>
                            <a:miter lim="800000"/>
                          </a:ln>
                          <a:effectLst/>
                        </wps:spPr>
                        <wps:txbx>
                          <w:txbxContent>
                            <w:p w14:paraId="4EEE1B3C"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National Coal Distribution Policy 2007</w:t>
                              </w:r>
                            </w:p>
                          </w:txbxContent>
                        </wps:txbx>
                        <wps:bodyPr spcFirstLastPara="0" vert="horz" wrap="square" lIns="61513" tIns="42463" rIns="61513" bIns="42463" numCol="1" spcCol="1270" anchor="ctr" anchorCtr="0">
                          <a:noAutofit/>
                        </wps:bodyPr>
                      </wps:wsp>
                      <wps:wsp>
                        <wps:cNvPr id="519311819" name="Rectangle 519311819"/>
                        <wps:cNvSpPr/>
                        <wps:spPr>
                          <a:xfrm>
                            <a:off x="1626369" y="551499"/>
                            <a:ext cx="4839474" cy="383691"/>
                          </a:xfrm>
                          <a:prstGeom prst="rect">
                            <a:avLst/>
                          </a:prstGeom>
                          <a:solidFill>
                            <a:srgbClr val="FFFFFF">
                              <a:alpha val="90000"/>
                              <a:tint val="40000"/>
                              <a:hueOff val="0"/>
                              <a:satOff val="0"/>
                              <a:lumOff val="0"/>
                              <a:alphaOff val="0"/>
                            </a:srgbClr>
                          </a:solidFill>
                          <a:ln w="12700" cap="flat" cmpd="sng" algn="ctr">
                            <a:solidFill>
                              <a:srgbClr val="FFFFFF">
                                <a:lumMod val="85000"/>
                              </a:srgbClr>
                            </a:solidFill>
                            <a:prstDash val="solid"/>
                            <a:miter lim="800000"/>
                          </a:ln>
                          <a:effectLst/>
                        </wps:spPr>
                        <wps:txbx>
                          <w:txbxContent>
                            <w:p w14:paraId="18C3A2AC"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Auctions for allocation of coal block to end-users introduced</w:t>
                              </w:r>
                            </w:p>
                          </w:txbxContent>
                        </wps:txbx>
                        <wps:bodyPr spcFirstLastPara="0" vert="horz" wrap="square" lIns="180000" tIns="0" rIns="180000" bIns="0" numCol="1" spcCol="1270" anchor="ctr" anchorCtr="0">
                          <a:noAutofit/>
                        </wps:bodyPr>
                      </wps:wsp>
                      <wps:wsp>
                        <wps:cNvPr id="357928769" name="Rectangle 357928769"/>
                        <wps:cNvSpPr/>
                        <wps:spPr>
                          <a:xfrm>
                            <a:off x="0" y="1000737"/>
                            <a:ext cx="1626369" cy="479613"/>
                          </a:xfrm>
                          <a:prstGeom prst="rect">
                            <a:avLst/>
                          </a:prstGeom>
                          <a:solidFill>
                            <a:srgbClr val="C9D8E1">
                              <a:lumMod val="75000"/>
                            </a:srgbClr>
                          </a:solidFill>
                          <a:ln w="12700" cap="flat" cmpd="sng" algn="ctr">
                            <a:noFill/>
                            <a:prstDash val="solid"/>
                            <a:miter lim="800000"/>
                          </a:ln>
                          <a:effectLst/>
                        </wps:spPr>
                        <wps:txbx>
                          <w:txbxContent>
                            <w:p w14:paraId="6F3894CD"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Linkage Auction Policy 2016</w:t>
                              </w:r>
                            </w:p>
                          </w:txbxContent>
                        </wps:txbx>
                        <wps:bodyPr spcFirstLastPara="0" vert="horz" wrap="square" lIns="61513" tIns="42463" rIns="61513" bIns="42463" numCol="1" spcCol="1270" anchor="ctr" anchorCtr="0">
                          <a:noAutofit/>
                        </wps:bodyPr>
                      </wps:wsp>
                      <wps:wsp>
                        <wps:cNvPr id="842434949" name="Rectangle 842434949"/>
                        <wps:cNvSpPr/>
                        <wps:spPr>
                          <a:xfrm>
                            <a:off x="1626369" y="1054838"/>
                            <a:ext cx="4839474" cy="383691"/>
                          </a:xfrm>
                          <a:prstGeom prst="rect">
                            <a:avLst/>
                          </a:prstGeom>
                          <a:solidFill>
                            <a:srgbClr val="FFFFFF">
                              <a:alpha val="90000"/>
                              <a:tint val="40000"/>
                              <a:hueOff val="0"/>
                              <a:satOff val="0"/>
                              <a:lumOff val="0"/>
                              <a:alphaOff val="0"/>
                            </a:srgbClr>
                          </a:solidFill>
                          <a:ln w="12700" cap="flat" cmpd="sng" algn="ctr">
                            <a:solidFill>
                              <a:srgbClr val="FFFFFF">
                                <a:lumMod val="85000"/>
                              </a:srgbClr>
                            </a:solidFill>
                            <a:prstDash val="solid"/>
                            <a:miter lim="800000"/>
                          </a:ln>
                          <a:effectLst/>
                        </wps:spPr>
                        <wps:txbx>
                          <w:txbxContent>
                            <w:p w14:paraId="787993AA" w14:textId="77777777" w:rsidR="00500E45" w:rsidRPr="009B5B08" w:rsidRDefault="00500E45" w:rsidP="00500E45">
                              <w:pPr>
                                <w:kinsoku w:val="0"/>
                                <w:overflowPunct w:val="0"/>
                                <w:spacing w:after="120" w:line="240" w:lineRule="auto"/>
                                <w:textAlignment w:val="baseline"/>
                                <w:rPr>
                                  <w:kern w:val="24"/>
                                  <w:sz w:val="16"/>
                                  <w:szCs w:val="16"/>
                                </w:rPr>
                              </w:pPr>
                              <w:r w:rsidRPr="009B5B08">
                                <w:rPr>
                                  <w:kern w:val="24"/>
                                  <w:sz w:val="16"/>
                                  <w:szCs w:val="16"/>
                                </w:rPr>
                                <w:t>Policy for allocation of linkages to non-regulated sectors via auctions, prior FSAs are not renewed after the policy</w:t>
                              </w:r>
                            </w:p>
                          </w:txbxContent>
                        </wps:txbx>
                        <wps:bodyPr spcFirstLastPara="0" vert="horz" wrap="square" lIns="180000" tIns="0" rIns="180000" bIns="0" numCol="1" spcCol="1270" anchor="ctr" anchorCtr="0">
                          <a:noAutofit/>
                        </wps:bodyPr>
                      </wps:wsp>
                      <wps:wsp>
                        <wps:cNvPr id="1330710035" name="Rectangle 1330710035"/>
                        <wps:cNvSpPr/>
                        <wps:spPr>
                          <a:xfrm>
                            <a:off x="0" y="1509647"/>
                            <a:ext cx="1626369" cy="479613"/>
                          </a:xfrm>
                          <a:prstGeom prst="rect">
                            <a:avLst/>
                          </a:prstGeom>
                          <a:solidFill>
                            <a:srgbClr val="005B72"/>
                          </a:solidFill>
                          <a:ln w="12700" cap="flat" cmpd="sng" algn="ctr">
                            <a:noFill/>
                            <a:prstDash val="solid"/>
                            <a:miter lim="800000"/>
                          </a:ln>
                          <a:effectLst/>
                        </wps:spPr>
                        <wps:txbx>
                          <w:txbxContent>
                            <w:p w14:paraId="30B056A2"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SHAKTI Policy 2017</w:t>
                              </w:r>
                            </w:p>
                          </w:txbxContent>
                        </wps:txbx>
                        <wps:bodyPr spcFirstLastPara="0" vert="horz" wrap="square" lIns="61513" tIns="42463" rIns="61513" bIns="42463" numCol="1" spcCol="1270" anchor="ctr" anchorCtr="0">
                          <a:noAutofit/>
                        </wps:bodyPr>
                      </wps:wsp>
                      <wps:wsp>
                        <wps:cNvPr id="1283598023" name="Rectangle 1283598023"/>
                        <wps:cNvSpPr/>
                        <wps:spPr>
                          <a:xfrm>
                            <a:off x="1626369" y="1558172"/>
                            <a:ext cx="4839474" cy="383691"/>
                          </a:xfrm>
                          <a:prstGeom prst="rect">
                            <a:avLst/>
                          </a:prstGeom>
                          <a:solidFill>
                            <a:srgbClr val="FFFFFF">
                              <a:alpha val="90000"/>
                              <a:tint val="40000"/>
                              <a:hueOff val="0"/>
                              <a:satOff val="0"/>
                              <a:lumOff val="0"/>
                              <a:alphaOff val="0"/>
                            </a:srgbClr>
                          </a:solidFill>
                          <a:ln w="12700" cap="flat" cmpd="sng" algn="ctr">
                            <a:solidFill>
                              <a:srgbClr val="FFFFFF">
                                <a:lumMod val="85000"/>
                              </a:srgbClr>
                            </a:solidFill>
                            <a:prstDash val="solid"/>
                            <a:miter lim="800000"/>
                          </a:ln>
                          <a:effectLst/>
                        </wps:spPr>
                        <wps:txbx>
                          <w:txbxContent>
                            <w:p w14:paraId="0F01F637"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Policy for allocation of linkages to power plants, objective of fading away of LoA-FSA regime</w:t>
                              </w:r>
                            </w:p>
                          </w:txbxContent>
                        </wps:txbx>
                        <wps:bodyPr spcFirstLastPara="0" vert="horz" wrap="square" lIns="180000" tIns="0" rIns="180000" bIns="0" numCol="1" spcCol="1270" anchor="ctr" anchorCtr="0">
                          <a:noAutofit/>
                        </wps:bodyPr>
                      </wps:wsp>
                      <wps:wsp>
                        <wps:cNvPr id="1936198456" name="Rectangle 1936198456"/>
                        <wps:cNvSpPr/>
                        <wps:spPr>
                          <a:xfrm>
                            <a:off x="0" y="503876"/>
                            <a:ext cx="1626369" cy="479613"/>
                          </a:xfrm>
                          <a:prstGeom prst="rect">
                            <a:avLst/>
                          </a:prstGeom>
                          <a:solidFill>
                            <a:srgbClr val="000000"/>
                          </a:solidFill>
                          <a:ln w="12700" cap="flat" cmpd="sng" algn="ctr">
                            <a:noFill/>
                            <a:prstDash val="solid"/>
                            <a:miter lim="800000"/>
                          </a:ln>
                          <a:effectLst/>
                        </wps:spPr>
                        <wps:txbx>
                          <w:txbxContent>
                            <w:p w14:paraId="55CCE8F7"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CMSP Act 2015</w:t>
                              </w:r>
                            </w:p>
                          </w:txbxContent>
                        </wps:txbx>
                        <wps:bodyPr spcFirstLastPara="0" vert="horz" wrap="square" lIns="61513" tIns="42463" rIns="61513" bIns="42463" numCol="1" spcCol="1270" anchor="ctr" anchorCtr="0">
                          <a:noAutofit/>
                        </wps:bodyPr>
                      </wps:wsp>
                      <wps:wsp>
                        <wps:cNvPr id="23682060" name="Rectangle 23682060"/>
                        <wps:cNvSpPr/>
                        <wps:spPr>
                          <a:xfrm>
                            <a:off x="1626369" y="2061192"/>
                            <a:ext cx="4839474" cy="383691"/>
                          </a:xfrm>
                          <a:prstGeom prst="rect">
                            <a:avLst/>
                          </a:prstGeom>
                          <a:solidFill>
                            <a:srgbClr val="FFFFFF">
                              <a:alpha val="90000"/>
                              <a:tint val="40000"/>
                              <a:hueOff val="0"/>
                              <a:satOff val="0"/>
                              <a:lumOff val="0"/>
                              <a:alphaOff val="0"/>
                            </a:srgbClr>
                          </a:solidFill>
                          <a:ln w="12700" cap="flat" cmpd="sng" algn="ctr">
                            <a:solidFill>
                              <a:srgbClr val="FFFFFF">
                                <a:lumMod val="85000"/>
                              </a:srgbClr>
                            </a:solidFill>
                            <a:prstDash val="solid"/>
                            <a:miter lim="800000"/>
                          </a:ln>
                          <a:effectLst/>
                        </wps:spPr>
                        <wps:txbx>
                          <w:txbxContent>
                            <w:p w14:paraId="1FB3E9AA"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Coal block auctions opened up to commercial players as well and up to 50% of sale allowed from captive coal blocks</w:t>
                              </w:r>
                            </w:p>
                          </w:txbxContent>
                        </wps:txbx>
                        <wps:bodyPr spcFirstLastPara="0" vert="horz" wrap="square" lIns="180000" tIns="0" rIns="180000" bIns="0" numCol="1" spcCol="1270" anchor="ctr" anchorCtr="0">
                          <a:noAutofit/>
                        </wps:bodyPr>
                      </wps:wsp>
                      <wps:wsp>
                        <wps:cNvPr id="815093915" name="Rectangle 815093915"/>
                        <wps:cNvSpPr/>
                        <wps:spPr>
                          <a:xfrm>
                            <a:off x="0" y="2014378"/>
                            <a:ext cx="1626369" cy="479613"/>
                          </a:xfrm>
                          <a:prstGeom prst="rect">
                            <a:avLst/>
                          </a:prstGeom>
                          <a:solidFill>
                            <a:srgbClr val="B92051"/>
                          </a:solidFill>
                          <a:ln w="12700" cap="flat" cmpd="sng" algn="ctr">
                            <a:noFill/>
                            <a:prstDash val="solid"/>
                            <a:miter lim="800000"/>
                          </a:ln>
                          <a:effectLst/>
                        </wps:spPr>
                        <wps:txbx>
                          <w:txbxContent>
                            <w:p w14:paraId="30819E20"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MMDR Amendment Act 2020</w:t>
                              </w:r>
                            </w:p>
                          </w:txbxContent>
                        </wps:txbx>
                        <wps:bodyPr spcFirstLastPara="0" vert="horz" wrap="square" lIns="61513" tIns="42463" rIns="61513" bIns="42463" numCol="1" spcCol="1270" anchor="ctr" anchorCtr="0">
                          <a:noAutofit/>
                        </wps:bodyPr>
                      </wps:wsp>
                    </wpg:wgp>
                  </a:graphicData>
                </a:graphic>
              </wp:inline>
            </w:drawing>
          </mc:Choice>
          <mc:Fallback>
            <w:pict>
              <v:group w14:anchorId="4CA3B7AD" id="Group 15" o:spid="_x0000_s1047" style="width:518.4pt;height:182.2pt;mso-position-horizontal-relative:char;mso-position-vertical-relative:line" coordsize="64658,2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rCtgQAABEiAAAOAAAAZHJzL2Uyb0RvYy54bWzsWl1v2zYUfR+w/yDofbGobxlxijZpggHd&#10;FqzbD6BlyRIgiRpJx85+/Q5JWf5EUcXNWsPxgy3ymtTl4bn3kJSu363qynrKuChZM7HJlWNbWZOy&#10;WdnMJ/bff93/EtuWkLSZ0Yo12cR+zoT97ubnn66X7ThzWcGqWcYtdNKI8bKd2IWU7Xg0EmmR1VRc&#10;sTZrYMwZr6lEkc9HM06X6L2uRq7jhKMl47OWszQTArV3xmjf6P7zPEvlH3kuMmlVExu+Sf3N9fdU&#10;fY9urul4zmlblGnnBn2BFzUtG9y07+qOSmoteHnQVV2mnAmWy6uU1SOW52Wa6TFgNMTZG80DZ4tW&#10;j2U+Xs7bHiZAu4fTi7tNf3964O3n9pEDiWU7Bxa6pMayynmtfuGltdKQPfeQZStppagMg9gLYyCb&#10;wuZ6xIvdxICaFkD+oF1afFy39NHW97qWfuIlCVEtR+sbj3bcWbYgiNhgIE7D4HNB20xDK8bA4JFb&#10;5QyjIQ6JIu1VQ2vQ9U8QiDbzKrM2Jg2UbtXDJsYCCB7BjIRu6IWJbQEdP0pC12CzRs+PvcSPfIOB&#10;ByT3IKDjlgv5kLHaUhcTm8MfzTP69ElIg9b6L+r2glXl7L6sKl3g8+ltxa0nCvLf649pW7UFNbWJ&#10;g4/xSZaNNJX+prJYZGoWdQ/d/wRVIbVTVS3q/Sqq7rFbiYkVxiM9yTuuVo21RPpwI3hjpRSJIK+o&#10;xGXdYlpEM7ctWs2RYVLJ9Rh2WnfdGp+2Bgq/fmMzUx0H3Ui/5IaC8o6KwjTR9zDg1KVEmqrKemLH&#10;Ch2NBXqqGgV0phNNNyGKqIYN6kqupitNLRKrnlTVlM2ewTfRpvcl7veJCvlIObIOho5MilkuGP/X&#10;tpbIShj7PwvKM9uqfm1AeaLvjjymS2jAd6qn6+pmUd8yzDpB9m1TcwlwgWKToneDY1e4lTofqoE0&#10;7P1CsrzUzNr4ivlSBYSfGcGrx2HixqHjk9C29sOwtwyJQoz7MHP1oakyl4pN4qkZ6tPPt4w98j70&#10;dVpU5NsO0cG8b5iKbvhp3HstsmpnNwR4GVlDEgDTjqu+64coGL52FkPXznLmlA1I4hESE+T6fc5u&#10;TENI2/MT9AwC4iedrr5px6kxtBOB56AdrpabU8PxQrTDCyKIRKQWXfuBuDENCUSjHgSiH3mRWQ6s&#10;Y7CP0dfXkNvkLv5I9Npne1kTfc2y5gdVGVev90+l9UWpTAyx9PwEi4kDcm9MQ8jdMxgqQ5wAGxK9&#10;TsWattumvW1Rut3U4CA6P5nRu9NT4/FCZIZ4nhNBFLzgMBS3bENisROawElC//sJjeMEHyLNhDPZ&#10;rLh633YqbS9KRogbe0ESO4DuQEe2bEPIuyMkQRATw6E3IVEnCjtScAFC4r+ddR05zj9+5oxzg5Ak&#10;sR8cOe3asg2JRSMkgeNhG/TdNiz6mHR9TnpaAPw/h15u8C1Ye1E64uLZj+uE4Nv+Vru3DOHttoag&#10;W0KSt+cl6gnOJT4vcXXmOnVVdyGbkZhg0+Al5MheZGMaEolGQaBhvhftHQj0Qfr6Z14fEtcJ1g+F&#10;z0JC9LbtVNL+KBKiH8DjvQOdfrp3JNSLDdtlXG+/yXHzHwAAAP//AwBQSwMEFAAGAAgAAAAhACE2&#10;56ndAAAABgEAAA8AAABkcnMvZG93bnJldi54bWxMj0FLw0AQhe+C/2EZwZvdxNQgaTalFPVUBFtB&#10;eptmp0lodjZkt0n67916qZcHwxve+16+nEwrBupdY1lBPItAEJdWN1wp+N69P72CcB5ZY2uZFFzI&#10;wbK4v8sx03bkLxq2vhIhhF2GCmrvu0xKV9Zk0M1sRxy8o+0N+nD2ldQ9jiHctPI5ilJpsOHQUGNH&#10;65rK0/ZsFHyMOK6S+G3YnI7ry3738vmziUmpx4dptQDhafK3Z7jiB3QoAtPBnlk70SoIQ/yfXr0o&#10;ScOOg4Iknc9BFrn8j1/8AgAA//8DAFBLAQItABQABgAIAAAAIQC2gziS/gAAAOEBAAATAAAAAAAA&#10;AAAAAAAAAAAAAABbQ29udGVudF9UeXBlc10ueG1sUEsBAi0AFAAGAAgAAAAhADj9If/WAAAAlAEA&#10;AAsAAAAAAAAAAAAAAAAALwEAAF9yZWxzLy5yZWxzUEsBAi0AFAAGAAgAAAAhABmeysK2BAAAESIA&#10;AA4AAAAAAAAAAAAAAAAALgIAAGRycy9lMm9Eb2MueG1sUEsBAi0AFAAGAAgAAAAhACE256ndAAAA&#10;BgEAAA8AAAAAAAAAAAAAAAAAEAcAAGRycy9kb3ducmV2LnhtbFBLBQYAAAAABAAEAPMAAAAaCAAA&#10;AAA=&#10;">
                <v:rect id="Rectangle 610177843" o:spid="_x0000_s1048" style="position:absolute;left:16263;top:479;width:48395;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pRywAAAOIAAAAPAAAAZHJzL2Rvd25yZXYueG1sRI9Ba8JA&#10;FITvBf/D8oRepG5ibSKpq1hBKAiF2l56e82+JsHs25DdmOivdwWhx2FmvmGW68HU4kStqywriKcR&#10;COLc6ooLBd9fu6cFCOeRNdaWScGZHKxXo4clZtr2/Emngy9EgLDLUEHpfZNJ6fKSDLqpbYiD92db&#10;gz7ItpC6xT7ATS1nUZRIgxWHhRIb2paUHw+dUfBiL3b24ZNz9zPp3vZdn+KFf5V6HA+bVxCeBv8f&#10;vrfftYIkjuI0Xcyf4XYp3AG5ugIAAP//AwBQSwECLQAUAAYACAAAACEA2+H2y+4AAACFAQAAEwAA&#10;AAAAAAAAAAAAAAAAAAAAW0NvbnRlbnRfVHlwZXNdLnhtbFBLAQItABQABgAIAAAAIQBa9CxbvwAA&#10;ABUBAAALAAAAAAAAAAAAAAAAAB8BAABfcmVscy8ucmVsc1BLAQItABQABgAIAAAAIQBQT0pRywAA&#10;AOIAAAAPAAAAAAAAAAAAAAAAAAcCAABkcnMvZG93bnJldi54bWxQSwUGAAAAAAMAAwC3AAAA/wIA&#10;AAAA&#10;" strokecolor="#d9d9d9" strokeweight="1pt">
                  <v:fill opacity="59110f"/>
                  <v:textbox inset="5mm,0,5mm,0">
                    <w:txbxContent>
                      <w:p w14:paraId="6D7E769F"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Guiding policy for sale and distribution of coal in India, introduced Letter of Assurance (LoA)-Fuel Supply Agreement (FSA) regime, sale via nominated agencies and e-auction of coal</w:t>
                        </w:r>
                      </w:p>
                    </w:txbxContent>
                  </v:textbox>
                </v:rect>
                <v:rect id="Rectangle 92860416" o:spid="_x0000_s1049" style="position:absolute;width:16263;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IHzAAAAOEAAAAPAAAAZHJzL2Rvd25yZXYueG1sRI9BT8JA&#10;FITvJvyHzSPxYmRbYioUFiIaAydQxBhvj91HW+2+bbor1H/vkpB4nMzMN5npvLO1OFLrK8cK0kEC&#10;glg7U3GhYPf2fDsC4QOywdoxKfglD/NZ72qKuXEnfqXjNhQiQtjnqKAMocml9Loki37gGuLoHVxr&#10;MUTZFtK0eIpwW8thkmTSYsVxocSGHkvS39sfq+Cgd/vxzSZdbN6fPpdfH/fFWi9elLrudw8TEIG6&#10;8B++tFdGwXg4ypK7NIPzo/gG5OwPAAD//wMAUEsBAi0AFAAGAAgAAAAhANvh9svuAAAAhQEAABMA&#10;AAAAAAAAAAAAAAAAAAAAAFtDb250ZW50X1R5cGVzXS54bWxQSwECLQAUAAYACAAAACEAWvQsW78A&#10;AAAVAQAACwAAAAAAAAAAAAAAAAAfAQAAX3JlbHMvLnJlbHNQSwECLQAUAAYACAAAACEABikCB8wA&#10;AADhAAAADwAAAAAAAAAAAAAAAAAHAgAAZHJzL2Rvd25yZXYueG1sUEsFBgAAAAADAAMAtwAAAAAD&#10;AAAAAA==&#10;" fillcolor="#f1a649" stroked="f" strokeweight="1pt">
                  <v:textbox inset="1.70869mm,1.1795mm,1.70869mm,1.1795mm">
                    <w:txbxContent>
                      <w:p w14:paraId="4EEE1B3C"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National Coal Distribution Policy 2007</w:t>
                        </w:r>
                      </w:p>
                    </w:txbxContent>
                  </v:textbox>
                </v:rect>
                <v:rect id="Rectangle 519311819" o:spid="_x0000_s1050" style="position:absolute;left:16263;top:5514;width:48395;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9UywAAAOIAAAAPAAAAZHJzL2Rvd25yZXYueG1sRI9La8Mw&#10;EITvhfwHsYFeSiIrpXm4UUJbKAQChTwuuW2trW1qrYwlx05+fRQo9DjMfDPMct3bSpyp8aVjDWqc&#10;gCDOnCk513A8fI7mIHxANlg5Jg0X8rBeDR6WmBrX8Y7O+5CLWMI+RQ1FCHUqpc8KsujHriaO3o9r&#10;LIYom1yaBrtYbis5SZKptFhyXCiwpo+Cst99azW8uKubfIXppT09te/btpvhlb+1fhz2b68gAvXh&#10;P/xHb0zk1OJZqblawP1SvANydQMAAP//AwBQSwECLQAUAAYACAAAACEA2+H2y+4AAACFAQAAEwAA&#10;AAAAAAAAAAAAAAAAAAAAW0NvbnRlbnRfVHlwZXNdLnhtbFBLAQItABQABgAIAAAAIQBa9CxbvwAA&#10;ABUBAAALAAAAAAAAAAAAAAAAAB8BAABfcmVscy8ucmVsc1BLAQItABQABgAIAAAAIQDUbK9UywAA&#10;AOIAAAAPAAAAAAAAAAAAAAAAAAcCAABkcnMvZG93bnJldi54bWxQSwUGAAAAAAMAAwC3AAAA/wIA&#10;AAAA&#10;" strokecolor="#d9d9d9" strokeweight="1pt">
                  <v:fill opacity="59110f"/>
                  <v:textbox inset="5mm,0,5mm,0">
                    <w:txbxContent>
                      <w:p w14:paraId="18C3A2AC"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Auctions for allocation of coal block to end-users introduced</w:t>
                        </w:r>
                      </w:p>
                    </w:txbxContent>
                  </v:textbox>
                </v:rect>
                <v:rect id="Rectangle 357928769" o:spid="_x0000_s1051" style="position:absolute;top:10007;width:16263;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lQygAAAOIAAAAPAAAAZHJzL2Rvd25yZXYueG1sRI9BT8JA&#10;FITvJv6HzTPxJltrBFpYCDHRcPACGr0+uo+22H1bdp9Q/z1rYuJxMjPfZObLwXXqRCG2ng3cjzJQ&#10;xJW3LdcG3t+e76agoiBb7DyTgR+KsFxcX82xtP7MGzptpVYJwrFEA41IX2odq4YcxpHviZO398Gh&#10;JBlqbQOeE9x1Os+ysXbYclposKenhqqv7bczIDup+XCUsH6p+o99/mnD4bUw5vZmWM1ACQ3yH/5r&#10;r62Bh8dJkU8n4wJ+L6U7oBcXAAAA//8DAFBLAQItABQABgAIAAAAIQDb4fbL7gAAAIUBAAATAAAA&#10;AAAAAAAAAAAAAAAAAABbQ29udGVudF9UeXBlc10ueG1sUEsBAi0AFAAGAAgAAAAhAFr0LFu/AAAA&#10;FQEAAAsAAAAAAAAAAAAAAAAAHwEAAF9yZWxzLy5yZWxzUEsBAi0AFAAGAAgAAAAhADOJiVDKAAAA&#10;4gAAAA8AAAAAAAAAAAAAAAAABwIAAGRycy9kb3ducmV2LnhtbFBLBQYAAAAAAwADALcAAAD+AgAA&#10;AAA=&#10;" fillcolor="#85a7bb" stroked="f" strokeweight="1pt">
                  <v:textbox inset="1.70869mm,1.1795mm,1.70869mm,1.1795mm">
                    <w:txbxContent>
                      <w:p w14:paraId="6F3894CD"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Linkage Auction Policy 2016</w:t>
                        </w:r>
                      </w:p>
                    </w:txbxContent>
                  </v:textbox>
                </v:rect>
                <v:rect id="Rectangle 842434949" o:spid="_x0000_s1052" style="position:absolute;left:16263;top:10548;width:48395;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Y1zAAAAOIAAAAPAAAAZHJzL2Rvd25yZXYueG1sRI9Pa8JA&#10;FMTvBb/D8oReSt00jf+iq7SFgiAItb14e2afSTD7NmQ3Jvrpu0Khx2FmfsMs172pxIUaV1pW8DKK&#10;QBBnVpecK/j5/nyegXAeWWNlmRRcycF6NXhYYqptx1902ftcBAi7FBUU3teplC4ryKAb2Zo4eCfb&#10;GPRBNrnUDXYBbioZR9FEGiw5LBRY00dB2XnfGgVje7Pxzk+u7eGpfd+23RRvfFTqcdi/LUB46v1/&#10;+K+90QpmSZy8JvNkDvdL4Q7I1S8AAAD//wMAUEsBAi0AFAAGAAgAAAAhANvh9svuAAAAhQEAABMA&#10;AAAAAAAAAAAAAAAAAAAAAFtDb250ZW50X1R5cGVzXS54bWxQSwECLQAUAAYACAAAACEAWvQsW78A&#10;AAAVAQAACwAAAAAAAAAAAAAAAAAfAQAAX3JlbHMvLnJlbHNQSwECLQAUAAYACAAAACEAayE2NcwA&#10;AADiAAAADwAAAAAAAAAAAAAAAAAHAgAAZHJzL2Rvd25yZXYueG1sUEsFBgAAAAADAAMAtwAAAAAD&#10;AAAAAA==&#10;" strokecolor="#d9d9d9" strokeweight="1pt">
                  <v:fill opacity="59110f"/>
                  <v:textbox inset="5mm,0,5mm,0">
                    <w:txbxContent>
                      <w:p w14:paraId="787993AA" w14:textId="77777777" w:rsidR="00500E45" w:rsidRPr="009B5B08" w:rsidRDefault="00500E45" w:rsidP="00500E45">
                        <w:pPr>
                          <w:kinsoku w:val="0"/>
                          <w:overflowPunct w:val="0"/>
                          <w:spacing w:after="120" w:line="240" w:lineRule="auto"/>
                          <w:textAlignment w:val="baseline"/>
                          <w:rPr>
                            <w:kern w:val="24"/>
                            <w:sz w:val="16"/>
                            <w:szCs w:val="16"/>
                          </w:rPr>
                        </w:pPr>
                        <w:r w:rsidRPr="009B5B08">
                          <w:rPr>
                            <w:kern w:val="24"/>
                            <w:sz w:val="16"/>
                            <w:szCs w:val="16"/>
                          </w:rPr>
                          <w:t>Policy for allocation of linkages to non-regulated sectors via auctions, prior FSAs are not renewed after the policy</w:t>
                        </w:r>
                      </w:p>
                    </w:txbxContent>
                  </v:textbox>
                </v:rect>
                <v:rect id="Rectangle 1330710035" o:spid="_x0000_s1053" style="position:absolute;top:15096;width:16263;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HpxwAAAOMAAAAPAAAAZHJzL2Rvd25yZXYueG1sRE/NTgIx&#10;EL6b+A7NmHiTFheQrBSiJkQvHgQu3ibbYbu6na5tYevbWxMTj/P9z2qTXS/OFGLnWcN0okAQN950&#10;3Go47Lc3SxAxIRvsPZOGb4qwWV9erLA2fuQ3Ou9SK0oIxxo12JSGWsrYWHIYJ34gLtzRB4epnKGV&#10;JuBYwl0vb5VaSIcdlwaLAz1Zaj53J6dhfppZ2qp2/Ph6fn0/zBY55P2j1tdX+eEeRKKc/sV/7hdT&#10;5leVupsqVc3h96cCgFz/AAAA//8DAFBLAQItABQABgAIAAAAIQDb4fbL7gAAAIUBAAATAAAAAAAA&#10;AAAAAAAAAAAAAABbQ29udGVudF9UeXBlc10ueG1sUEsBAi0AFAAGAAgAAAAhAFr0LFu/AAAAFQEA&#10;AAsAAAAAAAAAAAAAAAAAHwEAAF9yZWxzLy5yZWxzUEsBAi0AFAAGAAgAAAAhAMAOQenHAAAA4wAA&#10;AA8AAAAAAAAAAAAAAAAABwIAAGRycy9kb3ducmV2LnhtbFBLBQYAAAAAAwADALcAAAD7AgAAAAA=&#10;" fillcolor="#005b72" stroked="f" strokeweight="1pt">
                  <v:textbox inset="1.70869mm,1.1795mm,1.70869mm,1.1795mm">
                    <w:txbxContent>
                      <w:p w14:paraId="30B056A2"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SHAKTI Policy 2017</w:t>
                        </w:r>
                      </w:p>
                    </w:txbxContent>
                  </v:textbox>
                </v:rect>
                <v:rect id="Rectangle 1283598023" o:spid="_x0000_s1054" style="position:absolute;left:16263;top:15581;width:48395;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BkyQAAAOMAAAAPAAAAZHJzL2Rvd25yZXYueG1sRE9La8JA&#10;EL4X/A/LCL2UujGiTaOraKFQEAo+Lt6m2TEJZmdDdmOiv75bEHqc7z2LVW8qcaXGlZYVjEcRCOLM&#10;6pJzBcfD52sCwnlkjZVlUnAjB6vl4GmBqbYd7+i697kIIexSVFB4X6dSuqwgg25ka+LAnW1j0Iez&#10;yaVusAvhppJxFM2kwZJDQ4E1fRSUXfatUTC1dxt/+9mtPb20m23bveGdf5R6HvbrOQhPvf8XP9xf&#10;OsyPk8n0PYniCfz9FACQy18AAAD//wMAUEsBAi0AFAAGAAgAAAAhANvh9svuAAAAhQEAABMAAAAA&#10;AAAAAAAAAAAAAAAAAFtDb250ZW50X1R5cGVzXS54bWxQSwECLQAUAAYACAAAACEAWvQsW78AAAAV&#10;AQAACwAAAAAAAAAAAAAAAAAfAQAAX3JlbHMvLnJlbHNQSwECLQAUAAYACAAAACEAntwgZMkAAADj&#10;AAAADwAAAAAAAAAAAAAAAAAHAgAAZHJzL2Rvd25yZXYueG1sUEsFBgAAAAADAAMAtwAAAP0CAAAA&#10;AA==&#10;" strokecolor="#d9d9d9" strokeweight="1pt">
                  <v:fill opacity="59110f"/>
                  <v:textbox inset="5mm,0,5mm,0">
                    <w:txbxContent>
                      <w:p w14:paraId="0F01F637"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Policy for allocation of linkages to power plants, objective of fading away of LoA-FSA regime</w:t>
                        </w:r>
                      </w:p>
                    </w:txbxContent>
                  </v:textbox>
                </v:rect>
                <v:rect id="Rectangle 1936198456" o:spid="_x0000_s1055" style="position:absolute;top:5038;width:16263;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PDxwAAAOMAAAAPAAAAZHJzL2Rvd25yZXYueG1sRE/NSgMx&#10;EL4LvkMYwZvNVuvSrk2LCEKlp7Z78TZsxuzqZhKStBvf3giCx/n+Z73NdhQXCnFwrGA+q0AQd04P&#10;bBS0p9e7JYiYkDWOjknBN0XYbq6v1thoN/GBLsdkRAnh2KCCPiXfSBm7nizGmfPEhftwwWIqZzBS&#10;B5xKuB3lfVXV0uLApaFHTy89dV/Hs1Vw6BYh+p3ZT+c2Z/Pp3/atfFfq9iY/P4FIlNO/+M+902X+&#10;6qGer5aLxxp+fyoAyM0PAAAA//8DAFBLAQItABQABgAIAAAAIQDb4fbL7gAAAIUBAAATAAAAAAAA&#10;AAAAAAAAAAAAAABbQ29udGVudF9UeXBlc10ueG1sUEsBAi0AFAAGAAgAAAAhAFr0LFu/AAAAFQEA&#10;AAsAAAAAAAAAAAAAAAAAHwEAAF9yZWxzLy5yZWxzUEsBAi0AFAAGAAgAAAAhAHazI8PHAAAA4wAA&#10;AA8AAAAAAAAAAAAAAAAABwIAAGRycy9kb3ducmV2LnhtbFBLBQYAAAAAAwADALcAAAD7AgAAAAA=&#10;" fillcolor="black" stroked="f" strokeweight="1pt">
                  <v:textbox inset="1.70869mm,1.1795mm,1.70869mm,1.1795mm">
                    <w:txbxContent>
                      <w:p w14:paraId="55CCE8F7"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CMSP Act 2015</w:t>
                        </w:r>
                      </w:p>
                    </w:txbxContent>
                  </v:textbox>
                </v:rect>
                <v:rect id="Rectangle 23682060" o:spid="_x0000_s1056" style="position:absolute;left:16263;top:20611;width:48395;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gHyQAAAOEAAAAPAAAAZHJzL2Rvd25yZXYueG1sRI/LasJA&#10;FIb3Bd9hOEI3RSdNMUqaidhCoSAIXjbdnWZOk2DmTMhMTPTpOwvB5c9/48vWo2nEhTpXW1bwOo9A&#10;EBdW11wqOB2/ZisQziNrbCyTgis5WOeTpwxTbQfe0+XgSxFG2KWooPK+TaV0RUUG3dy2xMH7s51B&#10;H2RXSt3hEMZNI+MoSqTBmsNDhS19VlScD71RsLA3G+98cu1/XvqPbT8s8ca/Sj1Px807CE+jf4Tv&#10;7W+tIH5LVnGUBIZAFGhA5v8AAAD//wMAUEsBAi0AFAAGAAgAAAAhANvh9svuAAAAhQEAABMAAAAA&#10;AAAAAAAAAAAAAAAAAFtDb250ZW50X1R5cGVzXS54bWxQSwECLQAUAAYACAAAACEAWvQsW78AAAAV&#10;AQAACwAAAAAAAAAAAAAAAAAfAQAAX3JlbHMvLnJlbHNQSwECLQAUAAYACAAAACEAVYKYB8kAAADh&#10;AAAADwAAAAAAAAAAAAAAAAAHAgAAZHJzL2Rvd25yZXYueG1sUEsFBgAAAAADAAMAtwAAAP0CAAAA&#10;AA==&#10;" strokecolor="#d9d9d9" strokeweight="1pt">
                  <v:fill opacity="59110f"/>
                  <v:textbox inset="5mm,0,5mm,0">
                    <w:txbxContent>
                      <w:p w14:paraId="1FB3E9AA" w14:textId="77777777" w:rsidR="00500E45" w:rsidRPr="009B5B08" w:rsidRDefault="00500E45" w:rsidP="00500E45">
                        <w:pPr>
                          <w:kinsoku w:val="0"/>
                          <w:overflowPunct w:val="0"/>
                          <w:spacing w:line="240" w:lineRule="auto"/>
                          <w:textAlignment w:val="baseline"/>
                          <w:rPr>
                            <w:kern w:val="24"/>
                            <w:sz w:val="16"/>
                            <w:szCs w:val="16"/>
                          </w:rPr>
                        </w:pPr>
                        <w:r w:rsidRPr="009B5B08">
                          <w:rPr>
                            <w:kern w:val="24"/>
                            <w:sz w:val="16"/>
                            <w:szCs w:val="16"/>
                          </w:rPr>
                          <w:t>Coal block auctions opened up to commercial players as well and up to 50% of sale allowed from captive coal blocks</w:t>
                        </w:r>
                      </w:p>
                    </w:txbxContent>
                  </v:textbox>
                </v:rect>
                <v:rect id="Rectangle 815093915" o:spid="_x0000_s1057" style="position:absolute;top:20143;width:16263;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ooygAAAOIAAAAPAAAAZHJzL2Rvd25yZXYueG1sRI9RS8Mw&#10;FIXfBf9DuIO9ubSbnVtdNmQgDAdTpz/g0lybsuamJHGt/nojDPZ4OOd8h7PaDLYVZ/Khcawgn2Qg&#10;iCunG64VfH483y1AhIissXVMCn4owGZ9e7PCUrue3+l8jLVIEA4lKjAxdqWUoTJkMUxcR5y8L+ct&#10;xiR9LbXHPsFtK6dZNpcWG04LBjvaGqpOx2+rwP9ibx7epof5q9n5l/vZsC9yo9R4NDw9gog0xGv4&#10;0t5pBYu8yJazZV7A/6V0B+T6DwAA//8DAFBLAQItABQABgAIAAAAIQDb4fbL7gAAAIUBAAATAAAA&#10;AAAAAAAAAAAAAAAAAABbQ29udGVudF9UeXBlc10ueG1sUEsBAi0AFAAGAAgAAAAhAFr0LFu/AAAA&#10;FQEAAAsAAAAAAAAAAAAAAAAAHwEAAF9yZWxzLy5yZWxzUEsBAi0AFAAGAAgAAAAhAMpmaijKAAAA&#10;4gAAAA8AAAAAAAAAAAAAAAAABwIAAGRycy9kb3ducmV2LnhtbFBLBQYAAAAAAwADALcAAAD+AgAA&#10;AAA=&#10;" fillcolor="#b92051" stroked="f" strokeweight="1pt">
                  <v:textbox inset="1.70869mm,1.1795mm,1.70869mm,1.1795mm">
                    <w:txbxContent>
                      <w:p w14:paraId="30819E20" w14:textId="77777777" w:rsidR="00500E45" w:rsidRPr="009B5B08" w:rsidRDefault="00500E45" w:rsidP="00500E45">
                        <w:pPr>
                          <w:kinsoku w:val="0"/>
                          <w:overflowPunct w:val="0"/>
                          <w:spacing w:line="240" w:lineRule="auto"/>
                          <w:jc w:val="center"/>
                          <w:textAlignment w:val="baseline"/>
                          <w:rPr>
                            <w:b/>
                            <w:bCs/>
                            <w:color w:val="FFFFFF" w:themeColor="background1"/>
                            <w:kern w:val="24"/>
                            <w:sz w:val="16"/>
                            <w:szCs w:val="16"/>
                          </w:rPr>
                        </w:pPr>
                        <w:r w:rsidRPr="009B5B08">
                          <w:rPr>
                            <w:b/>
                            <w:bCs/>
                            <w:color w:val="FFFFFF" w:themeColor="background1"/>
                            <w:kern w:val="24"/>
                            <w:sz w:val="16"/>
                            <w:szCs w:val="16"/>
                          </w:rPr>
                          <w:t>MMDR Amendment Act 2020</w:t>
                        </w:r>
                      </w:p>
                    </w:txbxContent>
                  </v:textbox>
                </v:rect>
                <w10:anchorlock/>
              </v:group>
            </w:pict>
          </mc:Fallback>
        </mc:AlternateContent>
      </w:r>
    </w:p>
    <w:p w14:paraId="6FDD3B01" w14:textId="77777777" w:rsidR="00500E45" w:rsidRDefault="00500E45" w:rsidP="00500E45">
      <w:pPr>
        <w:tabs>
          <w:tab w:val="center" w:pos="4680"/>
          <w:tab w:val="right" w:pos="9720"/>
        </w:tabs>
        <w:spacing w:before="160" w:after="120" w:line="240" w:lineRule="auto"/>
        <w:ind w:right="450"/>
        <w:rPr>
          <w:rFonts w:eastAsiaTheme="minorEastAsia"/>
          <w:i/>
          <w:sz w:val="16"/>
          <w:szCs w:val="15"/>
        </w:rPr>
      </w:pPr>
      <w:r w:rsidRPr="004521AB">
        <w:rPr>
          <w:rFonts w:eastAsiaTheme="minorEastAsia"/>
          <w:i/>
          <w:sz w:val="16"/>
          <w:szCs w:val="15"/>
        </w:rPr>
        <w:t>Source: Crisil Intelligence, Ministry of Coal</w:t>
      </w:r>
    </w:p>
    <w:p w14:paraId="152D77BF" w14:textId="77777777" w:rsidR="00500E45" w:rsidRDefault="00500E45" w:rsidP="00500E45">
      <w:pPr>
        <w:pStyle w:val="Heading30"/>
      </w:pPr>
      <w:r>
        <w:t>T</w:t>
      </w:r>
      <w:r w:rsidRPr="002A5CD1">
        <w:t>he National Coal Distribution Policy (NCDP), 2007</w:t>
      </w:r>
    </w:p>
    <w:p w14:paraId="0C57A0E6" w14:textId="77777777" w:rsidR="00500E45" w:rsidRDefault="00500E45" w:rsidP="00500E45">
      <w:r w:rsidRPr="002A5CD1">
        <w:t>The overarching policy guiding coal distribution and sale in India is the National Coal Distribution Policy (NCDP), 2007 and the various amendments thereof. The NCDP guides the overall framework for allocation of coal linkages to different sectors, distribution to MSME sectors and e-auction schemes to be conducted by CIL subsidiaries. The NCDP seeks to facilitate supply of assured quantities of coal to various categories of consumers at predetermined prices, taking into consideration regulatory regimes governing the end-use sectors. It also envisages an enlarged role for state governments in the supply of coal to a large number of small and medium industries. Under this policy, e-auction sale of coal was re-introduced to encourage emergence of a proper coal market in the country.</w:t>
      </w:r>
    </w:p>
    <w:p w14:paraId="18C4481C" w14:textId="77777777" w:rsidR="00500E45" w:rsidRDefault="00500E45" w:rsidP="00500E45">
      <w:pPr>
        <w:pStyle w:val="Heading30"/>
      </w:pPr>
      <w:r>
        <w:t>T</w:t>
      </w:r>
      <w:r w:rsidRPr="00B535DB">
        <w:rPr>
          <w:rFonts w:eastAsiaTheme="minorEastAsia"/>
        </w:rPr>
        <w:t>he CMSP Act</w:t>
      </w:r>
      <w:r>
        <w:t>,</w:t>
      </w:r>
      <w:r w:rsidRPr="00B535DB">
        <w:rPr>
          <w:rFonts w:eastAsiaTheme="minorEastAsia"/>
        </w:rPr>
        <w:t xml:space="preserve"> 2015</w:t>
      </w:r>
    </w:p>
    <w:p w14:paraId="3D0F289F" w14:textId="77777777" w:rsidR="00500E45" w:rsidRDefault="00500E45" w:rsidP="00500E45">
      <w:r w:rsidRPr="00B535DB">
        <w:t>It is the CMSP Act of 2015 that rang in reforms in the sector. The Act and the rules notified under it have laid down the method and process for auctioning coal blocks through a transparent and competitive bidding process. Similarly, the process for allotments (in case of PSUs/ UMPPs) has also been spelt out in the Act. After the Act came into effect, over January 2015-November 2019, the government conducted multiple rounds of coal block auctions and allotments.</w:t>
      </w:r>
    </w:p>
    <w:p w14:paraId="09963C6C" w14:textId="77777777" w:rsidR="00500E45" w:rsidRDefault="00500E45" w:rsidP="00500E45">
      <w:pPr>
        <w:pStyle w:val="Heading30"/>
      </w:pPr>
      <w:r w:rsidRPr="0014724B">
        <w:t>Linkage Auction Policy</w:t>
      </w:r>
    </w:p>
    <w:p w14:paraId="6398BAD9" w14:textId="77777777" w:rsidR="00500E45" w:rsidRDefault="00500E45" w:rsidP="00500E45">
      <w:r w:rsidRPr="009E2C97">
        <w:t>The MoC vide letter No. 23011/51/2015-CPD (Pt-I) dated February 15, 2016, issued policy guidelines for auction of linkages for the non-regulated sector. It was stipulated that all allocations of linkages/LOAs for the non-regulated sector, viz. cement, steel/sponge iron, aluminum and others [excluding fertilizer (urea sector)], including their CPPs, shall henceforth be auction-based. Also, there will be no renewal of existing FSAs of non-regulated sectors [except FSAs of CPSEs and fertilizer (urea)]. CIL and SCCL have accordingly been conducting linkage auctions for the non-regulated sector, including for steel, cement and sponge iron, and FSAs are signed with successful bidders by the subsidiary coal companies of CIL and SCCL</w:t>
      </w:r>
      <w:r>
        <w:t>.</w:t>
      </w:r>
    </w:p>
    <w:p w14:paraId="7544F8D6" w14:textId="77777777" w:rsidR="00500E45" w:rsidRDefault="00500E45" w:rsidP="00500E45">
      <w:pPr>
        <w:pStyle w:val="Heading30"/>
      </w:pPr>
      <w:r w:rsidRPr="009A3895">
        <w:t>SHAKTI Policy</w:t>
      </w:r>
    </w:p>
    <w:p w14:paraId="720B1A0F" w14:textId="77777777" w:rsidR="00500E45" w:rsidRDefault="00500E45" w:rsidP="00500E45">
      <w:r w:rsidRPr="009A3895">
        <w:t>The Government of India introduced the SHAKTI (Scheme for Harnessing and Allocating Koyla (Coal) Transparently in India) policy in 2017. The policy provided a new system of coal allocation under which power 82 plants can be segregated into different categories based on existing power purchase agreements and fuel supply agreements or linkages. The participants under the scheme could participate and source coal for short- and long-term linkages. The overall objective of the scheme was to ensure supply to power plants, minimize risk to the banks exposed to non-performing assets, reduce electricity bills, and decrease imports.</w:t>
      </w:r>
    </w:p>
    <w:p w14:paraId="2EF39614" w14:textId="77777777" w:rsidR="00500E45" w:rsidRPr="00850186" w:rsidRDefault="00500E45" w:rsidP="00500E45">
      <w:pPr>
        <w:pStyle w:val="Heading30"/>
        <w:ind w:right="450"/>
      </w:pPr>
      <w:r w:rsidRPr="00850186">
        <w:t>Government policies</w:t>
      </w:r>
    </w:p>
    <w:p w14:paraId="51D15502" w14:textId="77777777" w:rsidR="00500E45" w:rsidRDefault="00500E45" w:rsidP="00500E45">
      <w:pPr>
        <w:spacing w:before="160" w:after="120"/>
        <w:ind w:right="450"/>
        <w:rPr>
          <w:szCs w:val="20"/>
        </w:rPr>
      </w:pPr>
      <w:r>
        <w:rPr>
          <w:szCs w:val="20"/>
        </w:rPr>
        <w:t xml:space="preserve">The </w:t>
      </w:r>
      <w:r w:rsidRPr="004521AB">
        <w:rPr>
          <w:szCs w:val="20"/>
        </w:rPr>
        <w:t>Government policies significantly influence the energy sector, with recent initiatives focusing on reducing import dependency on coal and advancing sustainability. The major institutions which influence these policies are shown below:</w:t>
      </w:r>
    </w:p>
    <w:p w14:paraId="66B6FC19" w14:textId="77777777" w:rsidR="00500E45" w:rsidRPr="00850186" w:rsidRDefault="00500E45" w:rsidP="00500E45">
      <w:pPr>
        <w:pStyle w:val="Heading30"/>
        <w:ind w:right="450"/>
      </w:pPr>
      <w:r w:rsidRPr="00850186">
        <w:t>Energy Policies</w:t>
      </w:r>
    </w:p>
    <w:p w14:paraId="14F24B23" w14:textId="77777777" w:rsidR="00500E45" w:rsidRPr="00850186" w:rsidRDefault="00500E45" w:rsidP="00500E45">
      <w:pPr>
        <w:spacing w:before="160" w:after="120"/>
        <w:ind w:right="450"/>
        <w:rPr>
          <w:szCs w:val="20"/>
        </w:rPr>
      </w:pPr>
      <w:r w:rsidRPr="004521AB">
        <w:rPr>
          <w:szCs w:val="20"/>
        </w:rPr>
        <w:t xml:space="preserve">While India is making significant strides in renewable energy and green hydrogen, coal remains a critical component of the country's energy mix. To address the challenges and opportunities within the coal sector, the government has introduced several targeted policies. Additionally, the </w:t>
      </w:r>
      <w:r w:rsidRPr="004521AB">
        <w:rPr>
          <w:i/>
          <w:iCs/>
          <w:szCs w:val="20"/>
        </w:rPr>
        <w:t>Integrated Coal Logistics Plan for Coal Mines/Blocks</w:t>
      </w:r>
      <w:r w:rsidRPr="004521AB">
        <w:rPr>
          <w:szCs w:val="20"/>
        </w:rPr>
        <w:t xml:space="preserve">, introduced in February 2024, focuses on developing efficient and cost-effective coal logistics. This policy aims to streamline coal evacuation processes and enhance operational efficiency. The </w:t>
      </w:r>
      <w:r w:rsidRPr="004521AB">
        <w:rPr>
          <w:i/>
          <w:iCs/>
          <w:szCs w:val="20"/>
        </w:rPr>
        <w:t xml:space="preserve">Coal Blocks Allocation (Amendment) Rules, </w:t>
      </w:r>
      <w:r w:rsidRPr="004521AB">
        <w:rPr>
          <w:szCs w:val="20"/>
        </w:rPr>
        <w:t>2023 further reflect the government's efforts to optimize the allocation, along with its plan to produce 1.5 BT (1,500 million tonne of coal) and management of coal resources, ensuring a more transparent and efficient process.</w:t>
      </w:r>
    </w:p>
    <w:p w14:paraId="2E394174" w14:textId="77777777" w:rsidR="00500E45" w:rsidRDefault="00500E45" w:rsidP="00500E45">
      <w:pPr>
        <w:pStyle w:val="Heading30"/>
        <w:ind w:left="900" w:right="450" w:hanging="900"/>
        <w:rPr>
          <w:rFonts w:cs="Arial"/>
        </w:rPr>
      </w:pPr>
      <w:r>
        <w:rPr>
          <w:rFonts w:cs="Arial"/>
        </w:rPr>
        <w:t>Effect of global events on the coal sector and focus on renewable power</w:t>
      </w:r>
    </w:p>
    <w:p w14:paraId="6590BA68" w14:textId="77777777" w:rsidR="00500E45" w:rsidRPr="00FE5B5D" w:rsidRDefault="00500E45" w:rsidP="00500E45">
      <w:pPr>
        <w:ind w:right="450"/>
        <w:rPr>
          <w:color w:val="auto"/>
          <w:szCs w:val="18"/>
        </w:rPr>
      </w:pPr>
      <w:r w:rsidRPr="00FE5B5D">
        <w:rPr>
          <w:color w:val="auto"/>
          <w:szCs w:val="18"/>
        </w:rPr>
        <w:t>The coal sector has been significantly impacted by global events leading to a decline in its dominance and a shift towards renewable energy sources. Here are some key events and trends that have influenced the coal sector and the growth of renewable energy:</w:t>
      </w:r>
    </w:p>
    <w:p w14:paraId="7C4C1B9E" w14:textId="77777777" w:rsidR="00500E45" w:rsidRPr="00FE5B5D" w:rsidRDefault="00500E45" w:rsidP="00500E45">
      <w:pPr>
        <w:ind w:right="450"/>
        <w:rPr>
          <w:color w:val="auto"/>
          <w:szCs w:val="18"/>
        </w:rPr>
      </w:pPr>
      <w:r w:rsidRPr="00FE5B5D">
        <w:rPr>
          <w:b/>
          <w:bCs/>
          <w:color w:val="auto"/>
          <w:szCs w:val="18"/>
        </w:rPr>
        <w:t>Global events impacting the coal sector:</w:t>
      </w:r>
    </w:p>
    <w:p w14:paraId="0ECC7590" w14:textId="77777777" w:rsidR="00500E45" w:rsidRPr="00FE5B5D" w:rsidRDefault="00500E45" w:rsidP="00500E45">
      <w:pPr>
        <w:pStyle w:val="ListParagraph"/>
        <w:numPr>
          <w:ilvl w:val="0"/>
          <w:numId w:val="42"/>
        </w:numPr>
        <w:ind w:right="450"/>
        <w:contextualSpacing w:val="0"/>
        <w:rPr>
          <w:color w:val="auto"/>
          <w:szCs w:val="18"/>
        </w:rPr>
      </w:pPr>
      <w:r w:rsidRPr="00FE5B5D">
        <w:rPr>
          <w:b/>
          <w:bCs/>
          <w:color w:val="auto"/>
          <w:szCs w:val="18"/>
        </w:rPr>
        <w:t>Paris Agreement (2015)</w:t>
      </w:r>
      <w:r w:rsidRPr="00FE5B5D">
        <w:rPr>
          <w:color w:val="auto"/>
          <w:szCs w:val="18"/>
        </w:rPr>
        <w:t>: The Paris Agreement set a global goal to limit global warming to well below 2°C and pursue efforts to limit it to 1.5°C above pre-industrial levels. This agreement marked a significant shift towards reducing greenhouse gas emissions, which has led to a decline in coal demand.</w:t>
      </w:r>
    </w:p>
    <w:p w14:paraId="54C6BDD9" w14:textId="77777777" w:rsidR="00500E45" w:rsidRPr="00FE5B5D" w:rsidRDefault="00500E45" w:rsidP="00500E45">
      <w:pPr>
        <w:pStyle w:val="ListParagraph"/>
        <w:numPr>
          <w:ilvl w:val="0"/>
          <w:numId w:val="42"/>
        </w:numPr>
        <w:ind w:right="450"/>
        <w:contextualSpacing w:val="0"/>
        <w:rPr>
          <w:color w:val="auto"/>
          <w:szCs w:val="18"/>
        </w:rPr>
      </w:pPr>
      <w:r w:rsidRPr="00FE5B5D">
        <w:rPr>
          <w:b/>
          <w:bCs/>
          <w:color w:val="auto"/>
          <w:szCs w:val="18"/>
        </w:rPr>
        <w:t>China's energy policy shift (2017)</w:t>
      </w:r>
      <w:r w:rsidRPr="00FE5B5D">
        <w:rPr>
          <w:color w:val="auto"/>
          <w:szCs w:val="18"/>
        </w:rPr>
        <w:t>: China, the world's largest coal consumer, announced plans to reduce coal consumption and increase renewable energy capacity. This shift has had a significant impact on global coal markets.</w:t>
      </w:r>
    </w:p>
    <w:p w14:paraId="676E11EF" w14:textId="77777777" w:rsidR="00500E45" w:rsidRPr="00FE5B5D" w:rsidRDefault="00500E45" w:rsidP="00500E45">
      <w:pPr>
        <w:pStyle w:val="ListParagraph"/>
        <w:numPr>
          <w:ilvl w:val="0"/>
          <w:numId w:val="42"/>
        </w:numPr>
        <w:ind w:right="450"/>
        <w:contextualSpacing w:val="0"/>
        <w:rPr>
          <w:color w:val="auto"/>
          <w:szCs w:val="18"/>
        </w:rPr>
      </w:pPr>
      <w:r w:rsidRPr="00FE5B5D">
        <w:rPr>
          <w:b/>
          <w:bCs/>
          <w:color w:val="auto"/>
          <w:szCs w:val="18"/>
        </w:rPr>
        <w:t>European Union's climate policies (2019)</w:t>
      </w:r>
      <w:r w:rsidRPr="00FE5B5D">
        <w:rPr>
          <w:color w:val="auto"/>
          <w:szCs w:val="18"/>
        </w:rPr>
        <w:t>: The EU introduced the European Green Deal, aiming to become carbon neutral by 2050. This has led to a decline in coal-fired power generation and an increase in renewable energy investments.</w:t>
      </w:r>
    </w:p>
    <w:p w14:paraId="04B2F171" w14:textId="77777777" w:rsidR="00500E45" w:rsidRPr="00FE5B5D" w:rsidRDefault="00500E45" w:rsidP="00500E45">
      <w:pPr>
        <w:pStyle w:val="ListParagraph"/>
        <w:numPr>
          <w:ilvl w:val="0"/>
          <w:numId w:val="42"/>
        </w:numPr>
        <w:ind w:right="450"/>
        <w:contextualSpacing w:val="0"/>
        <w:rPr>
          <w:color w:val="auto"/>
          <w:szCs w:val="18"/>
        </w:rPr>
      </w:pPr>
      <w:r w:rsidRPr="00FE5B5D">
        <w:rPr>
          <w:b/>
          <w:bCs/>
          <w:color w:val="auto"/>
          <w:szCs w:val="18"/>
        </w:rPr>
        <w:t>COVID-19 pandemic (2020)</w:t>
      </w:r>
      <w:r w:rsidRPr="00FE5B5D">
        <w:rPr>
          <w:color w:val="auto"/>
          <w:szCs w:val="18"/>
        </w:rPr>
        <w:t>: The pandemic led to a global economic downturn, resulting in reduced energy demand and a decline in coal prices. This accelerated the transition to renewable energy sources, as governments and companies sought to reduce costs and mitigate climate risks.</w:t>
      </w:r>
    </w:p>
    <w:p w14:paraId="5FE539F1" w14:textId="77777777" w:rsidR="00500E45" w:rsidRPr="00FE5B5D" w:rsidRDefault="00500E45" w:rsidP="00500E45">
      <w:pPr>
        <w:pStyle w:val="ListParagraph"/>
        <w:numPr>
          <w:ilvl w:val="0"/>
          <w:numId w:val="42"/>
        </w:numPr>
        <w:ind w:right="450"/>
        <w:contextualSpacing w:val="0"/>
        <w:rPr>
          <w:color w:val="auto"/>
          <w:szCs w:val="18"/>
        </w:rPr>
      </w:pPr>
      <w:r w:rsidRPr="00FE5B5D">
        <w:rPr>
          <w:b/>
          <w:bCs/>
          <w:color w:val="auto"/>
          <w:szCs w:val="18"/>
        </w:rPr>
        <w:t>Russia-Ukraine war (2022)</w:t>
      </w:r>
      <w:r w:rsidRPr="00FE5B5D">
        <w:rPr>
          <w:color w:val="auto"/>
          <w:szCs w:val="18"/>
        </w:rPr>
        <w:t>: Russia’s invasion of Ukraine in February 2022 and the subsequent war continues to have a profound impact on global energy markets</w:t>
      </w:r>
      <w:r>
        <w:rPr>
          <w:color w:val="auto"/>
          <w:szCs w:val="18"/>
        </w:rPr>
        <w:t xml:space="preserve"> leading to imposition of sanctions </w:t>
      </w:r>
      <w:r w:rsidRPr="00FE5B5D">
        <w:rPr>
          <w:color w:val="auto"/>
          <w:szCs w:val="18"/>
        </w:rPr>
        <w:t>on Russian producers</w:t>
      </w:r>
      <w:r>
        <w:rPr>
          <w:color w:val="auto"/>
          <w:szCs w:val="18"/>
        </w:rPr>
        <w:t xml:space="preserve"> thereby impacting the </w:t>
      </w:r>
      <w:r w:rsidRPr="00FE5B5D">
        <w:rPr>
          <w:color w:val="auto"/>
          <w:szCs w:val="18"/>
        </w:rPr>
        <w:t>Russian coal trade flows, which would have significant implications for the global met</w:t>
      </w:r>
      <w:r>
        <w:rPr>
          <w:color w:val="auto"/>
          <w:szCs w:val="18"/>
        </w:rPr>
        <w:t>allurgical</w:t>
      </w:r>
      <w:r w:rsidRPr="00FE5B5D">
        <w:rPr>
          <w:color w:val="auto"/>
          <w:szCs w:val="18"/>
        </w:rPr>
        <w:t xml:space="preserve"> coal market.</w:t>
      </w:r>
    </w:p>
    <w:p w14:paraId="77ECADBC" w14:textId="77777777" w:rsidR="00500E45" w:rsidRPr="00FE5B5D" w:rsidRDefault="00500E45" w:rsidP="00500E45">
      <w:pPr>
        <w:ind w:right="450"/>
        <w:rPr>
          <w:color w:val="auto"/>
          <w:szCs w:val="18"/>
        </w:rPr>
      </w:pPr>
      <w:r w:rsidRPr="00FE5B5D">
        <w:rPr>
          <w:b/>
          <w:bCs/>
          <w:color w:val="auto"/>
          <w:szCs w:val="18"/>
        </w:rPr>
        <w:t>Factors influencing growth of renewable energy:</w:t>
      </w:r>
    </w:p>
    <w:p w14:paraId="4DD207AC" w14:textId="77777777" w:rsidR="00500E45" w:rsidRPr="00FE5B5D" w:rsidRDefault="00500E45" w:rsidP="00500E45">
      <w:pPr>
        <w:numPr>
          <w:ilvl w:val="0"/>
          <w:numId w:val="43"/>
        </w:numPr>
        <w:ind w:right="450"/>
        <w:rPr>
          <w:color w:val="auto"/>
          <w:szCs w:val="18"/>
        </w:rPr>
      </w:pPr>
      <w:r w:rsidRPr="00FE5B5D">
        <w:rPr>
          <w:b/>
          <w:bCs/>
          <w:color w:val="auto"/>
          <w:szCs w:val="18"/>
        </w:rPr>
        <w:t>Cost competitiveness</w:t>
      </w:r>
      <w:r w:rsidRPr="00FE5B5D">
        <w:rPr>
          <w:color w:val="auto"/>
          <w:szCs w:val="18"/>
        </w:rPr>
        <w:t>: The cost of renewable energy technologies, such as solar and wind power, has decreased dramatically, making them more competitive with fossil fuels. Since 2010, the cost of solar photovoltaic electricity has fallen 85%, and the costs of both onshore and offshore wind electricity have been cut by about half. Both of these renewable sources are now cost-competitive with fossil fuel electricity.</w:t>
      </w:r>
    </w:p>
    <w:p w14:paraId="0D7D2D6D" w14:textId="77777777" w:rsidR="00500E45" w:rsidRPr="00FE5B5D" w:rsidRDefault="00500E45" w:rsidP="00500E45">
      <w:pPr>
        <w:numPr>
          <w:ilvl w:val="0"/>
          <w:numId w:val="43"/>
        </w:numPr>
        <w:ind w:right="450"/>
        <w:rPr>
          <w:color w:val="auto"/>
          <w:szCs w:val="18"/>
        </w:rPr>
      </w:pPr>
      <w:r w:rsidRPr="00FE5B5D">
        <w:rPr>
          <w:b/>
          <w:bCs/>
          <w:color w:val="auto"/>
          <w:szCs w:val="18"/>
        </w:rPr>
        <w:t>Government policies and targets</w:t>
      </w:r>
      <w:r w:rsidRPr="00FE5B5D">
        <w:rPr>
          <w:color w:val="auto"/>
          <w:szCs w:val="18"/>
        </w:rPr>
        <w:t xml:space="preserve">: </w:t>
      </w:r>
      <w:r w:rsidRPr="00190D8C">
        <w:rPr>
          <w:color w:val="auto"/>
          <w:szCs w:val="18"/>
        </w:rPr>
        <w:t xml:space="preserve">Policy support has been essential for the growth of renewable energy. Renewable energy tax credits and subsidies, feed-in tariffs, and competitive auctions have all helped reduce costs and spur deployment. Government investment in research and development has been essential in promoting innovation in renewable energy. China, Europe and the United States have become leaders in solar and wind through policy support, and worldwide, 165 countries have targets to increase renewable energy. India, in particular, has set ambitious targets through its Panchamrit Goals, which aim to reduce the country's carbon footprint and increase the share of non-fossil fuels in its energy mix. </w:t>
      </w:r>
    </w:p>
    <w:p w14:paraId="16445D35" w14:textId="77777777" w:rsidR="00500E45" w:rsidRDefault="00500E45" w:rsidP="00500E45">
      <w:pPr>
        <w:numPr>
          <w:ilvl w:val="0"/>
          <w:numId w:val="43"/>
        </w:numPr>
        <w:ind w:right="450"/>
        <w:rPr>
          <w:color w:val="auto"/>
          <w:szCs w:val="18"/>
        </w:rPr>
      </w:pPr>
      <w:r w:rsidRPr="00FE5B5D">
        <w:rPr>
          <w:b/>
          <w:bCs/>
          <w:color w:val="auto"/>
          <w:szCs w:val="18"/>
        </w:rPr>
        <w:t>Technological advancements</w:t>
      </w:r>
      <w:r w:rsidRPr="00FE5B5D">
        <w:rPr>
          <w:color w:val="auto"/>
          <w:szCs w:val="18"/>
        </w:rPr>
        <w:t>: Improvements in energy storage, smart grids, and other technologies have enhanced the efficiency and reliability of renewable energy systems.</w:t>
      </w:r>
    </w:p>
    <w:p w14:paraId="57B86CFB" w14:textId="77777777" w:rsidR="00500E45" w:rsidRPr="00623692" w:rsidRDefault="00500E45" w:rsidP="00500E45">
      <w:pPr>
        <w:numPr>
          <w:ilvl w:val="0"/>
          <w:numId w:val="43"/>
        </w:numPr>
        <w:ind w:right="450"/>
        <w:rPr>
          <w:color w:val="auto"/>
          <w:szCs w:val="18"/>
        </w:rPr>
      </w:pPr>
      <w:r w:rsidRPr="00917DD2">
        <w:rPr>
          <w:b/>
          <w:bCs/>
          <w:color w:val="auto"/>
          <w:szCs w:val="18"/>
        </w:rPr>
        <w:t>Attracts Incentives and Subsidies</w:t>
      </w:r>
      <w:r>
        <w:rPr>
          <w:b/>
          <w:bCs/>
          <w:color w:val="auto"/>
          <w:szCs w:val="18"/>
        </w:rPr>
        <w:t xml:space="preserve">: </w:t>
      </w:r>
      <w:r w:rsidRPr="00623692">
        <w:rPr>
          <w:color w:val="auto"/>
          <w:szCs w:val="18"/>
        </w:rPr>
        <w:t>The renewable energy sector attracts various incentives and subsidies that make it an attractive option for investors and developers</w:t>
      </w:r>
      <w:r>
        <w:rPr>
          <w:color w:val="auto"/>
          <w:szCs w:val="18"/>
        </w:rPr>
        <w:t>. I</w:t>
      </w:r>
      <w:r w:rsidRPr="00B47251">
        <w:rPr>
          <w:color w:val="auto"/>
          <w:szCs w:val="18"/>
        </w:rPr>
        <w:t>ncentives include tax credits, grants, and low-interest loans, which help to reduce the upfront costs of renewable energy projects.</w:t>
      </w:r>
    </w:p>
    <w:p w14:paraId="5939B1E6" w14:textId="77777777" w:rsidR="00500E45" w:rsidRDefault="00500E45" w:rsidP="00500E45">
      <w:pPr>
        <w:ind w:right="450"/>
        <w:rPr>
          <w:color w:val="auto"/>
          <w:szCs w:val="18"/>
        </w:rPr>
      </w:pPr>
      <w:r w:rsidRPr="00FE5B5D">
        <w:rPr>
          <w:color w:val="auto"/>
          <w:szCs w:val="18"/>
        </w:rPr>
        <w:t>The coal sector has been significantly impacted by global events, leading to a decline in its dominance and a shift towards renewable energy sources. As the world transitions to a low-carbon economy, the focus on renewable power will continue to grow, driven by declining costs, increasing investment, and government policies and targets.</w:t>
      </w:r>
    </w:p>
    <w:p w14:paraId="546748B9" w14:textId="77777777" w:rsidR="0041274F" w:rsidRPr="00FE5B5D" w:rsidRDefault="0041274F" w:rsidP="0041274F">
      <w:pPr>
        <w:pStyle w:val="Heading2"/>
        <w:ind w:right="450"/>
      </w:pPr>
      <w:bookmarkStart w:id="308" w:name="_Toc198730367"/>
      <w:r w:rsidRPr="00FE5B5D">
        <w:t>Indian coal market overview and assessment</w:t>
      </w:r>
      <w:bookmarkEnd w:id="308"/>
      <w:r w:rsidRPr="00FE5B5D">
        <w:t xml:space="preserve"> </w:t>
      </w:r>
    </w:p>
    <w:p w14:paraId="195DB55B" w14:textId="77777777" w:rsidR="0041274F" w:rsidRPr="00763E1B" w:rsidRDefault="0041274F" w:rsidP="0041274F">
      <w:pPr>
        <w:pStyle w:val="Heading30"/>
        <w:ind w:left="900" w:right="450" w:hanging="900"/>
        <w:rPr>
          <w:rFonts w:cs="Arial"/>
        </w:rPr>
      </w:pPr>
      <w:r w:rsidRPr="00763E1B">
        <w:t>Coal market structure</w:t>
      </w:r>
    </w:p>
    <w:p w14:paraId="3B0316DC" w14:textId="467B18D2" w:rsidR="0041274F" w:rsidRPr="00FE5B5D" w:rsidRDefault="0041274F" w:rsidP="0041274F">
      <w:pPr>
        <w:spacing w:before="160" w:after="120"/>
        <w:ind w:right="450"/>
        <w:rPr>
          <w:color w:val="auto"/>
          <w:szCs w:val="20"/>
        </w:rPr>
      </w:pPr>
      <w:r w:rsidRPr="00FE5B5D">
        <w:rPr>
          <w:color w:val="auto"/>
          <w:szCs w:val="20"/>
        </w:rPr>
        <w:t xml:space="preserve">India’s energy landscape also heavily depends on the fossil fuel, with the country consuming about 13% of the world’s coal. Coal-based thermal power plants continue to dominate electricity generation in India, accounting for </w:t>
      </w:r>
      <w:r w:rsidR="00917F4E">
        <w:t xml:space="preserve">approximately </w:t>
      </w:r>
      <w:r w:rsidRPr="00FE5B5D">
        <w:rPr>
          <w:color w:val="auto"/>
          <w:szCs w:val="20"/>
        </w:rPr>
        <w:t>73% in fiscal 2024</w:t>
      </w:r>
      <w:r w:rsidRPr="00FE5B5D">
        <w:rPr>
          <w:color w:val="auto"/>
          <w:szCs w:val="20"/>
          <w:vertAlign w:val="superscript"/>
        </w:rPr>
        <w:footnoteReference w:id="32"/>
      </w:r>
      <w:r w:rsidRPr="00FE5B5D">
        <w:rPr>
          <w:color w:val="auto"/>
          <w:szCs w:val="20"/>
        </w:rPr>
        <w:t xml:space="preserve">. Coal production in India is majorly dominated by CIL (313 operating mines) and Singareni Collieries Company Ltd (SCCL; 40 operating mines) with production by other captive and commercial players. In fiscal 2024, the combined coal supply of CIL (78%) and SCCL (7%) accounted for </w:t>
      </w:r>
      <w:r w:rsidR="00917F4E">
        <w:t xml:space="preserve">approximately </w:t>
      </w:r>
      <w:r w:rsidRPr="00FE5B5D">
        <w:rPr>
          <w:color w:val="auto"/>
          <w:szCs w:val="20"/>
        </w:rPr>
        <w:t>85% of the total domestic coal supply by volume (</w:t>
      </w:r>
      <w:r w:rsidR="00917F4E">
        <w:t xml:space="preserve">approximately </w:t>
      </w:r>
      <w:r w:rsidRPr="00FE5B5D">
        <w:rPr>
          <w:color w:val="auto"/>
          <w:szCs w:val="20"/>
        </w:rPr>
        <w:t>843 MMT), with the remaining 15% supply (154 MMT) met via captive /other commercial blocks.</w:t>
      </w:r>
    </w:p>
    <w:p w14:paraId="0090D59C" w14:textId="77777777" w:rsidR="0041274F" w:rsidRPr="00FE5B5D" w:rsidRDefault="0041274F" w:rsidP="0041274F">
      <w:pPr>
        <w:pStyle w:val="Heading30"/>
        <w:ind w:left="900" w:right="450" w:hanging="900"/>
        <w:rPr>
          <w:rFonts w:cs="Arial"/>
        </w:rPr>
      </w:pPr>
      <w:r w:rsidRPr="00FE5B5D">
        <w:t>Demand of coal</w:t>
      </w:r>
    </w:p>
    <w:p w14:paraId="4F5F736C" w14:textId="2D1A2CA5" w:rsidR="0041274F" w:rsidRPr="00FE5B5D" w:rsidRDefault="0041274F" w:rsidP="0041274F">
      <w:pPr>
        <w:ind w:right="450"/>
        <w:rPr>
          <w:color w:val="auto"/>
          <w:szCs w:val="20"/>
        </w:rPr>
      </w:pPr>
      <w:r w:rsidRPr="00FE5B5D">
        <w:rPr>
          <w:color w:val="auto"/>
          <w:szCs w:val="20"/>
        </w:rPr>
        <w:t xml:space="preserve">Coal is a useful source of energy not only for the power sector (utilities and CPPs) but also for others such as steel, direct reduced iron (DRI), sponge, cement and bricks. The power sector comprising power utilities and captive power plants (CPPs) accounted for </w:t>
      </w:r>
      <w:r w:rsidR="00917F4E">
        <w:t xml:space="preserve">approximately </w:t>
      </w:r>
      <w:r w:rsidRPr="00FE5B5D">
        <w:rPr>
          <w:color w:val="auto"/>
          <w:szCs w:val="20"/>
        </w:rPr>
        <w:t>70% of coal consumption in fiscal 2024</w:t>
      </w:r>
      <w:r w:rsidRPr="00FE5B5D">
        <w:rPr>
          <w:color w:val="auto"/>
          <w:szCs w:val="20"/>
          <w:vertAlign w:val="superscript"/>
        </w:rPr>
        <w:footnoteReference w:id="33"/>
      </w:r>
      <w:r w:rsidRPr="00FE5B5D">
        <w:rPr>
          <w:color w:val="auto"/>
          <w:szCs w:val="20"/>
        </w:rPr>
        <w:t xml:space="preserve"> and, thus, is central to the outlook for coal in the country. </w:t>
      </w:r>
    </w:p>
    <w:p w14:paraId="1BDBE774" w14:textId="7AE49934" w:rsidR="0041274F" w:rsidRPr="00FE5B5D" w:rsidRDefault="0041274F" w:rsidP="0041274F">
      <w:pPr>
        <w:keepNext/>
        <w:keepLines/>
        <w:spacing w:line="276" w:lineRule="auto"/>
        <w:ind w:right="450"/>
        <w:rPr>
          <w:rFonts w:eastAsia="Times New Roman" w:cs="Book Antiqua"/>
          <w:b/>
          <w:bCs/>
          <w:kern w:val="0"/>
          <w:szCs w:val="18"/>
          <w:lang w:val="en-GB" w:eastAsia="en-IN"/>
          <w14:ligatures w14:val="none"/>
        </w:rPr>
      </w:pPr>
      <w:bookmarkStart w:id="309" w:name="_Toc198731508"/>
      <w:r w:rsidRPr="00FE5B5D">
        <w:rPr>
          <w:rFonts w:eastAsia="Times New Roman" w:cs="Book Antiqua"/>
          <w:b/>
          <w:bCs/>
          <w:kern w:val="0"/>
          <w:szCs w:val="18"/>
          <w:lang w:val="en-GB" w:eastAsia="en-IN"/>
          <w14:ligatures w14:val="none"/>
        </w:rPr>
        <w:t xml:space="preserve">Figure </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STYLEREF 1 \s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2</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SEQ Figure \* ARABIC \s 1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10</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 xml:space="preserve"> </w:t>
      </w:r>
      <w:r w:rsidRPr="00D202D8">
        <w:rPr>
          <w:rFonts w:eastAsia="Times New Roman" w:cs="Book Antiqua"/>
          <w:b/>
          <w:bCs/>
          <w:kern w:val="0"/>
          <w:szCs w:val="18"/>
          <w:lang w:val="en-GB" w:eastAsia="en-IN"/>
          <w14:ligatures w14:val="none"/>
        </w:rPr>
        <w:t>India’s coal demand by end-use sectors fiscal 2024</w:t>
      </w:r>
      <w:bookmarkEnd w:id="309"/>
    </w:p>
    <w:p w14:paraId="5E4B1DB0" w14:textId="77777777" w:rsidR="0041274F" w:rsidRPr="00FE5B5D" w:rsidRDefault="0041274F" w:rsidP="0041274F">
      <w:pPr>
        <w:spacing w:before="160" w:line="240" w:lineRule="auto"/>
        <w:ind w:right="450"/>
        <w:rPr>
          <w:rFonts w:eastAsia="Times New Roman"/>
          <w:color w:val="auto"/>
        </w:rPr>
      </w:pPr>
      <w:r w:rsidRPr="00FE5B5D">
        <w:rPr>
          <w:rFonts w:eastAsia="Times New Roman"/>
          <w:noProof/>
          <w:color w:val="auto"/>
          <w:lang w:eastAsia="en-IN"/>
        </w:rPr>
        <w:drawing>
          <wp:inline distT="0" distB="0" distL="0" distR="0" wp14:anchorId="48BE7990" wp14:editId="4E4A7249">
            <wp:extent cx="6492240" cy="1910282"/>
            <wp:effectExtent l="0" t="0" r="0" b="0"/>
            <wp:docPr id="347031349" name="Chart 347031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BECCE5" w14:textId="77777777" w:rsidR="0041274F" w:rsidRPr="00FE5B5D" w:rsidRDefault="0041274F" w:rsidP="0041274F">
      <w:pPr>
        <w:ind w:right="450"/>
        <w:rPr>
          <w:i/>
          <w:iCs/>
          <w:color w:val="auto"/>
          <w:sz w:val="16"/>
          <w:szCs w:val="16"/>
        </w:rPr>
      </w:pPr>
      <w:r w:rsidRPr="00FE5B5D">
        <w:rPr>
          <w:i/>
          <w:iCs/>
          <w:color w:val="auto"/>
          <w:sz w:val="16"/>
          <w:szCs w:val="16"/>
        </w:rPr>
        <w:t>Source: Ministry of Coal Annual Report 2024-25; Others include imports as well which are being used in Power, Power (Captive), Cement, Steel-DRI etc. and hence the actual share of these sectors will vary</w:t>
      </w:r>
    </w:p>
    <w:p w14:paraId="6CC72C81" w14:textId="4721FAF8" w:rsidR="0041274F" w:rsidRPr="00FE5B5D" w:rsidRDefault="0041274F" w:rsidP="0041274F">
      <w:pPr>
        <w:ind w:right="450"/>
        <w:rPr>
          <w:color w:val="auto"/>
          <w:szCs w:val="20"/>
        </w:rPr>
      </w:pPr>
      <w:r w:rsidRPr="00FE5B5D">
        <w:rPr>
          <w:color w:val="auto"/>
          <w:szCs w:val="20"/>
        </w:rPr>
        <w:t>Coal demand grew by 3.</w:t>
      </w:r>
      <w:r>
        <w:rPr>
          <w:color w:val="auto"/>
          <w:szCs w:val="20"/>
        </w:rPr>
        <w:t>8</w:t>
      </w:r>
      <w:r w:rsidRPr="00FE5B5D">
        <w:rPr>
          <w:color w:val="auto"/>
          <w:szCs w:val="20"/>
        </w:rPr>
        <w:t>%, a 9-year CAGR between fiscal 2015 and 2024 and is expected to grow by 4.</w:t>
      </w:r>
      <w:r>
        <w:rPr>
          <w:color w:val="auto"/>
          <w:szCs w:val="20"/>
        </w:rPr>
        <w:t>1</w:t>
      </w:r>
      <w:r w:rsidRPr="00FE5B5D">
        <w:rPr>
          <w:color w:val="auto"/>
          <w:szCs w:val="20"/>
        </w:rPr>
        <w:t>%</w:t>
      </w:r>
      <w:r>
        <w:rPr>
          <w:color w:val="auto"/>
          <w:szCs w:val="20"/>
        </w:rPr>
        <w:t xml:space="preserve"> at</w:t>
      </w:r>
      <w:r w:rsidRPr="00FE5B5D">
        <w:rPr>
          <w:color w:val="auto"/>
          <w:szCs w:val="20"/>
        </w:rPr>
        <w:t xml:space="preserve"> </w:t>
      </w:r>
      <w:r>
        <w:rPr>
          <w:color w:val="auto"/>
          <w:szCs w:val="20"/>
        </w:rPr>
        <w:t>6</w:t>
      </w:r>
      <w:r w:rsidRPr="00FE5B5D">
        <w:rPr>
          <w:color w:val="auto"/>
          <w:szCs w:val="20"/>
        </w:rPr>
        <w:t xml:space="preserve">-year </w:t>
      </w:r>
      <w:r w:rsidRPr="00746D8E">
        <w:rPr>
          <w:color w:val="auto"/>
          <w:szCs w:val="20"/>
        </w:rPr>
        <w:t xml:space="preserve">CAGR between fiscal 2024 and 2030, with more than 60% contribution from power sector (thermal and captive) by fiscal 2030. During demand estimation, coal with levelized grade of G10 has been considered. It may be noted that the actual demand for raw coal will be higher as </w:t>
      </w:r>
      <w:r w:rsidR="00C03E46" w:rsidRPr="00746D8E">
        <w:rPr>
          <w:color w:val="auto"/>
          <w:szCs w:val="20"/>
        </w:rPr>
        <w:t>the average</w:t>
      </w:r>
      <w:r w:rsidRPr="00746D8E">
        <w:rPr>
          <w:color w:val="auto"/>
          <w:szCs w:val="20"/>
        </w:rPr>
        <w:t xml:space="preserve"> produced grade of coal is G11 and going forward the grade is expected to further reduce. Only non-coking coal has been levelized in this case and coking coal has been considered at actual. </w:t>
      </w:r>
      <w:r w:rsidR="009F72A3" w:rsidRPr="00746D8E">
        <w:rPr>
          <w:color w:val="auto"/>
          <w:szCs w:val="20"/>
        </w:rPr>
        <w:t xml:space="preserve">The growth in coal demand </w:t>
      </w:r>
      <w:r w:rsidR="00621C0F" w:rsidRPr="00746D8E">
        <w:rPr>
          <w:color w:val="auto"/>
          <w:szCs w:val="20"/>
        </w:rPr>
        <w:t>will likely to continue till fiscal 2035</w:t>
      </w:r>
      <w:r w:rsidR="006F1F5A" w:rsidRPr="00746D8E">
        <w:rPr>
          <w:color w:val="auto"/>
          <w:szCs w:val="20"/>
        </w:rPr>
        <w:t>.</w:t>
      </w:r>
      <w:r w:rsidR="006F1F5A">
        <w:rPr>
          <w:color w:val="auto"/>
          <w:szCs w:val="20"/>
        </w:rPr>
        <w:t xml:space="preserve"> </w:t>
      </w:r>
    </w:p>
    <w:p w14:paraId="30033D5D" w14:textId="1D787A28" w:rsidR="0041274F" w:rsidRPr="00FE5B5D" w:rsidRDefault="0041274F" w:rsidP="0041274F">
      <w:pPr>
        <w:keepNext/>
        <w:keepLines/>
        <w:spacing w:line="276" w:lineRule="auto"/>
        <w:ind w:right="450"/>
        <w:rPr>
          <w:rFonts w:eastAsia="Times New Roman" w:cs="Book Antiqua"/>
          <w:b/>
          <w:bCs/>
          <w:kern w:val="0"/>
          <w:szCs w:val="18"/>
          <w:lang w:val="en-GB" w:eastAsia="en-IN"/>
          <w14:ligatures w14:val="none"/>
        </w:rPr>
      </w:pPr>
      <w:bookmarkStart w:id="310" w:name="_Toc198731509"/>
      <w:r w:rsidRPr="00FE5B5D">
        <w:rPr>
          <w:rFonts w:eastAsia="Times New Roman" w:cs="Book Antiqua"/>
          <w:b/>
          <w:bCs/>
          <w:kern w:val="0"/>
          <w:szCs w:val="18"/>
          <w:lang w:val="en-GB" w:eastAsia="en-IN"/>
          <w14:ligatures w14:val="none"/>
        </w:rPr>
        <w:t xml:space="preserve">Figure </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STYLEREF 1 \s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2</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SEQ Figure \* ARABIC \s 1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11</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 xml:space="preserve"> Overall coal demand in India – thermal coal (non-coking) and coking coal (MMT)</w:t>
      </w:r>
      <w:bookmarkEnd w:id="310"/>
    </w:p>
    <w:p w14:paraId="0755E3F1" w14:textId="3560E19B" w:rsidR="0041274F" w:rsidRPr="00FE5B5D" w:rsidRDefault="00DB5722" w:rsidP="0041274F">
      <w:pPr>
        <w:spacing w:line="240" w:lineRule="auto"/>
        <w:ind w:right="450"/>
        <w:rPr>
          <w:szCs w:val="20"/>
        </w:rPr>
      </w:pPr>
      <w:r w:rsidRPr="00FE5B5D">
        <w:rPr>
          <w:noProof/>
        </w:rPr>
        <mc:AlternateContent>
          <mc:Choice Requires="wps">
            <w:drawing>
              <wp:anchor distT="0" distB="0" distL="114300" distR="114300" simplePos="0" relativeHeight="251658257" behindDoc="0" locked="0" layoutInCell="1" allowOverlap="1" wp14:anchorId="190F46B8" wp14:editId="30752802">
                <wp:simplePos x="0" y="0"/>
                <wp:positionH relativeFrom="column">
                  <wp:posOffset>237517</wp:posOffset>
                </wp:positionH>
                <wp:positionV relativeFrom="paragraph">
                  <wp:posOffset>620422</wp:posOffset>
                </wp:positionV>
                <wp:extent cx="2843254" cy="324512"/>
                <wp:effectExtent l="19050" t="57150" r="14605" b="94615"/>
                <wp:wrapNone/>
                <wp:docPr id="2108468" name="Straight Arrow Connector 23"/>
                <wp:cNvGraphicFramePr/>
                <a:graphic xmlns:a="http://schemas.openxmlformats.org/drawingml/2006/main">
                  <a:graphicData uri="http://schemas.microsoft.com/office/word/2010/wordprocessingShape">
                    <wps:wsp>
                      <wps:cNvCnPr/>
                      <wps:spPr>
                        <a:xfrm flipV="1">
                          <a:off x="0" y="0"/>
                          <a:ext cx="2843254" cy="324512"/>
                        </a:xfrm>
                        <a:prstGeom prst="straightConnector1">
                          <a:avLst/>
                        </a:prstGeom>
                        <a:noFill/>
                        <a:ln w="6350" cap="flat" cmpd="sng" algn="ctr">
                          <a:solidFill>
                            <a:srgbClr val="78208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EC9F6D" id="_x0000_t32" coordsize="21600,21600" o:spt="32" o:oned="t" path="m,l21600,21600e" filled="f">
                <v:path arrowok="t" fillok="f" o:connecttype="none"/>
                <o:lock v:ext="edit" shapetype="t"/>
              </v:shapetype>
              <v:shape id="Straight Arrow Connector 23" o:spid="_x0000_s1026" type="#_x0000_t32" style="position:absolute;margin-left:18.7pt;margin-top:48.85pt;width:223.9pt;height:25.5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Sd2AEAAJoDAAAOAAAAZHJzL2Uyb0RvYy54bWysU01v2zAMvQ/YfxB0X+w4SRcEcXpI1l2G&#10;rcC63RlZsgXoC5QWJ/9+lJxl3cepqA8CKYqPfOTz9v5sDTtJjNq7ls9nNWfSCd9p17f829PDuzVn&#10;MYHrwHgnW36Rkd/v3r7ZjmEjGz9400lkBOLiZgwtH1IKm6qKYpAW4swH6SioPFpI5GJfdQgjoVtT&#10;NXV9V40eu4BeyBjp9jAF+a7gKyVF+qJUlImZllNvqZxYzmM+q90WNj1CGLS4tgEv6MKCdlT0BnWA&#10;BOwH6n+grBboo1dpJrytvFJayMKB2Mzrv9h8HSDIwoWGE8NtTPH1YMXn0949Io1hDHETwyNmFmeF&#10;limjw3faaeFFnbJzGdvlNjZ5TkzQZbNeLprVkjNBsUWzXM2bPNdqwsl4AWP6KL1l2Wh5TAi6H9Le&#10;O0cb8jjVgNOnmKbEXwk52fkHbUxZlHFsbPndYkWrFEByUQYSmTZ0hOp6zsD0pEORsHQdvdFdzs44&#10;Efvj3iA7AWnh/bqp12X91OYfz3LpA8RheldCk0qsTiRVo23L13X+putBQvfBdSxdAuk7oQbXGznF&#10;Emjz/xhVNS53JYtIr8R/7yBbR99dymqq7JEAykyvYs0Ke+6T/fyX2v0EAAD//wMAUEsDBBQABgAI&#10;AAAAIQDLcahe4AAAAAkBAAAPAAAAZHJzL2Rvd25yZXYueG1sTI/LTsMwEEX3SPyDNUhsEHVoA3kQ&#10;p0Ig2HQDBfHYufGQRMTjyHab8PcMK1iO7tG9Z6r1bAdxQB96RwouFgkIpMaZnloFL8/35zmIEDUZ&#10;PThCBd8YYF0fH1W6NG6iJzxsYyu4hEKpFXQxjqWUoenQ6rBwIxJnn85bHfn0rTReT1xuB7lMkitp&#10;dU+80OkRbztsvrZ7q8Bv0HxM7gHHu7f3yRRn7WuxelTq9GS+uQYRcY5/MPzqszrU7LRzezJBDApW&#10;WcqkgiLLQHCe5pdLEDsG0zwHWVfy/wf1DwAAAP//AwBQSwECLQAUAAYACAAAACEAtoM4kv4AAADh&#10;AQAAEwAAAAAAAAAAAAAAAAAAAAAAW0NvbnRlbnRfVHlwZXNdLnhtbFBLAQItABQABgAIAAAAIQA4&#10;/SH/1gAAAJQBAAALAAAAAAAAAAAAAAAAAC8BAABfcmVscy8ucmVsc1BLAQItABQABgAIAAAAIQB6&#10;VgSd2AEAAJoDAAAOAAAAAAAAAAAAAAAAAC4CAABkcnMvZTJvRG9jLnhtbFBLAQItABQABgAIAAAA&#10;IQDLcahe4AAAAAkBAAAPAAAAAAAAAAAAAAAAADIEAABkcnMvZG93bnJldi54bWxQSwUGAAAAAAQA&#10;BADzAAAAPwUAAAAA&#10;" strokecolor="#782080" strokeweight=".5pt">
                <v:stroke startarrow="block" endarrow="block" joinstyle="miter"/>
              </v:shape>
            </w:pict>
          </mc:Fallback>
        </mc:AlternateContent>
      </w:r>
      <w:r w:rsidRPr="00FE5B5D">
        <w:rPr>
          <w:noProof/>
        </w:rPr>
        <mc:AlternateContent>
          <mc:Choice Requires="wps">
            <w:drawing>
              <wp:anchor distT="0" distB="0" distL="114300" distR="114300" simplePos="0" relativeHeight="251658259" behindDoc="0" locked="0" layoutInCell="1" allowOverlap="1" wp14:anchorId="2273EC53" wp14:editId="447AA2FF">
                <wp:simplePos x="0" y="0"/>
                <wp:positionH relativeFrom="column">
                  <wp:posOffset>719786</wp:posOffset>
                </wp:positionH>
                <wp:positionV relativeFrom="paragraph">
                  <wp:posOffset>483759</wp:posOffset>
                </wp:positionV>
                <wp:extent cx="1463040" cy="215196"/>
                <wp:effectExtent l="0" t="57150" r="0" b="52070"/>
                <wp:wrapNone/>
                <wp:docPr id="1760989142" name="Text Box 25"/>
                <wp:cNvGraphicFramePr/>
                <a:graphic xmlns:a="http://schemas.openxmlformats.org/drawingml/2006/main">
                  <a:graphicData uri="http://schemas.microsoft.com/office/word/2010/wordprocessingShape">
                    <wps:wsp>
                      <wps:cNvSpPr txBox="1"/>
                      <wps:spPr>
                        <a:xfrm rot="21259366">
                          <a:off x="0" y="0"/>
                          <a:ext cx="1463040" cy="215196"/>
                        </a:xfrm>
                        <a:prstGeom prst="rect">
                          <a:avLst/>
                        </a:prstGeom>
                        <a:noFill/>
                        <a:ln w="6350">
                          <a:noFill/>
                        </a:ln>
                      </wps:spPr>
                      <wps:txbx>
                        <w:txbxContent>
                          <w:p w14:paraId="2E226528" w14:textId="77777777" w:rsidR="0041274F" w:rsidRDefault="0041274F" w:rsidP="00662938">
                            <w:pPr>
                              <w:spacing w:before="0" w:after="0" w:line="240" w:lineRule="auto"/>
                              <w:jc w:val="center"/>
                            </w:pPr>
                            <w:r>
                              <w:t>CAGR: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3EC53" id="_x0000_t202" coordsize="21600,21600" o:spt="202" path="m,l,21600r21600,l21600,xe">
                <v:stroke joinstyle="miter"/>
                <v:path gradientshapeok="t" o:connecttype="rect"/>
              </v:shapetype>
              <v:shape id="Text Box 25" o:spid="_x0000_s1058" type="#_x0000_t202" style="position:absolute;left:0;text-align:left;margin-left:56.7pt;margin-top:38.1pt;width:115.2pt;height:16.95pt;rotation:-37206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rMJAIAAEMEAAAOAAAAZHJzL2Uyb0RvYy54bWysU01v2zAMvQ/YfxB0X/yRxGuMOEXWIsOA&#10;oi2QFj0rshwbkEVNUmJnv36UHKdBt9Owi0CR1CP5HrW87VtJjsLYBlRBk0lMiVAcykbtC/r6svly&#10;Q4l1TJVMghIFPQlLb1efPy07nYsUapClMARBlM07XdDaOZ1HkeW1aJmdgBYKgxWYljm8mn1UGtYh&#10;eiujNI6zqANTagNcWIve+yFIVwG/qgR3T1VlhSOyoNibC6cJ586f0WrJ8r1hum74uQ32D120rFFY&#10;9AJ1zxwjB9P8AdU23ICFyk04tBFUVcNFmAGnSeIP02xrpkWYBcmx+kKT/X+w/PG41c+GuP4b9Cig&#10;J6TTNrfo9PP0lWmJAeQtTdL5YpplYUxsnGA6Mnq6sCh6R7jHmGXTeIYhjrE0mSeLzKNGA5gH1ca6&#10;7wJa4o2CGlQpoLLjg3VD6pji0xVsGimDUlKRrqDZdB6HB5cIgkuFNd5b95brdz1pSuziZpxrB+UJ&#10;xw0TYYtW802DTTww656ZQenRievsnvCoJGAxOFuU1GB+/c3v81ERjFLS4SoV1P48MCMokT8UarVI&#10;Zp4OFy6z+dcUL+Y6sruOqEN7B7itSegumD7fydGsDLRvuPVrXxVDTHGsXVA3mnduWHD8NVys1yEJ&#10;t00z96C2mnvoUYWX/o0ZfdbBoYKPMC4dyz/IMeQOgqwPDqomaOWJHlg984+bGtQ+/yr/Fa7vIev9&#10;769+AwAA//8DAFBLAwQUAAYACAAAACEAdTOQq90AAAAKAQAADwAAAGRycy9kb3ducmV2LnhtbEyP&#10;wU7DMBBE70j8g7VI3KidprRViFMhBLceoIDao5MsScBeR7HbhL9neyrH0Yxm3uSbyVlxwiF0njQk&#10;MwUCqfJ1R42Gj/eXuzWIEA3VxnpCDb8YYFNcX+Umq/1Ib3jaxUZwCYXMaGhj7DMpQ9WiM2HmeyT2&#10;vvzgTGQ5NLIezMjlzsq5UkvpTEe80Joen1qsfnZHp8HvK5XSuDp8b1+f76Mt1+bTbrW+vZkeH0BE&#10;nOIlDGd8RoeCmUp/pDoIyzpJFxzVsFrOQXAgXaT8pTw7KgFZ5PL/heIPAAD//wMAUEsBAi0AFAAG&#10;AAgAAAAhALaDOJL+AAAA4QEAABMAAAAAAAAAAAAAAAAAAAAAAFtDb250ZW50X1R5cGVzXS54bWxQ&#10;SwECLQAUAAYACAAAACEAOP0h/9YAAACUAQAACwAAAAAAAAAAAAAAAAAvAQAAX3JlbHMvLnJlbHNQ&#10;SwECLQAUAAYACAAAACEAKwu6zCQCAABDBAAADgAAAAAAAAAAAAAAAAAuAgAAZHJzL2Uyb0RvYy54&#10;bWxQSwECLQAUAAYACAAAACEAdTOQq90AAAAKAQAADwAAAAAAAAAAAAAAAAB+BAAAZHJzL2Rvd25y&#10;ZXYueG1sUEsFBgAAAAAEAAQA8wAAAIgFAAAAAA==&#10;" filled="f" stroked="f" strokeweight=".5pt">
                <v:textbox>
                  <w:txbxContent>
                    <w:p w14:paraId="2E226528" w14:textId="77777777" w:rsidR="0041274F" w:rsidRDefault="0041274F" w:rsidP="00662938">
                      <w:pPr>
                        <w:spacing w:before="0" w:after="0" w:line="240" w:lineRule="auto"/>
                        <w:jc w:val="center"/>
                      </w:pPr>
                      <w:r>
                        <w:t>CAGR: 3.8%</w:t>
                      </w:r>
                    </w:p>
                  </w:txbxContent>
                </v:textbox>
              </v:shape>
            </w:pict>
          </mc:Fallback>
        </mc:AlternateContent>
      </w:r>
      <w:r w:rsidRPr="00FE5B5D">
        <w:rPr>
          <w:noProof/>
        </w:rPr>
        <mc:AlternateContent>
          <mc:Choice Requires="wps">
            <w:drawing>
              <wp:anchor distT="0" distB="0" distL="114300" distR="114300" simplePos="0" relativeHeight="251658260" behindDoc="0" locked="0" layoutInCell="1" allowOverlap="1" wp14:anchorId="6542EEF3" wp14:editId="11C86250">
                <wp:simplePos x="0" y="0"/>
                <wp:positionH relativeFrom="column">
                  <wp:posOffset>3440214</wp:posOffset>
                </wp:positionH>
                <wp:positionV relativeFrom="paragraph">
                  <wp:posOffset>106158</wp:posOffset>
                </wp:positionV>
                <wp:extent cx="1463040" cy="228530"/>
                <wp:effectExtent l="0" t="114300" r="0" b="114935"/>
                <wp:wrapNone/>
                <wp:docPr id="627385719" name="Text Box 25"/>
                <wp:cNvGraphicFramePr/>
                <a:graphic xmlns:a="http://schemas.openxmlformats.org/drawingml/2006/main">
                  <a:graphicData uri="http://schemas.microsoft.com/office/word/2010/wordprocessingShape">
                    <wps:wsp>
                      <wps:cNvSpPr txBox="1"/>
                      <wps:spPr>
                        <a:xfrm rot="20927351">
                          <a:off x="0" y="0"/>
                          <a:ext cx="1463040" cy="228530"/>
                        </a:xfrm>
                        <a:prstGeom prst="rect">
                          <a:avLst/>
                        </a:prstGeom>
                        <a:noFill/>
                        <a:ln w="6350">
                          <a:noFill/>
                        </a:ln>
                      </wps:spPr>
                      <wps:txbx>
                        <w:txbxContent>
                          <w:p w14:paraId="31826221" w14:textId="77777777" w:rsidR="0041274F" w:rsidRDefault="0041274F" w:rsidP="00662938">
                            <w:pPr>
                              <w:spacing w:before="0" w:after="0" w:line="240" w:lineRule="auto"/>
                              <w:jc w:val="center"/>
                            </w:pPr>
                            <w:r>
                              <w:t>CAGR: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2EEF3" id="_x0000_s1059" type="#_x0000_t202" style="position:absolute;left:0;text-align:left;margin-left:270.9pt;margin-top:8.35pt;width:115.2pt;height:18pt;rotation:-734712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iJQIAAEMEAAAOAAAAZHJzL2Uyb0RvYy54bWysU11v2yAUfZ+0/4B4X+w4H22sOFXWKtOk&#10;qq2UTn0mGGJLmMuAxM5+/S44TqNuT9Ne0IV7OZx7zmV51zWKHIV1NeiCjkcpJUJzKGu9L+iP182X&#10;W0qcZ7pkCrQo6Ek4erf6/GnZmlxkUIEqhSUIol3emoJW3ps8SRyvRMPcCIzQmJRgG+Zxa/dJaVmL&#10;6I1KsjSdJy3Y0ljgwjk8feiTdBXxpRTcP0vphCeqoMjNx9XGdRfWZLVk+d4yU9X8TIP9A4uG1Rof&#10;vUA9MM/IwdZ/QDU1t+BA+hGHJgEpay5iD9jNOP3QzbZiRsReUBxnLjK5/wfLn45b82KJ775ChwYG&#10;QVrjcoeHoZ9O2oZYQN2ydJHdTGbj2CYSJ1iOip4uKorOEx4wpvNJOsUUx1yW3c4mUeakBwugxjr/&#10;TUBDQlBQiy5FVHZ8dB4JYOlQEso1bGqlolNKk7ag88ksjRcuGbyhNF58px4i3+06UpfIYjH0tYPy&#10;hO3GjpCiM3xTI4lH5vwLs2g9HuI4+2dcpAJ8DM4RJRXYX387D/XoCGYpaXGUCup+HpgVlKjvGr1a&#10;jKdBDh8309lNhht7ndldZ/ShuQec1nFkF8NQ79UQSgvNG079OryKKaY5vl1QP4T3vh9w/DVcrNex&#10;CKfNMP+ot4YH6MGF1+6NWXP2waODTzAMHcs/2NHX9oasDx5kHb0KQveqnvXHSY0Wnn9V+ArX+1j1&#10;/vdXvwEAAP//AwBQSwMEFAAGAAgAAAAhAIKYjN3eAAAACQEAAA8AAABkcnMvZG93bnJldi54bWxM&#10;j8tOwzAQRfdI/IM1ldhRp1ZpUIhThSJ2UPr6ADc2SVR7HMVuEv6eYUWXo3N175l8PTnLBtOH1qOE&#10;xTwBZrDyusVawun4/vgMLESFWlmPRsKPCbAu7u9ylWk/4t4Mh1gzKsGQKQlNjF3Geaga41SY+84g&#10;sW/fOxXp7GuuezVSubNcJMmKO9UiLTSqM5vGVJfD1UnAbXkad2/2S+yPy+3H5jWWw+5TyofZVL4A&#10;i2aK/2H40yd1KMjp7K+oA7MSnpYLUo8EVikwCqSpEMDOREQKvMj57QfFLwAAAP//AwBQSwECLQAU&#10;AAYACAAAACEAtoM4kv4AAADhAQAAEwAAAAAAAAAAAAAAAAAAAAAAW0NvbnRlbnRfVHlwZXNdLnht&#10;bFBLAQItABQABgAIAAAAIQA4/SH/1gAAAJQBAAALAAAAAAAAAAAAAAAAAC8BAABfcmVscy8ucmVs&#10;c1BLAQItABQABgAIAAAAIQB/7qMiJQIAAEMEAAAOAAAAAAAAAAAAAAAAAC4CAABkcnMvZTJvRG9j&#10;LnhtbFBLAQItABQABgAIAAAAIQCCmIzd3gAAAAkBAAAPAAAAAAAAAAAAAAAAAH8EAABkcnMvZG93&#10;bnJldi54bWxQSwUGAAAAAAQABADzAAAAigUAAAAA&#10;" filled="f" stroked="f" strokeweight=".5pt">
                <v:textbox>
                  <w:txbxContent>
                    <w:p w14:paraId="31826221" w14:textId="77777777" w:rsidR="0041274F" w:rsidRDefault="0041274F" w:rsidP="00662938">
                      <w:pPr>
                        <w:spacing w:before="0" w:after="0" w:line="240" w:lineRule="auto"/>
                        <w:jc w:val="center"/>
                      </w:pPr>
                      <w:r>
                        <w:t>CAGR: 4.1%</w:t>
                      </w:r>
                    </w:p>
                  </w:txbxContent>
                </v:textbox>
              </v:shape>
            </w:pict>
          </mc:Fallback>
        </mc:AlternateContent>
      </w:r>
      <w:r w:rsidRPr="00FE5B5D">
        <w:rPr>
          <w:noProof/>
        </w:rPr>
        <mc:AlternateContent>
          <mc:Choice Requires="wps">
            <w:drawing>
              <wp:anchor distT="0" distB="0" distL="114300" distR="114300" simplePos="0" relativeHeight="251658258" behindDoc="0" locked="0" layoutInCell="1" allowOverlap="1" wp14:anchorId="4E1A6B7A" wp14:editId="1371F54F">
                <wp:simplePos x="0" y="0"/>
                <wp:positionH relativeFrom="column">
                  <wp:posOffset>3208958</wp:posOffset>
                </wp:positionH>
                <wp:positionV relativeFrom="paragraph">
                  <wp:posOffset>139949</wp:posOffset>
                </wp:positionV>
                <wp:extent cx="2263140" cy="445770"/>
                <wp:effectExtent l="38100" t="57150" r="3810" b="87630"/>
                <wp:wrapNone/>
                <wp:docPr id="1130442595" name="Straight Arrow Connector 23"/>
                <wp:cNvGraphicFramePr/>
                <a:graphic xmlns:a="http://schemas.openxmlformats.org/drawingml/2006/main">
                  <a:graphicData uri="http://schemas.microsoft.com/office/word/2010/wordprocessingShape">
                    <wps:wsp>
                      <wps:cNvCnPr/>
                      <wps:spPr>
                        <a:xfrm flipV="1">
                          <a:off x="0" y="0"/>
                          <a:ext cx="2263140" cy="445770"/>
                        </a:xfrm>
                        <a:prstGeom prst="straightConnector1">
                          <a:avLst/>
                        </a:prstGeom>
                        <a:noFill/>
                        <a:ln w="6350" cap="flat" cmpd="sng" algn="ctr">
                          <a:solidFill>
                            <a:srgbClr val="B92051"/>
                          </a:solidFill>
                          <a:prstDash val="lgDash"/>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7633DB" id="Straight Arrow Connector 23" o:spid="_x0000_s1026" type="#_x0000_t32" style="position:absolute;margin-left:252.65pt;margin-top:11pt;width:178.2pt;height:35.1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F12wEAAJsDAAAOAAAAZHJzL2Uyb0RvYy54bWysU02P0zAQvSPxHyzfadJu212ipivRslwQ&#10;rATLferYiSV/aWya9t8zdkpZWE6IHKwZj+fNm5mXzf3JGnaUGLV3LZ/Pas6kE77Trm/509eHN3ec&#10;xQSuA+OdbPlZRn6/ff1qM4ZGLvzgTSeREYiLzRhaPqQUmqqKYpAW4swH6SioPFpI5GJfdQgjoVtT&#10;Lep6XY0eu4BeyBjpdj8F+bbgKyVF+qxUlImZlhO3VE4s5yGf1XYDTY8QBi0uNOAfWFjQjopeofaQ&#10;gH1H/QLKaoE+epVmwtvKK6WFLD1QN/P6j26+DBBk6YWGE8N1TPH/wYpPx517RBrDGGITwyPmLk4K&#10;LVNGh2+009IXMWWnMrbzdWzylJigy8VifTNf0nQFxZbL1e1tmWs14WS8gDF9kN6ybLQ8JgTdD2nn&#10;naMNeZxqwPFjTMSEEn8m5GTnH7QxZVHGsbHl65tVLgYkF2UgkWlDR6iu5wxMTzoUCQvr6I3ucnbG&#10;idgfdgbZEUgL794u6tU8r5+q/fYsl95DHKZ3ps/2JBOrE2nVaNvyuzp/0/UgoXvvOpbOgQSeUIPr&#10;jZxiCbT5e4zKGpdpyaLSS+e/lpCtg+/OZTdV9kgBhe1FrVliz32yn/9T2x8AAAD//wMAUEsDBBQA&#10;BgAIAAAAIQBPnENM3gAAAAkBAAAPAAAAZHJzL2Rvd25yZXYueG1sTI/BTsMwEETvSPyDtUjcqNNA&#10;QwlxqgoRjkiECq5uvI0j4nWInTbw9SwnOK72aeZNsZldL444hs6TguUiAYHUeNNRq2D3Wl2tQYSo&#10;yejeEyr4wgCb8vys0LnxJ3rBYx1bwSEUcq3AxjjkUobGotNh4Qck/h386HTkc2ylGfWJw10v0yTJ&#10;pNMdcYPVAz5YbD7qyXHJbqo+3211+I7mcftcZ/7pbbhR6vJi3t6DiDjHPxh+9VkdSnba+4lMEL2C&#10;VbK6ZlRBmvImBtbZ8hbEXsFdmoIsC/l/QfkDAAD//wMAUEsBAi0AFAAGAAgAAAAhALaDOJL+AAAA&#10;4QEAABMAAAAAAAAAAAAAAAAAAAAAAFtDb250ZW50X1R5cGVzXS54bWxQSwECLQAUAAYACAAAACEA&#10;OP0h/9YAAACUAQAACwAAAAAAAAAAAAAAAAAvAQAAX3JlbHMvLnJlbHNQSwECLQAUAAYACAAAACEA&#10;agRxddsBAACbAwAADgAAAAAAAAAAAAAAAAAuAgAAZHJzL2Uyb0RvYy54bWxQSwECLQAUAAYACAAA&#10;ACEAT5xDTN4AAAAJAQAADwAAAAAAAAAAAAAAAAA1BAAAZHJzL2Rvd25yZXYueG1sUEsFBgAAAAAE&#10;AAQA8wAAAEAFAAAAAA==&#10;" strokecolor="#b92051" strokeweight=".5pt">
                <v:stroke dashstyle="longDash" startarrow="block" endarrow="block" joinstyle="miter"/>
              </v:shape>
            </w:pict>
          </mc:Fallback>
        </mc:AlternateContent>
      </w:r>
      <w:r w:rsidR="0041274F" w:rsidRPr="00BF0EF0">
        <w:rPr>
          <w:noProof/>
        </w:rPr>
        <w:drawing>
          <wp:inline distT="0" distB="0" distL="0" distR="0" wp14:anchorId="3E78C491" wp14:editId="14A0BBA2">
            <wp:extent cx="6393180" cy="2496709"/>
            <wp:effectExtent l="0" t="0" r="7620" b="0"/>
            <wp:docPr id="1542503357" name="Chart 1">
              <a:extLst xmlns:a="http://schemas.openxmlformats.org/drawingml/2006/main">
                <a:ext uri="{FF2B5EF4-FFF2-40B4-BE49-F238E27FC236}">
                  <a16:creationId xmlns:a16="http://schemas.microsoft.com/office/drawing/2014/main" id="{735173A4-5F60-9DA3-EFD0-2D4817E80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164F26" w14:textId="77777777" w:rsidR="0041274F" w:rsidRPr="00FE5B5D" w:rsidRDefault="0041274F" w:rsidP="0041274F">
      <w:pPr>
        <w:ind w:right="450"/>
        <w:rPr>
          <w:i/>
          <w:iCs/>
          <w:color w:val="auto"/>
          <w:sz w:val="16"/>
          <w:szCs w:val="16"/>
        </w:rPr>
      </w:pPr>
      <w:r w:rsidRPr="00FE5B5D">
        <w:rPr>
          <w:i/>
          <w:iCs/>
          <w:color w:val="auto"/>
          <w:sz w:val="16"/>
          <w:szCs w:val="16"/>
        </w:rPr>
        <w:t xml:space="preserve">Source: Crisil Intelligence; All years are fiscal years; P: Projected; Note: demand of coal is based on the G10 grade of coal </w:t>
      </w:r>
    </w:p>
    <w:p w14:paraId="43E719EE" w14:textId="03709572" w:rsidR="0041274F" w:rsidRPr="00763E1B" w:rsidRDefault="0041274F" w:rsidP="0041274F">
      <w:pPr>
        <w:rPr>
          <w:lang w:val="en-GB"/>
        </w:rPr>
      </w:pPr>
      <w:r>
        <w:rPr>
          <w:lang w:val="en-GB"/>
        </w:rPr>
        <w:t>The demand of c</w:t>
      </w:r>
      <w:r w:rsidRPr="00FE5B5D">
        <w:rPr>
          <w:lang w:val="en-GB"/>
        </w:rPr>
        <w:t>oal is dynamic and is driven by different factors</w:t>
      </w:r>
      <w:r>
        <w:rPr>
          <w:lang w:val="en-GB"/>
        </w:rPr>
        <w:t xml:space="preserve"> such as:  </w:t>
      </w:r>
      <w:r w:rsidRPr="00763E1B">
        <w:rPr>
          <w:lang w:val="en-GB"/>
        </w:rPr>
        <w:t>power utilities demand increase</w:t>
      </w:r>
      <w:r>
        <w:rPr>
          <w:lang w:val="en-GB"/>
        </w:rPr>
        <w:t>, e</w:t>
      </w:r>
      <w:r w:rsidRPr="00763E1B">
        <w:rPr>
          <w:lang w:val="en-GB"/>
        </w:rPr>
        <w:t xml:space="preserve">xpansion of </w:t>
      </w:r>
      <w:r w:rsidRPr="00746D8E">
        <w:rPr>
          <w:lang w:val="en-GB"/>
        </w:rPr>
        <w:t xml:space="preserve">thermal power capacity; capital investments in steel, aluminium and cement due to infrastructure focus by the government. </w:t>
      </w:r>
      <w:r w:rsidR="00E9774B" w:rsidRPr="00746D8E">
        <w:rPr>
          <w:lang w:val="en-GB"/>
        </w:rPr>
        <w:t xml:space="preserve">However, Coal will continue to play a major role in the </w:t>
      </w:r>
      <w:r w:rsidR="002C52C2" w:rsidRPr="00746D8E">
        <w:rPr>
          <w:lang w:val="en-GB"/>
        </w:rPr>
        <w:t>India’s energy sector at least for the next few years.</w:t>
      </w:r>
      <w:r w:rsidR="002C52C2">
        <w:rPr>
          <w:lang w:val="en-GB"/>
        </w:rPr>
        <w:t xml:space="preserve"> </w:t>
      </w:r>
    </w:p>
    <w:p w14:paraId="13DA90FC" w14:textId="77777777" w:rsidR="0041274F" w:rsidRPr="00F9602C" w:rsidRDefault="0041274F" w:rsidP="0041274F">
      <w:pPr>
        <w:pStyle w:val="Heading30"/>
        <w:ind w:left="900" w:right="450" w:hanging="900"/>
        <w:rPr>
          <w:rFonts w:cs="Arial"/>
        </w:rPr>
      </w:pPr>
      <w:r w:rsidRPr="00F9602C">
        <w:t>Supply of coal</w:t>
      </w:r>
    </w:p>
    <w:p w14:paraId="42F8DF00" w14:textId="77777777" w:rsidR="0041274F" w:rsidRPr="00FE5B5D" w:rsidRDefault="0041274F" w:rsidP="0041274F">
      <w:pPr>
        <w:ind w:right="360"/>
        <w:rPr>
          <w:rFonts w:eastAsia="Calibri"/>
          <w:color w:val="auto"/>
          <w:kern w:val="0"/>
          <w:szCs w:val="20"/>
          <w:lang w:val="en-GB"/>
          <w14:ligatures w14:val="none"/>
        </w:rPr>
      </w:pPr>
      <w:r w:rsidRPr="00E014E1">
        <w:rPr>
          <w:rFonts w:eastAsia="Calibri"/>
          <w:color w:val="auto"/>
          <w:kern w:val="0"/>
          <w:szCs w:val="20"/>
          <w:lang w:val="en-GB"/>
          <w14:ligatures w14:val="none"/>
        </w:rPr>
        <w:t>On the supply side, a duopoly structure is present in India with two supply sources, namely domestic and imported coal sources. The domestic coal sources are dominated by Coal India Ltd and Singareni Collieries Company Ltd. both</w:t>
      </w:r>
      <w:r w:rsidRPr="00A571D9">
        <w:rPr>
          <w:rFonts w:eastAsia="Calibri"/>
          <w:color w:val="auto"/>
          <w:kern w:val="0"/>
          <w:szCs w:val="20"/>
          <w:lang w:val="en-GB"/>
          <w14:ligatures w14:val="none"/>
        </w:rPr>
        <w:t xml:space="preserve"> of which accounted for 8</w:t>
      </w:r>
      <w:r>
        <w:rPr>
          <w:rFonts w:eastAsia="Calibri"/>
          <w:color w:val="auto"/>
          <w:kern w:val="0"/>
          <w:szCs w:val="20"/>
          <w:lang w:val="en-GB"/>
          <w14:ligatures w14:val="none"/>
        </w:rPr>
        <w:t>1</w:t>
      </w:r>
      <w:r w:rsidRPr="00A571D9">
        <w:rPr>
          <w:rFonts w:eastAsia="Calibri"/>
          <w:color w:val="auto"/>
          <w:kern w:val="0"/>
          <w:szCs w:val="20"/>
          <w:lang w:val="en-GB"/>
          <w14:ligatures w14:val="none"/>
        </w:rPr>
        <w:t>% of the coal production (8</w:t>
      </w:r>
      <w:r>
        <w:rPr>
          <w:rFonts w:eastAsia="Calibri"/>
          <w:color w:val="auto"/>
          <w:kern w:val="0"/>
          <w:szCs w:val="20"/>
          <w:lang w:val="en-GB"/>
          <w14:ligatures w14:val="none"/>
        </w:rPr>
        <w:t>50</w:t>
      </w:r>
      <w:r w:rsidRPr="00A571D9">
        <w:rPr>
          <w:rFonts w:eastAsia="Calibri"/>
          <w:color w:val="auto"/>
          <w:kern w:val="0"/>
          <w:szCs w:val="20"/>
          <w:lang w:val="en-GB"/>
          <w14:ligatures w14:val="none"/>
        </w:rPr>
        <w:t xml:space="preserve"> MMT) and rest 1</w:t>
      </w:r>
      <w:r>
        <w:rPr>
          <w:rFonts w:eastAsia="Calibri"/>
          <w:color w:val="auto"/>
          <w:kern w:val="0"/>
          <w:szCs w:val="20"/>
          <w:lang w:val="en-GB"/>
          <w14:ligatures w14:val="none"/>
        </w:rPr>
        <w:t>9</w:t>
      </w:r>
      <w:r w:rsidRPr="00A571D9">
        <w:rPr>
          <w:rFonts w:eastAsia="Calibri"/>
          <w:color w:val="auto"/>
          <w:kern w:val="0"/>
          <w:szCs w:val="20"/>
          <w:lang w:val="en-GB"/>
          <w14:ligatures w14:val="none"/>
        </w:rPr>
        <w:t>% (</w:t>
      </w:r>
      <w:r>
        <w:rPr>
          <w:rFonts w:eastAsia="Calibri"/>
          <w:color w:val="auto"/>
          <w:kern w:val="0"/>
          <w:szCs w:val="20"/>
          <w:lang w:val="en-GB"/>
          <w14:ligatures w14:val="none"/>
        </w:rPr>
        <w:t>198</w:t>
      </w:r>
      <w:r w:rsidRPr="00A571D9">
        <w:rPr>
          <w:rFonts w:eastAsia="Calibri"/>
          <w:color w:val="auto"/>
          <w:kern w:val="0"/>
          <w:szCs w:val="20"/>
          <w:lang w:val="en-GB"/>
          <w14:ligatures w14:val="none"/>
        </w:rPr>
        <w:t xml:space="preserve"> MMT) was from captive coal blocks</w:t>
      </w:r>
      <w:r>
        <w:rPr>
          <w:rFonts w:eastAsia="Calibri"/>
          <w:color w:val="auto"/>
          <w:kern w:val="0"/>
          <w:szCs w:val="20"/>
          <w:lang w:val="en-GB"/>
          <w14:ligatures w14:val="none"/>
        </w:rPr>
        <w:t>, commercial coal blocks</w:t>
      </w:r>
      <w:r w:rsidRPr="00A571D9">
        <w:rPr>
          <w:rFonts w:eastAsia="Calibri"/>
          <w:color w:val="auto"/>
          <w:kern w:val="0"/>
          <w:szCs w:val="20"/>
          <w:lang w:val="en-GB"/>
          <w14:ligatures w14:val="none"/>
        </w:rPr>
        <w:t xml:space="preserve"> and other blocks in fiscal 202</w:t>
      </w:r>
      <w:r>
        <w:rPr>
          <w:rFonts w:eastAsia="Calibri"/>
          <w:color w:val="auto"/>
          <w:kern w:val="0"/>
          <w:szCs w:val="20"/>
          <w:lang w:val="en-GB"/>
          <w14:ligatures w14:val="none"/>
        </w:rPr>
        <w:t>5</w:t>
      </w:r>
      <w:r w:rsidRPr="00A571D9">
        <w:rPr>
          <w:rFonts w:eastAsia="Calibri"/>
          <w:color w:val="auto"/>
          <w:kern w:val="0"/>
          <w:szCs w:val="20"/>
          <w:lang w:val="en-GB"/>
          <w14:ligatures w14:val="none"/>
        </w:rPr>
        <w:t xml:space="preserve">. </w:t>
      </w:r>
      <w:r w:rsidRPr="00FE5B5D">
        <w:rPr>
          <w:rFonts w:eastAsia="Calibri"/>
          <w:color w:val="auto"/>
          <w:kern w:val="0"/>
          <w:szCs w:val="20"/>
          <w:lang w:val="en-GB"/>
          <w14:ligatures w14:val="none"/>
        </w:rPr>
        <w:t>The total raw coal production in India in year 202</w:t>
      </w:r>
      <w:r>
        <w:rPr>
          <w:rFonts w:eastAsia="Calibri"/>
          <w:color w:val="auto"/>
          <w:kern w:val="0"/>
          <w:szCs w:val="20"/>
          <w:lang w:val="en-GB"/>
          <w14:ligatures w14:val="none"/>
        </w:rPr>
        <w:t xml:space="preserve">5 </w:t>
      </w:r>
      <w:r w:rsidRPr="00FE5B5D">
        <w:rPr>
          <w:rFonts w:eastAsia="Calibri"/>
          <w:color w:val="auto"/>
          <w:kern w:val="0"/>
          <w:szCs w:val="20"/>
          <w:lang w:val="en-GB"/>
          <w14:ligatures w14:val="none"/>
        </w:rPr>
        <w:t xml:space="preserve">was </w:t>
      </w:r>
      <w:r>
        <w:rPr>
          <w:rFonts w:eastAsia="Calibri"/>
          <w:color w:val="auto"/>
          <w:kern w:val="0"/>
          <w:szCs w:val="20"/>
          <w:lang w:val="en-GB"/>
          <w14:ligatures w14:val="none"/>
        </w:rPr>
        <w:t>1048</w:t>
      </w:r>
      <w:r w:rsidRPr="00FE5B5D">
        <w:rPr>
          <w:rFonts w:eastAsia="Calibri"/>
          <w:color w:val="auto"/>
          <w:kern w:val="0"/>
          <w:szCs w:val="20"/>
          <w:lang w:val="en-GB"/>
          <w14:ligatures w14:val="none"/>
        </w:rPr>
        <w:t xml:space="preserve"> MMT </w:t>
      </w:r>
      <w:r>
        <w:rPr>
          <w:rFonts w:eastAsia="Calibri"/>
          <w:color w:val="auto"/>
          <w:kern w:val="0"/>
          <w:szCs w:val="20"/>
          <w:lang w:val="en-GB"/>
          <w14:ligatures w14:val="none"/>
        </w:rPr>
        <w:t>i.e., 5.1</w:t>
      </w:r>
      <w:r w:rsidRPr="00E014E1">
        <w:rPr>
          <w:rFonts w:eastAsia="Calibri"/>
          <w:color w:val="auto"/>
          <w:kern w:val="0"/>
          <w:szCs w:val="20"/>
          <w:lang w:val="en-GB"/>
          <w14:ligatures w14:val="none"/>
        </w:rPr>
        <w:t>%</w:t>
      </w:r>
      <w:r w:rsidRPr="00FE5B5D">
        <w:rPr>
          <w:rFonts w:eastAsia="Calibri"/>
          <w:color w:val="auto"/>
          <w:kern w:val="0"/>
          <w:szCs w:val="20"/>
          <w:lang w:val="en-GB"/>
          <w14:ligatures w14:val="none"/>
        </w:rPr>
        <w:t xml:space="preserve"> increase from </w:t>
      </w:r>
      <w:r>
        <w:rPr>
          <w:rFonts w:eastAsia="Calibri"/>
          <w:color w:val="auto"/>
          <w:kern w:val="0"/>
          <w:szCs w:val="20"/>
          <w:lang w:val="en-GB"/>
          <w14:ligatures w14:val="none"/>
        </w:rPr>
        <w:t>997</w:t>
      </w:r>
      <w:r w:rsidRPr="00FE5B5D">
        <w:rPr>
          <w:rFonts w:eastAsia="Calibri"/>
          <w:color w:val="auto"/>
          <w:kern w:val="0"/>
          <w:szCs w:val="20"/>
          <w:lang w:val="en-GB"/>
          <w14:ligatures w14:val="none"/>
        </w:rPr>
        <w:t xml:space="preserve"> MMT in 202</w:t>
      </w:r>
      <w:r>
        <w:rPr>
          <w:rFonts w:eastAsia="Calibri"/>
          <w:color w:val="auto"/>
          <w:kern w:val="0"/>
          <w:szCs w:val="20"/>
          <w:lang w:val="en-GB"/>
          <w14:ligatures w14:val="none"/>
        </w:rPr>
        <w:t>4</w:t>
      </w:r>
      <w:r w:rsidRPr="00FE5B5D">
        <w:rPr>
          <w:rFonts w:eastAsia="Calibri"/>
          <w:color w:val="auto"/>
          <w:kern w:val="0"/>
          <w:szCs w:val="20"/>
          <w:lang w:val="en-GB"/>
          <w14:ligatures w14:val="none"/>
        </w:rPr>
        <w:t xml:space="preserve">. </w:t>
      </w:r>
    </w:p>
    <w:p w14:paraId="608FD977" w14:textId="5DD02A77" w:rsidR="0041274F" w:rsidRDefault="0041274F" w:rsidP="0041274F">
      <w:pPr>
        <w:keepNext/>
        <w:keepLines/>
        <w:spacing w:line="276" w:lineRule="auto"/>
        <w:ind w:right="450"/>
        <w:rPr>
          <w:rFonts w:eastAsia="Times New Roman" w:cs="Book Antiqua"/>
          <w:b/>
          <w:bCs/>
          <w:kern w:val="0"/>
          <w:szCs w:val="18"/>
          <w:lang w:val="en-GB" w:eastAsia="en-IN"/>
          <w14:ligatures w14:val="none"/>
        </w:rPr>
      </w:pPr>
      <w:bookmarkStart w:id="311" w:name="_Toc198731510"/>
      <w:r w:rsidRPr="00FE5B5D">
        <w:rPr>
          <w:rFonts w:eastAsia="Times New Roman" w:cs="Book Antiqua"/>
          <w:b/>
          <w:bCs/>
          <w:kern w:val="0"/>
          <w:szCs w:val="18"/>
          <w:lang w:val="en-GB" w:eastAsia="en-IN"/>
          <w14:ligatures w14:val="none"/>
        </w:rPr>
        <w:t xml:space="preserve">Figure </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STYLEREF 1 \s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2</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SEQ Figure \* ARABIC \s 1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12</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 xml:space="preserve"> India’s raw coal supply sources</w:t>
      </w:r>
      <w:bookmarkEnd w:id="311"/>
    </w:p>
    <w:p w14:paraId="09969B9A" w14:textId="77777777" w:rsidR="0041274F" w:rsidRDefault="0041274F" w:rsidP="0041274F">
      <w:pPr>
        <w:keepNext/>
        <w:keepLines/>
        <w:spacing w:line="276" w:lineRule="auto"/>
        <w:ind w:right="450"/>
        <w:rPr>
          <w:rFonts w:eastAsia="Times New Roman" w:cs="Book Antiqua"/>
          <w:kern w:val="0"/>
          <w:szCs w:val="18"/>
          <w:lang w:val="en-GB" w:eastAsia="en-I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3429"/>
        <w:gridCol w:w="3450"/>
      </w:tblGrid>
      <w:tr w:rsidR="0041274F" w:rsidRPr="00FE5B5D" w14:paraId="5FE46920" w14:textId="77777777" w:rsidTr="001106FC">
        <w:tc>
          <w:tcPr>
            <w:tcW w:w="3651" w:type="dxa"/>
          </w:tcPr>
          <w:p w14:paraId="71DC0F9A" w14:textId="77777777" w:rsidR="0041274F" w:rsidRPr="00FE5B5D" w:rsidRDefault="0041274F" w:rsidP="001106FC">
            <w:pPr>
              <w:spacing w:before="160" w:after="120" w:line="240" w:lineRule="auto"/>
              <w:ind w:right="450"/>
              <w:rPr>
                <w:rFonts w:eastAsia="Calibri"/>
                <w:color w:val="434242"/>
                <w:szCs w:val="20"/>
                <w:lang w:val="en-GB"/>
              </w:rPr>
            </w:pPr>
            <w:r w:rsidRPr="00FE5B5D">
              <w:rPr>
                <w:noProof/>
                <w:color w:val="auto"/>
                <w:szCs w:val="20"/>
                <w:lang w:val="en-GB"/>
              </w:rPr>
              <w:drawing>
                <wp:inline distT="0" distB="0" distL="0" distR="0" wp14:anchorId="0776A0ED" wp14:editId="6D0856F9">
                  <wp:extent cx="2101850" cy="1579418"/>
                  <wp:effectExtent l="0" t="0" r="0" b="1905"/>
                  <wp:docPr id="172961932" name="Chart 1">
                    <a:extLst xmlns:a="http://schemas.openxmlformats.org/drawingml/2006/main">
                      <a:ext uri="{FF2B5EF4-FFF2-40B4-BE49-F238E27FC236}">
                        <a16:creationId xmlns:a16="http://schemas.microsoft.com/office/drawing/2014/main" id="{4D7A06DD-AD26-7EB4-FDE0-D63688C21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3429" w:type="dxa"/>
          </w:tcPr>
          <w:p w14:paraId="224F6AAD" w14:textId="77777777" w:rsidR="0041274F" w:rsidRPr="00FE5B5D" w:rsidRDefault="0041274F" w:rsidP="001106FC">
            <w:pPr>
              <w:spacing w:before="160" w:after="120" w:line="240" w:lineRule="auto"/>
              <w:ind w:right="450"/>
              <w:rPr>
                <w:rFonts w:eastAsia="Calibri"/>
                <w:color w:val="434242"/>
                <w:szCs w:val="20"/>
                <w:lang w:val="en-GB"/>
              </w:rPr>
            </w:pPr>
            <w:r w:rsidRPr="00FE5B5D">
              <w:rPr>
                <w:noProof/>
                <w:color w:val="auto"/>
                <w:szCs w:val="20"/>
                <w:lang w:val="en-GB"/>
              </w:rPr>
              <w:drawing>
                <wp:inline distT="0" distB="0" distL="0" distR="0" wp14:anchorId="73FD751B" wp14:editId="5D828751">
                  <wp:extent cx="1947545" cy="1579245"/>
                  <wp:effectExtent l="0" t="0" r="0" b="1905"/>
                  <wp:docPr id="220519110" name="Chart 1">
                    <a:extLst xmlns:a="http://schemas.openxmlformats.org/drawingml/2006/main">
                      <a:ext uri="{FF2B5EF4-FFF2-40B4-BE49-F238E27FC236}">
                        <a16:creationId xmlns:a16="http://schemas.microsoft.com/office/drawing/2014/main" id="{4D7A06DD-AD26-7EB4-FDE0-D63688C21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450" w:type="dxa"/>
          </w:tcPr>
          <w:p w14:paraId="5BBC3FB2" w14:textId="77777777" w:rsidR="0041274F" w:rsidRPr="00FE5B5D" w:rsidRDefault="0041274F" w:rsidP="001106FC">
            <w:pPr>
              <w:spacing w:before="160" w:after="120" w:line="240" w:lineRule="auto"/>
              <w:ind w:right="450"/>
              <w:rPr>
                <w:rFonts w:eastAsia="Calibri"/>
                <w:color w:val="434242"/>
                <w:szCs w:val="20"/>
                <w:lang w:val="en-GB"/>
              </w:rPr>
            </w:pPr>
            <w:r w:rsidRPr="00FE5B5D">
              <w:rPr>
                <w:noProof/>
                <w:color w:val="auto"/>
                <w:szCs w:val="20"/>
                <w:lang w:val="en-GB"/>
              </w:rPr>
              <w:drawing>
                <wp:inline distT="0" distB="0" distL="0" distR="0" wp14:anchorId="738E07AA" wp14:editId="2AC8EB69">
                  <wp:extent cx="1953260" cy="1579245"/>
                  <wp:effectExtent l="0" t="0" r="8890" b="1905"/>
                  <wp:docPr id="1539322713" name="Chart 1">
                    <a:extLst xmlns:a="http://schemas.openxmlformats.org/drawingml/2006/main">
                      <a:ext uri="{FF2B5EF4-FFF2-40B4-BE49-F238E27FC236}">
                        <a16:creationId xmlns:a16="http://schemas.microsoft.com/office/drawing/2014/main" id="{4D7A06DD-AD26-7EB4-FDE0-D63688C21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58A1EC2E" w14:textId="77777777" w:rsidR="0041274F" w:rsidRPr="00A571D9" w:rsidRDefault="0041274F" w:rsidP="0041274F">
      <w:pPr>
        <w:keepNext/>
        <w:keepLines/>
        <w:spacing w:line="276" w:lineRule="auto"/>
        <w:ind w:right="450"/>
        <w:rPr>
          <w:rFonts w:eastAsia="Times New Roman" w:cs="Book Antiqua"/>
          <w:kern w:val="0"/>
          <w:szCs w:val="18"/>
          <w:lang w:val="en-GB" w:eastAsia="en-IN"/>
          <w14:ligatures w14:val="none"/>
        </w:rPr>
      </w:pPr>
      <w:r w:rsidRPr="00FE5B5D">
        <w:rPr>
          <w:i/>
          <w:iCs/>
          <w:sz w:val="16"/>
          <w:szCs w:val="16"/>
        </w:rPr>
        <w:t>Source: Ministry of Coal-Coal Directory of India for 2022-23, 2023-24</w:t>
      </w:r>
      <w:r>
        <w:rPr>
          <w:i/>
          <w:iCs/>
          <w:sz w:val="16"/>
          <w:szCs w:val="16"/>
        </w:rPr>
        <w:t xml:space="preserve">; 2024- 25, Monthly Statistics for March 25 &amp; </w:t>
      </w:r>
      <w:r w:rsidRPr="00FE5B5D">
        <w:rPr>
          <w:i/>
          <w:iCs/>
          <w:sz w:val="16"/>
          <w:szCs w:val="16"/>
        </w:rPr>
        <w:t>Crisil Intelligence; All years are fiscal years</w:t>
      </w:r>
    </w:p>
    <w:p w14:paraId="18E5821C" w14:textId="77777777" w:rsidR="0041274F" w:rsidRPr="001106FC" w:rsidRDefault="0041274F" w:rsidP="0041274F">
      <w:pPr>
        <w:rPr>
          <w:lang w:val="en-GB" w:eastAsia="en-IN"/>
        </w:rPr>
      </w:pPr>
      <w:r>
        <w:rPr>
          <w:lang w:val="en-GB" w:eastAsia="en-IN"/>
        </w:rPr>
        <w:t xml:space="preserve">In order to draw a parallel with the coal demand estimated in the above section, the coal production has been levelized at the same grade of G10. Therefore, the estimated production in Fiscal 2025 is 1013 MMT in comparison to the actual production of 1048 MMT. Going ahead, the projected raw coal production in Fiscal 2035 will be 1763 MMT compared to a demand of 1673 MMT. Although, it appears to be supply surplus however, it is believed that market will adjust such that there is no oversupply in the market.  </w:t>
      </w:r>
    </w:p>
    <w:p w14:paraId="6DFB0EE5" w14:textId="5E6A685C" w:rsidR="0041274F" w:rsidRPr="00FE5B5D" w:rsidRDefault="0041274F" w:rsidP="0041274F">
      <w:pPr>
        <w:keepNext/>
        <w:keepLines/>
        <w:spacing w:line="276" w:lineRule="auto"/>
        <w:rPr>
          <w:rFonts w:eastAsia="Times New Roman" w:cs="Book Antiqua"/>
          <w:b/>
          <w:bCs/>
          <w:kern w:val="0"/>
          <w:szCs w:val="18"/>
          <w:lang w:val="en-GB" w:eastAsia="en-IN"/>
          <w14:ligatures w14:val="none"/>
        </w:rPr>
      </w:pPr>
      <w:bookmarkStart w:id="312" w:name="_Toc198731511"/>
      <w:r w:rsidRPr="00FE5B5D">
        <w:rPr>
          <w:rFonts w:eastAsia="Times New Roman" w:cs="Book Antiqua"/>
          <w:b/>
          <w:bCs/>
          <w:kern w:val="0"/>
          <w:szCs w:val="18"/>
          <w:lang w:val="en-GB" w:eastAsia="en-IN"/>
          <w14:ligatures w14:val="none"/>
        </w:rPr>
        <w:t xml:space="preserve">Figure </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STYLEREF 1 \s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2</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w:t>
      </w:r>
      <w:r w:rsidRPr="00FE5B5D">
        <w:rPr>
          <w:rFonts w:eastAsia="Times New Roman" w:cs="Book Antiqua"/>
          <w:b/>
          <w:bCs/>
          <w:kern w:val="0"/>
          <w:szCs w:val="18"/>
          <w:lang w:val="en-GB" w:eastAsia="en-IN"/>
          <w14:ligatures w14:val="none"/>
        </w:rPr>
        <w:fldChar w:fldCharType="begin"/>
      </w:r>
      <w:r w:rsidRPr="00FE5B5D">
        <w:rPr>
          <w:rFonts w:eastAsia="Times New Roman" w:cs="Book Antiqua"/>
          <w:b/>
          <w:bCs/>
          <w:kern w:val="0"/>
          <w:szCs w:val="18"/>
          <w:lang w:val="en-GB" w:eastAsia="en-IN"/>
          <w14:ligatures w14:val="none"/>
        </w:rPr>
        <w:instrText xml:space="preserve"> SEQ Figure \* ARABIC \s 1 </w:instrText>
      </w:r>
      <w:r w:rsidRPr="00FE5B5D">
        <w:rPr>
          <w:rFonts w:eastAsia="Times New Roman" w:cs="Book Antiqua"/>
          <w:b/>
          <w:bCs/>
          <w:kern w:val="0"/>
          <w:szCs w:val="18"/>
          <w:lang w:val="en-GB" w:eastAsia="en-IN"/>
          <w14:ligatures w14:val="none"/>
        </w:rPr>
        <w:fldChar w:fldCharType="separate"/>
      </w:r>
      <w:r w:rsidR="002142B9">
        <w:rPr>
          <w:rFonts w:eastAsia="Times New Roman" w:cs="Book Antiqua"/>
          <w:b/>
          <w:bCs/>
          <w:noProof/>
          <w:kern w:val="0"/>
          <w:szCs w:val="18"/>
          <w:lang w:val="en-GB" w:eastAsia="en-IN"/>
          <w14:ligatures w14:val="none"/>
        </w:rPr>
        <w:t>13</w:t>
      </w:r>
      <w:r w:rsidRPr="00FE5B5D">
        <w:rPr>
          <w:rFonts w:eastAsia="Times New Roman" w:cs="Book Antiqua"/>
          <w:b/>
          <w:bCs/>
          <w:kern w:val="0"/>
          <w:szCs w:val="18"/>
          <w:lang w:val="en-GB" w:eastAsia="en-IN"/>
          <w14:ligatures w14:val="none"/>
        </w:rPr>
        <w:fldChar w:fldCharType="end"/>
      </w:r>
      <w:r w:rsidRPr="00FE5B5D">
        <w:rPr>
          <w:rFonts w:eastAsia="Times New Roman" w:cs="Book Antiqua"/>
          <w:b/>
          <w:bCs/>
          <w:kern w:val="0"/>
          <w:szCs w:val="18"/>
          <w:lang w:val="en-GB" w:eastAsia="en-IN"/>
          <w14:ligatures w14:val="none"/>
        </w:rPr>
        <w:t xml:space="preserve"> India’s </w:t>
      </w:r>
      <w:r>
        <w:rPr>
          <w:rFonts w:eastAsia="Times New Roman" w:cs="Book Antiqua"/>
          <w:b/>
          <w:bCs/>
          <w:kern w:val="0"/>
          <w:szCs w:val="18"/>
          <w:lang w:val="en-GB" w:eastAsia="en-IN"/>
          <w14:ligatures w14:val="none"/>
        </w:rPr>
        <w:t xml:space="preserve">levelized </w:t>
      </w:r>
      <w:r w:rsidRPr="00FE5B5D">
        <w:rPr>
          <w:rFonts w:eastAsia="Times New Roman" w:cs="Book Antiqua"/>
          <w:b/>
          <w:bCs/>
          <w:kern w:val="0"/>
          <w:szCs w:val="18"/>
          <w:lang w:val="en-GB" w:eastAsia="en-IN"/>
          <w14:ligatures w14:val="none"/>
        </w:rPr>
        <w:t>raw coal production scenario from different sources (MMT)</w:t>
      </w:r>
      <w:bookmarkEnd w:id="312"/>
    </w:p>
    <w:p w14:paraId="53776512" w14:textId="77777777" w:rsidR="0041274F" w:rsidRPr="00FE5B5D" w:rsidRDefault="0041274F" w:rsidP="0041274F">
      <w:pPr>
        <w:spacing w:before="160" w:line="240" w:lineRule="auto"/>
        <w:rPr>
          <w:rFonts w:eastAsia="Calibri"/>
          <w:color w:val="434242"/>
          <w:kern w:val="0"/>
          <w:szCs w:val="20"/>
          <w:lang w:val="en-GB"/>
          <w14:ligatures w14:val="none"/>
        </w:rPr>
      </w:pPr>
      <w:r w:rsidRPr="00FE5B5D">
        <w:rPr>
          <w:rFonts w:eastAsia="Calibri"/>
          <w:noProof/>
          <w:color w:val="434242"/>
          <w:kern w:val="0"/>
          <w:szCs w:val="20"/>
          <w:lang w:val="en-GB" w:eastAsia="en-IN"/>
          <w14:ligatures w14:val="none"/>
        </w:rPr>
        <w:drawing>
          <wp:inline distT="0" distB="0" distL="0" distR="0" wp14:anchorId="78FBEF49" wp14:editId="69BEF937">
            <wp:extent cx="6372225" cy="2122998"/>
            <wp:effectExtent l="0" t="0" r="0" b="0"/>
            <wp:docPr id="1506387994" name="Chart 1506387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263612" w14:textId="7F7C8DAA" w:rsidR="004E77F6" w:rsidRDefault="0041274F" w:rsidP="0041274F">
      <w:pPr>
        <w:tabs>
          <w:tab w:val="left" w:pos="10440"/>
        </w:tabs>
        <w:ind w:right="112"/>
        <w:rPr>
          <w:i/>
          <w:iCs/>
          <w:sz w:val="16"/>
          <w:szCs w:val="16"/>
        </w:rPr>
      </w:pPr>
      <w:r w:rsidRPr="00FE5B5D">
        <w:rPr>
          <w:i/>
          <w:iCs/>
          <w:sz w:val="16"/>
          <w:szCs w:val="16"/>
        </w:rPr>
        <w:t>Source: Past data as per Ministry of Coal-Coal Directory of India 2023-24, Projections as per Crisil Intelligence; Year is fiscal year; P: Projected</w:t>
      </w:r>
    </w:p>
    <w:p w14:paraId="6B3C01D1" w14:textId="327D3B57" w:rsidR="004E77F6" w:rsidRDefault="004E77F6" w:rsidP="00662938">
      <w:pPr>
        <w:pStyle w:val="Heading2"/>
      </w:pPr>
      <w:bookmarkStart w:id="313" w:name="_Toc198730368"/>
      <w:r>
        <w:t>Outlook of other key commodities</w:t>
      </w:r>
      <w:bookmarkEnd w:id="313"/>
    </w:p>
    <w:p w14:paraId="781E8F21" w14:textId="77777777" w:rsidR="004E77F6" w:rsidRDefault="004E77F6" w:rsidP="004E77F6">
      <w:pPr>
        <w:pStyle w:val="Heading40"/>
      </w:pPr>
      <w:r>
        <w:t>Lignite</w:t>
      </w:r>
    </w:p>
    <w:p w14:paraId="4765EDE2" w14:textId="77777777" w:rsidR="004E77F6" w:rsidRDefault="004E77F6" w:rsidP="004E77F6">
      <w:r>
        <w:t>Indian lignite deposits occur in the Tertiary sediments in the southern and western parts of peninsular shield of India particularly in Tamil Nadu, Puducherry, Gujarat &amp; Rajasthan also in Jammu &amp; Kashmir and Odisha. The total known geological resources of lignite as on 01.04.2022 is about 46,204 MMT, of which 79% resources (36,561 MMT) are located in Tamil Nadu, Rajasthan (14%) and Gujarat (6%). Other States where lignite deposits have been located are West Bengal and Kerala with very sparse resources.</w:t>
      </w:r>
    </w:p>
    <w:p w14:paraId="2C63CB8C" w14:textId="77777777" w:rsidR="004E77F6" w:rsidRDefault="004E77F6" w:rsidP="004E77F6">
      <w:r>
        <w:t>The production from Tamil Nadu accounts for around 50%, while share of Gujarat in lignite production has been around 26% and that of Rajasthan was 23%. During fiscal 2025, the reported production of lignite was 45 MMT which increased by around 6% in comparison to that of the previous fiscal year. Neyveli Lignite Corporation India Limited (NLCIL) accounted for more than 50% of the total lignite production (53%), followed by Gujarat Mineral Development Corporation Limited (GMDC) at 18%, Barmer Lignite Mining Company Limited (BLMCL) at 13%, Gujarat Industries Power Company Limited (GIPCL) at 8%, Gujarat State Petronet Ltd (GSPL) at 4% and remaining by others.</w:t>
      </w:r>
    </w:p>
    <w:p w14:paraId="0B84888A" w14:textId="77777777" w:rsidR="004E77F6" w:rsidRDefault="004E77F6" w:rsidP="004E77F6">
      <w:r>
        <w:t>As of fiscal 2024, there were around 20 operating lignite mines of 8 companies including Government and private. Mainly there are two channels for lignite use, one is captive and another is commercial. Majority of Lignite. i.e., 65.5% of lignite has been consumed captively, whereas 34.5% of lignite has been sold in the market during fiscal 2018 to fiscal 2022.</w:t>
      </w:r>
    </w:p>
    <w:p w14:paraId="7676BEF7" w14:textId="77777777" w:rsidR="004E77F6" w:rsidRPr="00883D2B" w:rsidRDefault="004E77F6" w:rsidP="004E77F6">
      <w:r>
        <w:t>Major use of lignite is in power generation, contributing around 1.80% till Q3 of fiscal 2025. Lignite is also being imported, solely from China, but is very less in terms of volume and value. The Ministry of Coal, Govt of India, has been conducting commercial coal auctions post 2020, which also include lignite blocks. A total of 11 lignite blocks have been put for auction till date, out of which 8 blocks are under G3 category, 2 blocks are under G2 category and 1 block under G1 category. 2 lignite blocks in the state of Rajasthan being auctioned in the ongoing 22</w:t>
      </w:r>
      <w:r w:rsidRPr="00AB2187">
        <w:rPr>
          <w:vertAlign w:val="superscript"/>
        </w:rPr>
        <w:t>nd</w:t>
      </w:r>
      <w:r>
        <w:t xml:space="preserve"> tranche of CMSP Act/12</w:t>
      </w:r>
      <w:r w:rsidRPr="00AB2187">
        <w:rPr>
          <w:vertAlign w:val="superscript"/>
        </w:rPr>
        <w:t>th</w:t>
      </w:r>
      <w:r>
        <w:t xml:space="preserve"> tranche of MMDR Act for auction of coal mines for sale of coal. However, no lignite blocks have been successfully auctioned. It can be seen that the majority of blocks (73%) are under G3 category, which require extensive exploration for probing up to G1 level. This poses a significant opportunity for CMPDIL in undertaking such exploration activities, leveraging its extensive experience in coal exploration. </w:t>
      </w:r>
    </w:p>
    <w:p w14:paraId="448909B5" w14:textId="3226740C" w:rsidR="004E77F6" w:rsidRDefault="004E77F6" w:rsidP="004E77F6">
      <w:pPr>
        <w:pStyle w:val="Heading40"/>
      </w:pPr>
      <w:r>
        <w:t>Copper, Manganese, Bauxite &amp; Graphite</w:t>
      </w:r>
    </w:p>
    <w:p w14:paraId="584647E2" w14:textId="77777777" w:rsidR="004E77F6" w:rsidRDefault="004E77F6" w:rsidP="004E77F6">
      <w:r>
        <w:t xml:space="preserve">Copper, manganese, bauxite and graphite are few other key minerals whose demand are estimated to grow profoundly considering their usage in diverse sectors which are contributing significantly towards the growth of the nation’s economy. </w:t>
      </w:r>
    </w:p>
    <w:p w14:paraId="1B408EDB" w14:textId="1A754B4C" w:rsidR="004E77F6" w:rsidRDefault="004E77F6" w:rsidP="004E77F6">
      <w:r>
        <w:t>India’s refined copper demand stood at 1510 KT</w:t>
      </w:r>
      <w:r>
        <w:rPr>
          <w:rStyle w:val="FootnoteReference"/>
          <w:szCs w:val="20"/>
        </w:rPr>
        <w:footnoteReference w:id="34"/>
      </w:r>
      <w:r>
        <w:t xml:space="preserve"> in fiscal 2025 out of which primary copper contributed to 973 KT and secondary copper 537 KT.  The primary copper is derived from copper ore. The major demand drivers for copper are the construction sector (26%), consumer durables (20%), automotives (21%), power sector (20%) and others (13%). The demand for refined copper is expected to grow at a CAGR of 7.5%-8.5% to reach </w:t>
      </w:r>
      <w:r w:rsidR="00917F4E">
        <w:t>approximately</w:t>
      </w:r>
      <w:r>
        <w:t xml:space="preserve"> 2120 KT</w:t>
      </w:r>
      <w:r>
        <w:rPr>
          <w:rStyle w:val="FootnoteReference"/>
          <w:szCs w:val="20"/>
        </w:rPr>
        <w:footnoteReference w:id="35"/>
      </w:r>
      <w:r>
        <w:t xml:space="preserve"> by fiscal 2030.  </w:t>
      </w:r>
    </w:p>
    <w:p w14:paraId="16B534AA" w14:textId="01F1F7B9" w:rsidR="004E77F6" w:rsidRDefault="004E77F6" w:rsidP="004E77F6">
      <w:r>
        <w:t>Further, Indian aluminum demand</w:t>
      </w:r>
      <w:r>
        <w:rPr>
          <w:rStyle w:val="FootnoteReference"/>
        </w:rPr>
        <w:footnoteReference w:id="36"/>
      </w:r>
      <w:r>
        <w:t xml:space="preserve"> reached 5.5 MMT (primary aluminium- 3.3 MMT and secondary aluminium- 2.2 MMR) in fiscal 2025 while its Bauxite demand reached to about 19.8 MMT contributing to the demand of primary aluminium. India’s aluminum and bauxite demand is forecasted to reach about </w:t>
      </w:r>
      <w:r w:rsidR="00DF1D39">
        <w:t xml:space="preserve">approximately </w:t>
      </w:r>
      <w:r>
        <w:t xml:space="preserve">4.4 MMT and </w:t>
      </w:r>
      <w:r w:rsidR="00917F4E">
        <w:t xml:space="preserve">approximately </w:t>
      </w:r>
      <w:r>
        <w:t>26 MMT respectively by fiscal 2030. The demand of primary</w:t>
      </w:r>
      <w:r w:rsidRPr="00694C4E">
        <w:t xml:space="preserve"> </w:t>
      </w:r>
      <w:r>
        <w:t xml:space="preserve">aluminum is posed to grow significantly in India owing to growth in power sector, supported by government initiatives like Make in India, Smart City Program and 100% rural electrification. The increased government spending on infrastructure improving housing demand and industrial construction boosts aluminum demand. </w:t>
      </w:r>
    </w:p>
    <w:p w14:paraId="40B20DB6" w14:textId="77777777" w:rsidR="004E77F6" w:rsidRDefault="004E77F6" w:rsidP="004E77F6">
      <w:r>
        <w:t>Manganese is primarily consumed in the steel sector. Therefore, the demand of manganese is primarily dependent on the demand from the steel industry. In India</w:t>
      </w:r>
      <w:r>
        <w:rPr>
          <w:rStyle w:val="FootnoteReference"/>
        </w:rPr>
        <w:footnoteReference w:id="37"/>
      </w:r>
      <w:r>
        <w:t>, t</w:t>
      </w:r>
      <w:r w:rsidRPr="009E6CE2">
        <w:t>he total manganese demand is expected to increase from 8.4 M</w:t>
      </w:r>
      <w:r>
        <w:t>M</w:t>
      </w:r>
      <w:r w:rsidRPr="009E6CE2">
        <w:t xml:space="preserve">T in </w:t>
      </w:r>
      <w:r>
        <w:t>fiscal 20</w:t>
      </w:r>
      <w:r w:rsidRPr="009E6CE2">
        <w:t>24 to 15.6 M</w:t>
      </w:r>
      <w:r>
        <w:t>M</w:t>
      </w:r>
      <w:r w:rsidRPr="009E6CE2">
        <w:t xml:space="preserve">T in </w:t>
      </w:r>
      <w:r>
        <w:t>fiscal 20</w:t>
      </w:r>
      <w:r w:rsidRPr="009E6CE2">
        <w:t>3</w:t>
      </w:r>
      <w:r>
        <w:t>0</w:t>
      </w:r>
      <w:r w:rsidRPr="009E6CE2">
        <w:t xml:space="preserve">, representing a </w:t>
      </w:r>
      <w:r>
        <w:t xml:space="preserve">CAGR </w:t>
      </w:r>
      <w:r w:rsidRPr="009E6CE2">
        <w:t xml:space="preserve">of </w:t>
      </w:r>
      <w:r>
        <w:t>9.2</w:t>
      </w:r>
      <w:r w:rsidRPr="009E6CE2">
        <w:t>% over the next 7 years</w:t>
      </w:r>
      <w:r>
        <w:t>, considering the capacity augmentation mentioned in the National Steel Policy, 2017</w:t>
      </w:r>
      <w:r w:rsidRPr="009E6CE2">
        <w:t>.</w:t>
      </w:r>
      <w:r>
        <w:t xml:space="preserve"> </w:t>
      </w:r>
    </w:p>
    <w:p w14:paraId="09C4E28D" w14:textId="77777777" w:rsidR="004E77F6" w:rsidRDefault="004E77F6" w:rsidP="004E77F6">
      <w:r>
        <w:t xml:space="preserve">In fiscal 2024 the total graphite production in India is 307 KT out of which natural graphite is 168 KT and synthetic graphite production is 139 KT. The overall demand in India in fiscal 2024 is 416 KT where imports contribute about 26%. Graphite’s demand is primarily driven by </w:t>
      </w:r>
      <w:r w:rsidRPr="00104AC8">
        <w:t>electrodes in EAF steelmaking (46%), refractories (27%), electric vehicles (6%), energy storage systems (6%), and other sectors (15%).</w:t>
      </w:r>
    </w:p>
    <w:p w14:paraId="2EDFB0F3" w14:textId="57218481" w:rsidR="004E77F6" w:rsidRPr="003C5323" w:rsidRDefault="004E77F6" w:rsidP="004E77F6">
      <w:pPr>
        <w:pStyle w:val="Caption"/>
        <w:ind w:right="182"/>
        <w:rPr>
          <w:lang w:val="en-US"/>
        </w:rPr>
      </w:pPr>
      <w:bookmarkStart w:id="314" w:name="_Toc198731458"/>
      <w:r w:rsidRPr="003C5323">
        <w:rPr>
          <w:lang w:val="en-US"/>
        </w:rPr>
        <w:t xml:space="preserve">Table </w:t>
      </w:r>
      <w:r w:rsidRPr="000174A7">
        <w:fldChar w:fldCharType="begin"/>
      </w:r>
      <w:r w:rsidRPr="003C5323">
        <w:rPr>
          <w:lang w:val="en-US"/>
        </w:rPr>
        <w:instrText xml:space="preserve"> STYLEREF 1 \s </w:instrText>
      </w:r>
      <w:r w:rsidRPr="000174A7">
        <w:fldChar w:fldCharType="separate"/>
      </w:r>
      <w:r w:rsidR="002142B9">
        <w:rPr>
          <w:noProof/>
          <w:lang w:val="en-US"/>
        </w:rPr>
        <w:t>2</w:t>
      </w:r>
      <w:r w:rsidRPr="000174A7">
        <w:fldChar w:fldCharType="end"/>
      </w:r>
      <w:r w:rsidRPr="003C5323">
        <w:rPr>
          <w:lang w:val="en-US"/>
        </w:rPr>
        <w:t>.</w:t>
      </w:r>
      <w:r w:rsidRPr="000174A7">
        <w:fldChar w:fldCharType="begin"/>
      </w:r>
      <w:r w:rsidRPr="003C5323">
        <w:rPr>
          <w:lang w:val="en-US"/>
        </w:rPr>
        <w:instrText xml:space="preserve"> SEQ Table \* ARABIC \s 1 </w:instrText>
      </w:r>
      <w:r w:rsidRPr="000174A7">
        <w:fldChar w:fldCharType="separate"/>
      </w:r>
      <w:r w:rsidR="002142B9">
        <w:rPr>
          <w:noProof/>
          <w:lang w:val="en-US"/>
        </w:rPr>
        <w:t>1</w:t>
      </w:r>
      <w:r w:rsidRPr="000174A7">
        <w:fldChar w:fldCharType="end"/>
      </w:r>
      <w:r w:rsidRPr="003C5323">
        <w:rPr>
          <w:lang w:val="en-US"/>
        </w:rPr>
        <w:t xml:space="preserve"> Ou</w:t>
      </w:r>
      <w:r>
        <w:rPr>
          <w:lang w:val="en-US"/>
        </w:rPr>
        <w:t>tlook on important</w:t>
      </w:r>
      <w:r w:rsidRPr="003C5323">
        <w:rPr>
          <w:lang w:val="en-US"/>
        </w:rPr>
        <w:t xml:space="preserve"> </w:t>
      </w:r>
      <w:r>
        <w:rPr>
          <w:lang w:val="en-US"/>
        </w:rPr>
        <w:t>m</w:t>
      </w:r>
      <w:r w:rsidRPr="003C5323">
        <w:rPr>
          <w:lang w:val="en-US"/>
        </w:rPr>
        <w:t>ineral in India</w:t>
      </w:r>
      <w:bookmarkEnd w:id="314"/>
      <w:r w:rsidRPr="003C5323">
        <w:rPr>
          <w:lang w:val="en-US"/>
        </w:rPr>
        <w:t xml:space="preserve"> </w:t>
      </w:r>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2048"/>
        <w:gridCol w:w="1973"/>
        <w:gridCol w:w="1830"/>
        <w:gridCol w:w="2506"/>
        <w:gridCol w:w="2173"/>
      </w:tblGrid>
      <w:tr w:rsidR="004E77F6" w:rsidRPr="008D5FF4" w14:paraId="333D0908" w14:textId="77777777" w:rsidTr="00662938">
        <w:trPr>
          <w:tblHeader/>
        </w:trPr>
        <w:tc>
          <w:tcPr>
            <w:tcW w:w="972" w:type="pct"/>
            <w:shd w:val="clear" w:color="auto" w:fill="156082" w:themeFill="accent1"/>
            <w:vAlign w:val="center"/>
          </w:tcPr>
          <w:p w14:paraId="56942FD8" w14:textId="77777777" w:rsidR="004E77F6" w:rsidRPr="008D5FF4" w:rsidRDefault="004E77F6" w:rsidP="001106FC">
            <w:pPr>
              <w:spacing w:before="80" w:after="80" w:line="240" w:lineRule="auto"/>
              <w:ind w:right="182"/>
              <w:rPr>
                <w:color w:val="FFFFFF"/>
                <w:szCs w:val="20"/>
                <w:lang w:val="en-GB"/>
              </w:rPr>
            </w:pPr>
            <w:r>
              <w:rPr>
                <w:color w:val="FFFFFF"/>
                <w:szCs w:val="20"/>
                <w:lang w:val="en-GB"/>
              </w:rPr>
              <w:t xml:space="preserve">Critical </w:t>
            </w:r>
            <w:r w:rsidRPr="008D5FF4">
              <w:rPr>
                <w:color w:val="FFFFFF"/>
                <w:szCs w:val="20"/>
                <w:lang w:val="en-GB"/>
              </w:rPr>
              <w:t>Mineral</w:t>
            </w:r>
          </w:p>
        </w:tc>
        <w:tc>
          <w:tcPr>
            <w:tcW w:w="937" w:type="pct"/>
            <w:shd w:val="clear" w:color="auto" w:fill="156082" w:themeFill="accent1"/>
            <w:vAlign w:val="center"/>
          </w:tcPr>
          <w:p w14:paraId="0DFC5BF2" w14:textId="77777777" w:rsidR="004E77F6" w:rsidRPr="008D5FF4" w:rsidRDefault="004E77F6" w:rsidP="00C03E46">
            <w:pPr>
              <w:spacing w:before="80" w:after="80" w:line="240" w:lineRule="auto"/>
              <w:ind w:right="182"/>
              <w:jc w:val="center"/>
              <w:rPr>
                <w:color w:val="FFFFFF"/>
                <w:szCs w:val="20"/>
                <w:lang w:val="en-GB"/>
              </w:rPr>
            </w:pPr>
            <w:r w:rsidRPr="00176AE0">
              <w:rPr>
                <w:color w:val="FFFFFF"/>
                <w:szCs w:val="20"/>
                <w:lang w:val="en-GB"/>
              </w:rPr>
              <w:t>India's Reserves</w:t>
            </w:r>
          </w:p>
        </w:tc>
        <w:tc>
          <w:tcPr>
            <w:tcW w:w="869" w:type="pct"/>
            <w:shd w:val="clear" w:color="auto" w:fill="156082" w:themeFill="accent1"/>
            <w:vAlign w:val="center"/>
          </w:tcPr>
          <w:p w14:paraId="25600AAA" w14:textId="77777777" w:rsidR="004E77F6" w:rsidRDefault="004E77F6" w:rsidP="00662938">
            <w:pPr>
              <w:spacing w:before="80" w:after="80" w:line="240" w:lineRule="auto"/>
              <w:ind w:left="-75" w:right="-135" w:firstLine="75"/>
              <w:jc w:val="center"/>
              <w:rPr>
                <w:color w:val="FFFFFF"/>
                <w:szCs w:val="20"/>
                <w:lang w:val="en-GB"/>
              </w:rPr>
            </w:pPr>
            <w:r>
              <w:rPr>
                <w:color w:val="FFFFFF"/>
                <w:szCs w:val="20"/>
                <w:lang w:val="en-GB"/>
              </w:rPr>
              <w:t>Demand</w:t>
            </w:r>
          </w:p>
          <w:p w14:paraId="7085D4A0" w14:textId="77777777" w:rsidR="004E77F6" w:rsidRPr="008D5FF4" w:rsidRDefault="004E77F6" w:rsidP="00662938">
            <w:pPr>
              <w:spacing w:before="80" w:after="80" w:line="240" w:lineRule="auto"/>
              <w:ind w:left="-75" w:right="-135" w:firstLine="75"/>
              <w:jc w:val="center"/>
              <w:rPr>
                <w:color w:val="FFFFFF"/>
                <w:szCs w:val="20"/>
                <w:lang w:val="en-GB"/>
              </w:rPr>
            </w:pPr>
            <w:r>
              <w:rPr>
                <w:color w:val="FFFFFF"/>
                <w:szCs w:val="20"/>
                <w:lang w:val="en-GB"/>
              </w:rPr>
              <w:t>FY 2025</w:t>
            </w:r>
          </w:p>
        </w:tc>
        <w:tc>
          <w:tcPr>
            <w:tcW w:w="1190" w:type="pct"/>
            <w:shd w:val="clear" w:color="auto" w:fill="156082" w:themeFill="accent1"/>
            <w:vAlign w:val="center"/>
          </w:tcPr>
          <w:p w14:paraId="593AF928" w14:textId="77777777" w:rsidR="004E77F6" w:rsidRDefault="004E77F6" w:rsidP="00C03E46">
            <w:pPr>
              <w:spacing w:before="80" w:after="80" w:line="240" w:lineRule="auto"/>
              <w:ind w:right="182"/>
              <w:jc w:val="center"/>
              <w:rPr>
                <w:color w:val="FFFFFF"/>
                <w:szCs w:val="20"/>
                <w:lang w:val="en-GB"/>
              </w:rPr>
            </w:pPr>
            <w:r>
              <w:rPr>
                <w:color w:val="FFFFFF"/>
                <w:szCs w:val="20"/>
                <w:lang w:val="en-GB"/>
              </w:rPr>
              <w:t>Demand</w:t>
            </w:r>
          </w:p>
          <w:p w14:paraId="46755743" w14:textId="77777777" w:rsidR="004E77F6" w:rsidRPr="00F15D85" w:rsidRDefault="004E77F6" w:rsidP="00C03E46">
            <w:pPr>
              <w:spacing w:before="80" w:after="80" w:line="240" w:lineRule="auto"/>
              <w:ind w:right="182"/>
              <w:jc w:val="center"/>
              <w:rPr>
                <w:color w:val="FFFFFF"/>
                <w:szCs w:val="20"/>
                <w:lang w:val="en-GB"/>
              </w:rPr>
            </w:pPr>
            <w:r>
              <w:rPr>
                <w:color w:val="FFFFFF"/>
                <w:szCs w:val="20"/>
                <w:lang w:val="en-GB"/>
              </w:rPr>
              <w:t>FY 2030(P)</w:t>
            </w:r>
          </w:p>
        </w:tc>
        <w:tc>
          <w:tcPr>
            <w:tcW w:w="1032" w:type="pct"/>
            <w:shd w:val="clear" w:color="auto" w:fill="156082" w:themeFill="accent1"/>
            <w:vAlign w:val="center"/>
          </w:tcPr>
          <w:p w14:paraId="1EA1761D" w14:textId="77777777" w:rsidR="004E77F6" w:rsidRPr="00D95D1F" w:rsidRDefault="004E77F6" w:rsidP="00662938">
            <w:pPr>
              <w:spacing w:before="80" w:after="80" w:line="240" w:lineRule="auto"/>
              <w:ind w:left="-90" w:right="-15"/>
              <w:jc w:val="center"/>
              <w:rPr>
                <w:color w:val="FFFFFF"/>
                <w:szCs w:val="20"/>
                <w:lang w:val="en-GB"/>
              </w:rPr>
            </w:pPr>
            <w:r w:rsidRPr="00F15D85">
              <w:rPr>
                <w:color w:val="FFFFFF"/>
                <w:szCs w:val="20"/>
                <w:lang w:val="en-GB"/>
              </w:rPr>
              <w:t>Key Players</w:t>
            </w:r>
          </w:p>
        </w:tc>
      </w:tr>
      <w:tr w:rsidR="004E77F6" w:rsidRPr="008D5FF4" w14:paraId="2E06127C" w14:textId="77777777" w:rsidTr="00662938">
        <w:tc>
          <w:tcPr>
            <w:tcW w:w="972" w:type="pct"/>
            <w:vAlign w:val="center"/>
          </w:tcPr>
          <w:p w14:paraId="47905138" w14:textId="77777777" w:rsidR="004E77F6" w:rsidRPr="008D5FF4" w:rsidRDefault="004E77F6" w:rsidP="001106FC">
            <w:pPr>
              <w:spacing w:before="80" w:after="80" w:line="240" w:lineRule="auto"/>
              <w:ind w:right="182"/>
              <w:jc w:val="left"/>
              <w:rPr>
                <w:szCs w:val="20"/>
              </w:rPr>
            </w:pPr>
            <w:r>
              <w:t>Copper Metal</w:t>
            </w:r>
          </w:p>
        </w:tc>
        <w:tc>
          <w:tcPr>
            <w:tcW w:w="937" w:type="pct"/>
            <w:vAlign w:val="center"/>
          </w:tcPr>
          <w:p w14:paraId="0688BEF8" w14:textId="77777777" w:rsidR="004E77F6" w:rsidRPr="00247A09" w:rsidRDefault="004E77F6" w:rsidP="00C03E46">
            <w:pPr>
              <w:spacing w:before="80" w:after="80" w:line="240" w:lineRule="auto"/>
              <w:ind w:right="182"/>
              <w:jc w:val="center"/>
              <w:rPr>
                <w:b w:val="0"/>
                <w:bCs w:val="0"/>
              </w:rPr>
            </w:pPr>
            <w:r>
              <w:rPr>
                <w:b w:val="0"/>
                <w:bCs w:val="0"/>
              </w:rPr>
              <w:t>12.19 MMT</w:t>
            </w:r>
          </w:p>
        </w:tc>
        <w:tc>
          <w:tcPr>
            <w:tcW w:w="869" w:type="pct"/>
            <w:vAlign w:val="center"/>
          </w:tcPr>
          <w:p w14:paraId="4712D99B" w14:textId="77777777" w:rsidR="004E77F6" w:rsidRPr="00247A09" w:rsidRDefault="004E77F6" w:rsidP="00662938">
            <w:pPr>
              <w:spacing w:before="80" w:after="80" w:line="240" w:lineRule="auto"/>
              <w:ind w:left="-75" w:right="-135" w:firstLine="75"/>
              <w:jc w:val="center"/>
              <w:rPr>
                <w:b w:val="0"/>
                <w:bCs w:val="0"/>
              </w:rPr>
            </w:pPr>
            <w:r>
              <w:rPr>
                <w:b w:val="0"/>
                <w:bCs w:val="0"/>
              </w:rPr>
              <w:t>1510 KT</w:t>
            </w:r>
          </w:p>
        </w:tc>
        <w:tc>
          <w:tcPr>
            <w:tcW w:w="1190" w:type="pct"/>
            <w:vAlign w:val="center"/>
          </w:tcPr>
          <w:p w14:paraId="3932DAE9" w14:textId="66E1E3F5" w:rsidR="004E77F6" w:rsidRPr="001F6AAA" w:rsidRDefault="00DF1D39" w:rsidP="00C03E46">
            <w:pPr>
              <w:spacing w:before="80" w:after="80" w:line="240" w:lineRule="auto"/>
              <w:ind w:right="182"/>
              <w:jc w:val="center"/>
              <w:rPr>
                <w:b w:val="0"/>
                <w:bCs w:val="0"/>
              </w:rPr>
            </w:pPr>
            <w:r w:rsidRPr="001F6AAA">
              <w:t xml:space="preserve">approximately </w:t>
            </w:r>
            <w:r w:rsidR="004E77F6" w:rsidRPr="001F6AAA">
              <w:t>2</w:t>
            </w:r>
            <w:r w:rsidR="004E77F6" w:rsidRPr="001F6AAA">
              <w:rPr>
                <w:b w:val="0"/>
                <w:bCs w:val="0"/>
              </w:rPr>
              <w:t>12</w:t>
            </w:r>
            <w:r w:rsidR="004E77F6" w:rsidRPr="001F6AAA">
              <w:t>0</w:t>
            </w:r>
            <w:r w:rsidR="004E77F6" w:rsidRPr="001F6AAA">
              <w:rPr>
                <w:b w:val="0"/>
                <w:bCs w:val="0"/>
              </w:rPr>
              <w:t xml:space="preserve"> KT</w:t>
            </w:r>
          </w:p>
        </w:tc>
        <w:tc>
          <w:tcPr>
            <w:tcW w:w="1032" w:type="pct"/>
            <w:vAlign w:val="center"/>
          </w:tcPr>
          <w:p w14:paraId="6F05010C" w14:textId="77777777" w:rsidR="004E77F6" w:rsidRPr="00895263" w:rsidRDefault="004E77F6" w:rsidP="00662938">
            <w:pPr>
              <w:spacing w:before="80" w:after="80" w:line="240" w:lineRule="auto"/>
              <w:ind w:left="-90" w:right="-15"/>
              <w:jc w:val="center"/>
              <w:rPr>
                <w:b w:val="0"/>
                <w:bCs w:val="0"/>
              </w:rPr>
            </w:pPr>
            <w:r w:rsidRPr="00A22DB3">
              <w:rPr>
                <w:b w:val="0"/>
                <w:bCs w:val="0"/>
              </w:rPr>
              <w:t>Hindustan Copper Limited</w:t>
            </w:r>
          </w:p>
        </w:tc>
      </w:tr>
      <w:tr w:rsidR="004E77F6" w:rsidRPr="008D5FF4" w14:paraId="37712AA4" w14:textId="77777777" w:rsidTr="00662938">
        <w:tc>
          <w:tcPr>
            <w:tcW w:w="972" w:type="pct"/>
            <w:vAlign w:val="center"/>
          </w:tcPr>
          <w:p w14:paraId="39FFF2E4" w14:textId="77777777" w:rsidR="004E77F6" w:rsidRPr="008D5FF4" w:rsidRDefault="004E77F6" w:rsidP="001106FC">
            <w:pPr>
              <w:spacing w:before="80" w:after="80" w:line="240" w:lineRule="auto"/>
              <w:ind w:right="182"/>
              <w:jc w:val="left"/>
              <w:rPr>
                <w:szCs w:val="20"/>
              </w:rPr>
            </w:pPr>
            <w:r>
              <w:t>Bauxite</w:t>
            </w:r>
          </w:p>
        </w:tc>
        <w:tc>
          <w:tcPr>
            <w:tcW w:w="937" w:type="pct"/>
            <w:vAlign w:val="center"/>
          </w:tcPr>
          <w:p w14:paraId="2B15F87C" w14:textId="77777777" w:rsidR="004E77F6" w:rsidRPr="00247A09" w:rsidRDefault="004E77F6" w:rsidP="00C03E46">
            <w:pPr>
              <w:spacing w:before="80" w:after="80" w:line="240" w:lineRule="auto"/>
              <w:ind w:right="182"/>
              <w:jc w:val="center"/>
              <w:rPr>
                <w:b w:val="0"/>
                <w:bCs w:val="0"/>
              </w:rPr>
            </w:pPr>
            <w:r>
              <w:rPr>
                <w:b w:val="0"/>
                <w:bCs w:val="0"/>
              </w:rPr>
              <w:t>650 MMT</w:t>
            </w:r>
          </w:p>
        </w:tc>
        <w:tc>
          <w:tcPr>
            <w:tcW w:w="869" w:type="pct"/>
            <w:vAlign w:val="center"/>
          </w:tcPr>
          <w:p w14:paraId="04EA76DB" w14:textId="77777777" w:rsidR="004E77F6" w:rsidRPr="00247A09" w:rsidRDefault="004E77F6" w:rsidP="00662938">
            <w:pPr>
              <w:spacing w:before="80" w:after="80" w:line="240" w:lineRule="auto"/>
              <w:ind w:left="-75" w:right="-135" w:firstLine="75"/>
              <w:jc w:val="center"/>
              <w:rPr>
                <w:b w:val="0"/>
                <w:bCs w:val="0"/>
              </w:rPr>
            </w:pPr>
            <w:r>
              <w:rPr>
                <w:b w:val="0"/>
                <w:bCs w:val="0"/>
              </w:rPr>
              <w:t>19.80 MMT</w:t>
            </w:r>
          </w:p>
        </w:tc>
        <w:tc>
          <w:tcPr>
            <w:tcW w:w="1190" w:type="pct"/>
            <w:vAlign w:val="center"/>
          </w:tcPr>
          <w:p w14:paraId="31DE5FD0" w14:textId="4207A98D" w:rsidR="004E77F6" w:rsidRPr="001F6AAA" w:rsidRDefault="00DF1D39" w:rsidP="00C03E46">
            <w:pPr>
              <w:spacing w:before="80" w:after="80" w:line="240" w:lineRule="auto"/>
              <w:ind w:right="182"/>
              <w:jc w:val="center"/>
              <w:rPr>
                <w:b w:val="0"/>
                <w:bCs w:val="0"/>
              </w:rPr>
            </w:pPr>
            <w:r w:rsidRPr="001F6AAA">
              <w:t xml:space="preserve">approximately </w:t>
            </w:r>
            <w:r w:rsidR="004E77F6" w:rsidRPr="001F6AAA">
              <w:t>26 MMT</w:t>
            </w:r>
          </w:p>
        </w:tc>
        <w:tc>
          <w:tcPr>
            <w:tcW w:w="1032" w:type="pct"/>
            <w:vAlign w:val="center"/>
          </w:tcPr>
          <w:p w14:paraId="3B0E8781" w14:textId="77777777" w:rsidR="004E77F6" w:rsidRPr="00895263" w:rsidRDefault="004E77F6" w:rsidP="00662938">
            <w:pPr>
              <w:spacing w:before="80" w:after="80" w:line="240" w:lineRule="auto"/>
              <w:ind w:left="-90" w:right="-15"/>
              <w:jc w:val="center"/>
              <w:rPr>
                <w:b w:val="0"/>
                <w:bCs w:val="0"/>
              </w:rPr>
            </w:pPr>
            <w:r>
              <w:rPr>
                <w:b w:val="0"/>
                <w:bCs w:val="0"/>
              </w:rPr>
              <w:t>Vedanta, Hindalco</w:t>
            </w:r>
          </w:p>
        </w:tc>
      </w:tr>
      <w:tr w:rsidR="004E77F6" w:rsidRPr="008D5FF4" w14:paraId="4A4375AB" w14:textId="77777777" w:rsidTr="00662938">
        <w:tc>
          <w:tcPr>
            <w:tcW w:w="972" w:type="pct"/>
            <w:vAlign w:val="center"/>
          </w:tcPr>
          <w:p w14:paraId="0B7DBA0F" w14:textId="77777777" w:rsidR="004E77F6" w:rsidRPr="008D5FF4" w:rsidRDefault="004E77F6" w:rsidP="001106FC">
            <w:pPr>
              <w:spacing w:before="80" w:after="80" w:line="240" w:lineRule="auto"/>
              <w:ind w:right="182"/>
              <w:jc w:val="left"/>
              <w:rPr>
                <w:szCs w:val="20"/>
              </w:rPr>
            </w:pPr>
            <w:r>
              <w:t>Manganese</w:t>
            </w:r>
          </w:p>
        </w:tc>
        <w:tc>
          <w:tcPr>
            <w:tcW w:w="937" w:type="pct"/>
            <w:vAlign w:val="center"/>
          </w:tcPr>
          <w:p w14:paraId="71579B2D" w14:textId="77777777" w:rsidR="004E77F6" w:rsidRPr="00247A09" w:rsidRDefault="004E77F6" w:rsidP="00C03E46">
            <w:pPr>
              <w:spacing w:before="80" w:after="80" w:line="240" w:lineRule="auto"/>
              <w:ind w:right="182"/>
              <w:jc w:val="center"/>
              <w:rPr>
                <w:b w:val="0"/>
                <w:bCs w:val="0"/>
              </w:rPr>
            </w:pPr>
            <w:r w:rsidRPr="00C960DE">
              <w:rPr>
                <w:b w:val="0"/>
                <w:bCs w:val="0"/>
              </w:rPr>
              <w:t>504 M</w:t>
            </w:r>
            <w:r>
              <w:rPr>
                <w:b w:val="0"/>
                <w:bCs w:val="0"/>
              </w:rPr>
              <w:t>M</w:t>
            </w:r>
            <w:r w:rsidRPr="00C960DE">
              <w:rPr>
                <w:b w:val="0"/>
                <w:bCs w:val="0"/>
              </w:rPr>
              <w:t>T</w:t>
            </w:r>
          </w:p>
        </w:tc>
        <w:tc>
          <w:tcPr>
            <w:tcW w:w="869" w:type="pct"/>
            <w:vAlign w:val="center"/>
          </w:tcPr>
          <w:p w14:paraId="48E9035C" w14:textId="77777777" w:rsidR="004E77F6" w:rsidRPr="00247A09" w:rsidRDefault="004E77F6" w:rsidP="00662938">
            <w:pPr>
              <w:spacing w:before="80" w:after="80" w:line="240" w:lineRule="auto"/>
              <w:ind w:left="-75" w:right="-135" w:firstLine="75"/>
              <w:jc w:val="center"/>
              <w:rPr>
                <w:b w:val="0"/>
                <w:bCs w:val="0"/>
              </w:rPr>
            </w:pPr>
            <w:r>
              <w:rPr>
                <w:b w:val="0"/>
                <w:bCs w:val="0"/>
              </w:rPr>
              <w:t>8.4 MMT*</w:t>
            </w:r>
          </w:p>
        </w:tc>
        <w:tc>
          <w:tcPr>
            <w:tcW w:w="1190" w:type="pct"/>
            <w:vAlign w:val="center"/>
          </w:tcPr>
          <w:p w14:paraId="2E32BD8F" w14:textId="77777777" w:rsidR="004E77F6" w:rsidRPr="001F6AAA" w:rsidRDefault="004E77F6" w:rsidP="00C03E46">
            <w:pPr>
              <w:spacing w:before="80" w:after="80" w:line="240" w:lineRule="auto"/>
              <w:ind w:right="182"/>
              <w:jc w:val="center"/>
              <w:rPr>
                <w:b w:val="0"/>
                <w:bCs w:val="0"/>
              </w:rPr>
            </w:pPr>
            <w:r w:rsidRPr="001F6AAA">
              <w:t>15.6 MMT</w:t>
            </w:r>
          </w:p>
        </w:tc>
        <w:tc>
          <w:tcPr>
            <w:tcW w:w="1032" w:type="pct"/>
            <w:vAlign w:val="center"/>
          </w:tcPr>
          <w:p w14:paraId="6B9EE852" w14:textId="77777777" w:rsidR="004E77F6" w:rsidRPr="00895263" w:rsidRDefault="004E77F6" w:rsidP="00662938">
            <w:pPr>
              <w:spacing w:before="80" w:after="80" w:line="240" w:lineRule="auto"/>
              <w:ind w:left="-90" w:right="-15"/>
              <w:jc w:val="center"/>
              <w:rPr>
                <w:b w:val="0"/>
                <w:bCs w:val="0"/>
              </w:rPr>
            </w:pPr>
            <w:r w:rsidRPr="00A22DB3">
              <w:rPr>
                <w:b w:val="0"/>
                <w:bCs w:val="0"/>
              </w:rPr>
              <w:t>MOIL, Tata Stee</w:t>
            </w:r>
            <w:r>
              <w:rPr>
                <w:b w:val="0"/>
                <w:bCs w:val="0"/>
              </w:rPr>
              <w:t>l</w:t>
            </w:r>
          </w:p>
        </w:tc>
      </w:tr>
      <w:tr w:rsidR="004E77F6" w:rsidRPr="008D5FF4" w14:paraId="1FC33293" w14:textId="77777777" w:rsidTr="00662938">
        <w:tc>
          <w:tcPr>
            <w:tcW w:w="972" w:type="pct"/>
            <w:vAlign w:val="center"/>
          </w:tcPr>
          <w:p w14:paraId="1905FFE8" w14:textId="77777777" w:rsidR="004E77F6" w:rsidRDefault="004E77F6" w:rsidP="001106FC">
            <w:pPr>
              <w:spacing w:before="80" w:after="80" w:line="240" w:lineRule="auto"/>
              <w:ind w:right="182"/>
              <w:jc w:val="left"/>
            </w:pPr>
            <w:r>
              <w:t>Graphite</w:t>
            </w:r>
          </w:p>
        </w:tc>
        <w:tc>
          <w:tcPr>
            <w:tcW w:w="937" w:type="pct"/>
            <w:vAlign w:val="center"/>
          </w:tcPr>
          <w:p w14:paraId="16373882" w14:textId="77777777" w:rsidR="004E77F6" w:rsidRPr="00C960DE" w:rsidRDefault="004E77F6" w:rsidP="00C03E46">
            <w:pPr>
              <w:spacing w:before="80" w:after="80" w:line="240" w:lineRule="auto"/>
              <w:ind w:right="182"/>
              <w:jc w:val="center"/>
              <w:rPr>
                <w:b w:val="0"/>
                <w:bCs w:val="0"/>
              </w:rPr>
            </w:pPr>
            <w:r w:rsidRPr="00C960DE">
              <w:rPr>
                <w:b w:val="0"/>
                <w:bCs w:val="0"/>
              </w:rPr>
              <w:t>212 M</w:t>
            </w:r>
            <w:r>
              <w:rPr>
                <w:b w:val="0"/>
                <w:bCs w:val="0"/>
              </w:rPr>
              <w:t>M</w:t>
            </w:r>
            <w:r w:rsidRPr="00C960DE">
              <w:rPr>
                <w:b w:val="0"/>
                <w:bCs w:val="0"/>
              </w:rPr>
              <w:t>T</w:t>
            </w:r>
          </w:p>
        </w:tc>
        <w:tc>
          <w:tcPr>
            <w:tcW w:w="869" w:type="pct"/>
            <w:vAlign w:val="center"/>
          </w:tcPr>
          <w:p w14:paraId="5F7F82CE" w14:textId="77777777" w:rsidR="004E77F6" w:rsidRPr="00247A09" w:rsidRDefault="004E77F6" w:rsidP="00662938">
            <w:pPr>
              <w:spacing w:before="80" w:after="80" w:line="240" w:lineRule="auto"/>
              <w:ind w:left="-75" w:right="-135" w:firstLine="75"/>
              <w:jc w:val="center"/>
              <w:rPr>
                <w:b w:val="0"/>
                <w:bCs w:val="0"/>
              </w:rPr>
            </w:pPr>
            <w:r>
              <w:rPr>
                <w:b w:val="0"/>
                <w:bCs w:val="0"/>
              </w:rPr>
              <w:t>416 KT*</w:t>
            </w:r>
          </w:p>
        </w:tc>
        <w:tc>
          <w:tcPr>
            <w:tcW w:w="1190" w:type="pct"/>
            <w:vAlign w:val="center"/>
          </w:tcPr>
          <w:p w14:paraId="39C9FFCA" w14:textId="77777777" w:rsidR="004E77F6" w:rsidRPr="001F6AAA" w:rsidRDefault="004E77F6" w:rsidP="00C03E46">
            <w:pPr>
              <w:spacing w:before="80" w:after="80" w:line="240" w:lineRule="auto"/>
              <w:ind w:right="182"/>
              <w:jc w:val="center"/>
              <w:rPr>
                <w:b w:val="0"/>
                <w:bCs w:val="0"/>
              </w:rPr>
            </w:pPr>
            <w:r w:rsidRPr="001F6AAA">
              <w:t>698 KT</w:t>
            </w:r>
          </w:p>
        </w:tc>
        <w:tc>
          <w:tcPr>
            <w:tcW w:w="1032" w:type="pct"/>
            <w:vAlign w:val="center"/>
          </w:tcPr>
          <w:p w14:paraId="1566B1E4" w14:textId="77777777" w:rsidR="004E77F6" w:rsidRPr="00C960DE" w:rsidRDefault="004E77F6" w:rsidP="00662938">
            <w:pPr>
              <w:spacing w:before="80" w:after="80" w:line="240" w:lineRule="auto"/>
              <w:ind w:left="-90" w:right="-15"/>
              <w:jc w:val="center"/>
              <w:rPr>
                <w:b w:val="0"/>
                <w:bCs w:val="0"/>
              </w:rPr>
            </w:pPr>
            <w:r>
              <w:rPr>
                <w:b w:val="0"/>
                <w:bCs w:val="0"/>
              </w:rPr>
              <w:t>TAMIN</w:t>
            </w:r>
          </w:p>
        </w:tc>
      </w:tr>
    </w:tbl>
    <w:p w14:paraId="1E77F477" w14:textId="77777777" w:rsidR="004E77F6" w:rsidRDefault="004E77F6" w:rsidP="004E77F6">
      <w:pPr>
        <w:pStyle w:val="Source"/>
      </w:pPr>
      <w:r w:rsidRPr="00FF440B">
        <w:t>Source:</w:t>
      </w:r>
      <w:r>
        <w:t xml:space="preserve"> </w:t>
      </w:r>
      <w:r w:rsidRPr="00BF3009">
        <w:t>USGS MCS 2025</w:t>
      </w:r>
      <w:r>
        <w:t xml:space="preserve">, Crisil Intelligence, </w:t>
      </w:r>
      <w:r w:rsidRPr="008E475D">
        <w:t>IBM Mineral Yearbook</w:t>
      </w:r>
      <w:r>
        <w:t>; *Demand available for fiscal 2024</w:t>
      </w:r>
    </w:p>
    <w:p w14:paraId="7AEA4282" w14:textId="5CC29A3C" w:rsidR="004E77F6" w:rsidRPr="00044273" w:rsidRDefault="004E77F6" w:rsidP="004E77F6">
      <w:pPr>
        <w:pStyle w:val="Heading40"/>
      </w:pPr>
      <w:r>
        <w:t>Critical minerals</w:t>
      </w:r>
    </w:p>
    <w:p w14:paraId="080667CC" w14:textId="58512A73" w:rsidR="004E77F6" w:rsidRDefault="004E77F6" w:rsidP="00662938">
      <w:r w:rsidRPr="00D27B5C">
        <w:t>India</w:t>
      </w:r>
      <w:r>
        <w:rPr>
          <w:rStyle w:val="FootnoteReference"/>
        </w:rPr>
        <w:footnoteReference w:id="38"/>
      </w:r>
      <w:r w:rsidRPr="00D27B5C">
        <w:t xml:space="preserve"> identified 30 critical minerals</w:t>
      </w:r>
      <w:r>
        <w:t xml:space="preserve"> in June 2023</w:t>
      </w:r>
      <w:r w:rsidRPr="00D27B5C">
        <w:t>, including lithium, cobalt, nickel, rare earth elements, and others, which are essential for the green energy transition and various technological advancements</w:t>
      </w:r>
      <w:r w:rsidRPr="006B31D2">
        <w:t>.</w:t>
      </w:r>
      <w:r>
        <w:t xml:space="preserve"> </w:t>
      </w:r>
      <w:r w:rsidRPr="001235BF">
        <w:t>In August 2023, significant reforms were introduced in India's mining laws to boost the exploration and production of critical minerals. The MMDR Act, 1957 was amended to remove six minerals—lithium, beryllium, titanium, niobium, tantalum, and zirconium—from the list of atomic minerals, thus opening them to private sector participation. A new list of 24 critical and strategic minerals was added to the Act, and the Central Government was empowered to auction blocks for these minerals. A new concession type, the Exploration License (EL), was also introduced, allowing reconnaissance and prospecting of 29 minerals (including 23 critical ones) through auction. Separately, the Offshore Areas Mineral (Development and Regulation) Act, 2002 was also amended to allow auction-based allocation of offshore mineral blocks containing critical minerals like REEs, phosphorite, and polymetallic nodules. The amendment also led to the creation of the Offshore Areas Mineral Trust to support exploration, research, capacity building, and international cooperation. These policy reforms aim to secure critical mineral supply chains essential for clean energy, electronics, defense, and other high-tech sectors</w:t>
      </w:r>
      <w:r w:rsidRPr="00144FEC">
        <w:t>.</w:t>
      </w:r>
      <w:r w:rsidR="0072636B">
        <w:t xml:space="preserve"> </w:t>
      </w:r>
    </w:p>
    <w:p w14:paraId="78C8A63E" w14:textId="77777777" w:rsidR="004E77F6" w:rsidRDefault="004E77F6" w:rsidP="00C03E46">
      <w:r w:rsidRPr="00B21A5D">
        <w:t>To secure a steady supply of critical minerals, the Government of India will support mapping and detailed exploration in resource-rich countries through entities like the Geological Survey of India (GSI), Public Sector Undertakings (PSUs), and other Indian organizations. These efforts aim to supply critical minerals to India, with the National Mineral Exploration Trust (NMET) expected to spend R</w:t>
      </w:r>
      <w:r>
        <w:t>s.</w:t>
      </w:r>
      <w:r w:rsidRPr="00B21A5D">
        <w:t xml:space="preserve"> 1,600 crores by </w:t>
      </w:r>
      <w:r>
        <w:t>fiscal</w:t>
      </w:r>
      <w:r w:rsidRPr="00B21A5D">
        <w:t xml:space="preserve"> 2031 on overseas exploration. </w:t>
      </w:r>
    </w:p>
    <w:p w14:paraId="449E8E03" w14:textId="77777777" w:rsidR="004E77F6" w:rsidRDefault="004E77F6" w:rsidP="00662938">
      <w:r w:rsidRPr="00DC0689">
        <w:t xml:space="preserve">The Government of India has embarked on a strategic initiative to bolster the recovery of critical minerals from secondary sources, including mine tailings, overburden, and other industrial by-products, with a dedicated allocation of Rs. 100 crores for pilot projects leveraging cutting-edge technologies such as hydrometallurgy and bioleaching. Furthermore, a lower revenue share model will be implemented to incentivize optimal recovery of critical minerals associated with major minerals. To enhance domestic processing capabilities, the government plans to establish mineral processing parks, with a budgetary allocation of Rs. 500 crores, which will facilitate research and development in beneficiation, critical mineral reagents, and other associated technologies. </w:t>
      </w:r>
    </w:p>
    <w:p w14:paraId="11BADBBD" w14:textId="77777777" w:rsidR="004E77F6" w:rsidRDefault="004E77F6" w:rsidP="00662938">
      <w:r w:rsidRPr="000A1653">
        <w:t>While the country's domestic reserves partially cater to the demand for certain minerals like tin, rare earth elements, copper, silicon, and titanium, the overall production falls short of meeting the escalating demand. As a result, India's reliance on imports remains significant, with a complete dependence on foreign sources for a range of crucial minerals, including cobalt, beryllium, bismuth, indium, lithium, niobium, rhenium, strontium, tantalum, and tungsten</w:t>
      </w:r>
      <w:r>
        <w:t>.</w:t>
      </w:r>
    </w:p>
    <w:p w14:paraId="488CA28C" w14:textId="77777777" w:rsidR="004E77F6" w:rsidRDefault="004E77F6" w:rsidP="00662938">
      <w:r w:rsidRPr="00E15BF5">
        <w:t xml:space="preserve">In </w:t>
      </w:r>
      <w:r>
        <w:t>fiscal 2024</w:t>
      </w:r>
      <w:r w:rsidRPr="00E15BF5">
        <w:t>, CIL set up a separate vertical for critical and strategic minerals and is aligning with the national decarbonization agenda.</w:t>
      </w:r>
      <w:r>
        <w:t xml:space="preserve"> </w:t>
      </w:r>
      <w:r w:rsidRPr="00674E57">
        <w:t>CIL has expressed interest in commercial mining of non-coal minerals, especially in collaboration with MECL, GSI, and state governments</w:t>
      </w:r>
      <w:r>
        <w:t>.</w:t>
      </w:r>
      <w:r w:rsidRPr="00E15BF5">
        <w:t xml:space="preserve"> </w:t>
      </w:r>
      <w:r>
        <w:t xml:space="preserve">In January 2025, CIL </w:t>
      </w:r>
      <w:r w:rsidRPr="00762D60">
        <w:t>invited expressions of interest (EoI) from experienced consultants to conduct technical due diligence on lithium brine assets in Argentina</w:t>
      </w:r>
      <w:r>
        <w:t>. As the global focus shifts towards renewable energy and sustainability, the demand for consulting services related to these emerging commodities is expected to grow, driving the overall market expansion.</w:t>
      </w:r>
    </w:p>
    <w:p w14:paraId="5644BA3C" w14:textId="77777777" w:rsidR="004E77F6" w:rsidRDefault="004E77F6" w:rsidP="00662938">
      <w:pPr>
        <w:pStyle w:val="Heading40"/>
        <w:numPr>
          <w:ilvl w:val="0"/>
          <w:numId w:val="0"/>
        </w:numPr>
        <w:ind w:left="864" w:hanging="864"/>
      </w:pPr>
      <w:r>
        <w:t>Rare Earth Elements</w:t>
      </w:r>
    </w:p>
    <w:p w14:paraId="25A986C9" w14:textId="77777777" w:rsidR="004E77F6" w:rsidRDefault="004E77F6" w:rsidP="004E77F6">
      <w:r>
        <w:t>Rare Earth Elements (REEs) are a group of 17 chemically similar metallic elements in the periodic table. These include the 15 lanthanides from Lanthanum to Lutetium along with Yttrium and Scandium.</w:t>
      </w:r>
      <w:r w:rsidRPr="007C64F6">
        <w:t xml:space="preserve"> </w:t>
      </w:r>
      <w:r>
        <w:t>I</w:t>
      </w:r>
      <w:r w:rsidRPr="0043625E">
        <w:t xml:space="preserve">ndian </w:t>
      </w:r>
      <w:r>
        <w:t xml:space="preserve">REE </w:t>
      </w:r>
      <w:r w:rsidRPr="0043625E">
        <w:t>resource contain Light Rare Earth Elements while Heavy Rare Earth Elements are not available in extractable quantities</w:t>
      </w:r>
      <w:r>
        <w:t>. The principal sources of REE are bastnaesite, xenotime and loparite. In India, Monazite is the principal source of rare earths which occurs in the beach sand and inland placers. The resource estimates of Monazite is 11.93 MT</w:t>
      </w:r>
      <w:r>
        <w:rPr>
          <w:rStyle w:val="FootnoteReference"/>
        </w:rPr>
        <w:footnoteReference w:id="39"/>
      </w:r>
      <w:r>
        <w:t xml:space="preserve"> which comprises 55%- 65% of Rare Earth Oxides. </w:t>
      </w:r>
    </w:p>
    <w:p w14:paraId="0B71BC53" w14:textId="2FD8092D" w:rsidR="004E77F6" w:rsidRDefault="004E77F6" w:rsidP="004E77F6">
      <w:r w:rsidRPr="00A73E4D">
        <w:t xml:space="preserve">As of </w:t>
      </w:r>
      <w:r>
        <w:t>2024</w:t>
      </w:r>
      <w:r>
        <w:rPr>
          <w:rStyle w:val="FootnoteReference"/>
        </w:rPr>
        <w:footnoteReference w:id="40"/>
      </w:r>
      <w:r w:rsidRPr="00FB18A1">
        <w:t xml:space="preserve">, </w:t>
      </w:r>
      <w:r w:rsidRPr="00A73E4D">
        <w:t xml:space="preserve">the total world reserves of Rare Earth Elements (REEs) are estimated to be </w:t>
      </w:r>
      <w:r>
        <w:t>90 BMT</w:t>
      </w:r>
      <w:r w:rsidRPr="00A73E4D">
        <w:t xml:space="preserve">, with the majority being held by countries such as </w:t>
      </w:r>
      <w:r>
        <w:t>China (</w:t>
      </w:r>
      <w:r w:rsidR="00DF1D39">
        <w:t xml:space="preserve">approximately </w:t>
      </w:r>
      <w:r>
        <w:t>49%)</w:t>
      </w:r>
      <w:r w:rsidRPr="00A73E4D">
        <w:t xml:space="preserve">, </w:t>
      </w:r>
      <w:r>
        <w:t>Brazil (</w:t>
      </w:r>
      <w:r w:rsidR="00DF1D39">
        <w:t xml:space="preserve">approximately </w:t>
      </w:r>
      <w:r>
        <w:t>23%)</w:t>
      </w:r>
      <w:r w:rsidRPr="00A73E4D">
        <w:t xml:space="preserve">, </w:t>
      </w:r>
      <w:r>
        <w:t>India (</w:t>
      </w:r>
      <w:r w:rsidR="00DF1D39">
        <w:t xml:space="preserve">approximately </w:t>
      </w:r>
      <w:r>
        <w:t>8%)</w:t>
      </w:r>
      <w:r w:rsidRPr="00A73E4D">
        <w:t xml:space="preserve">, </w:t>
      </w:r>
      <w:r>
        <w:t>Australia (</w:t>
      </w:r>
      <w:r w:rsidR="00DF1D39">
        <w:t xml:space="preserve">approximately </w:t>
      </w:r>
      <w:r>
        <w:t>6%)</w:t>
      </w:r>
      <w:r w:rsidRPr="00A73E4D">
        <w:t>, and others</w:t>
      </w:r>
      <w:r>
        <w:t xml:space="preserve"> (</w:t>
      </w:r>
      <w:r w:rsidR="00DF1D39">
        <w:t xml:space="preserve">approximately </w:t>
      </w:r>
      <w:r>
        <w:t>14%)</w:t>
      </w:r>
      <w:r w:rsidRPr="00A73E4D">
        <w:t>. India's REE deposits</w:t>
      </w:r>
      <w:r>
        <w:t xml:space="preserve"> are</w:t>
      </w:r>
      <w:r w:rsidRPr="00A73E4D">
        <w:t xml:space="preserve"> found in </w:t>
      </w:r>
      <w:r>
        <w:t>Andra Pradesh (</w:t>
      </w:r>
      <w:r w:rsidR="00DF1D39">
        <w:t xml:space="preserve">approximately </w:t>
      </w:r>
      <w:r>
        <w:t>26%), Odisha (</w:t>
      </w:r>
      <w:r w:rsidR="00DF1D39">
        <w:t xml:space="preserve">approximately </w:t>
      </w:r>
      <w:r>
        <w:t>25%), Tamil Nadu (</w:t>
      </w:r>
      <w:r w:rsidR="00DF1D39">
        <w:t xml:space="preserve">approximately </w:t>
      </w:r>
      <w:r>
        <w:t>19%), Kerela (</w:t>
      </w:r>
      <w:r w:rsidR="00DF1D39">
        <w:t xml:space="preserve">approximately </w:t>
      </w:r>
      <w:r>
        <w:t>14%), West Bengal (</w:t>
      </w:r>
      <w:r w:rsidR="00DF1D39">
        <w:t xml:space="preserve">approximately </w:t>
      </w:r>
      <w:r>
        <w:t>9%)</w:t>
      </w:r>
      <w:r w:rsidRPr="00A73E4D">
        <w:t xml:space="preserve"> and </w:t>
      </w:r>
      <w:r>
        <w:t>others (</w:t>
      </w:r>
      <w:r w:rsidR="00DF1D39">
        <w:t xml:space="preserve">approximately </w:t>
      </w:r>
      <w:r>
        <w:t>7%)</w:t>
      </w:r>
      <w:r w:rsidRPr="00A73E4D">
        <w:t xml:space="preserve">. Till date, </w:t>
      </w:r>
      <w:r>
        <w:t>1 CL</w:t>
      </w:r>
      <w:r w:rsidRPr="00A73E4D">
        <w:t xml:space="preserve"> block </w:t>
      </w:r>
      <w:r>
        <w:t xml:space="preserve">and no ML block </w:t>
      </w:r>
      <w:r w:rsidRPr="00A73E4D">
        <w:t>have been launched for auction</w:t>
      </w:r>
      <w:r>
        <w:t xml:space="preserve"> and no</w:t>
      </w:r>
      <w:r w:rsidRPr="00A73E4D">
        <w:t xml:space="preserve"> blocks </w:t>
      </w:r>
      <w:r>
        <w:t xml:space="preserve">have been </w:t>
      </w:r>
      <w:r w:rsidRPr="00A73E4D">
        <w:t>successfully auctioned.</w:t>
      </w:r>
      <w:r>
        <w:t xml:space="preserve"> </w:t>
      </w:r>
      <w:r w:rsidRPr="00A73E4D">
        <w:t xml:space="preserve">The world's REE production </w:t>
      </w:r>
      <w:r>
        <w:t>was</w:t>
      </w:r>
      <w:r w:rsidRPr="00A73E4D">
        <w:t xml:space="preserve"> </w:t>
      </w:r>
      <w:r>
        <w:t>390 MMT in 2024</w:t>
      </w:r>
      <w:r w:rsidRPr="00A73E4D">
        <w:t xml:space="preserve">, where </w:t>
      </w:r>
      <w:r>
        <w:t>China</w:t>
      </w:r>
      <w:r w:rsidRPr="00A73E4D">
        <w:t xml:space="preserve"> contributes </w:t>
      </w:r>
      <w:r w:rsidR="00DF1D39">
        <w:t xml:space="preserve">approximately </w:t>
      </w:r>
      <w:r>
        <w:t>69</w:t>
      </w:r>
      <w:r w:rsidRPr="00A73E4D">
        <w:t>%</w:t>
      </w:r>
      <w:r>
        <w:t xml:space="preserve"> (270 MMT)</w:t>
      </w:r>
      <w:r w:rsidRPr="00A73E4D">
        <w:t xml:space="preserve">, </w:t>
      </w:r>
      <w:r>
        <w:t>United States</w:t>
      </w:r>
      <w:r w:rsidRPr="00A73E4D">
        <w:t xml:space="preserve"> contributes </w:t>
      </w:r>
      <w:r w:rsidR="00DF1D39">
        <w:t xml:space="preserve">approximately </w:t>
      </w:r>
      <w:r>
        <w:t>12</w:t>
      </w:r>
      <w:r w:rsidRPr="00A73E4D">
        <w:t>%</w:t>
      </w:r>
      <w:r>
        <w:t xml:space="preserve"> (45 MMT)</w:t>
      </w:r>
      <w:r w:rsidRPr="00A73E4D">
        <w:t xml:space="preserve">, </w:t>
      </w:r>
      <w:r>
        <w:t>Canada</w:t>
      </w:r>
      <w:r w:rsidRPr="00A73E4D">
        <w:t xml:space="preserve"> contributes </w:t>
      </w:r>
      <w:r w:rsidR="00201C5A">
        <w:t xml:space="preserve">approximately </w:t>
      </w:r>
      <w:r>
        <w:t>8</w:t>
      </w:r>
      <w:r w:rsidRPr="00A73E4D">
        <w:t>%</w:t>
      </w:r>
      <w:r>
        <w:t xml:space="preserve"> (31 MMT)</w:t>
      </w:r>
      <w:r w:rsidRPr="00A73E4D">
        <w:t xml:space="preserve">, and </w:t>
      </w:r>
      <w:r>
        <w:t>India</w:t>
      </w:r>
      <w:r w:rsidRPr="00A73E4D">
        <w:t xml:space="preserve"> contributes </w:t>
      </w:r>
      <w:r w:rsidR="00DF1D39">
        <w:t xml:space="preserve">approximately </w:t>
      </w:r>
      <w:r>
        <w:t>0.7</w:t>
      </w:r>
      <w:r w:rsidRPr="00A73E4D">
        <w:t>%</w:t>
      </w:r>
      <w:r>
        <w:t xml:space="preserve"> (2.9 MMT)</w:t>
      </w:r>
      <w:r w:rsidRPr="00A73E4D">
        <w:t xml:space="preserve">, with the remaining </w:t>
      </w:r>
      <w:r>
        <w:t>10</w:t>
      </w:r>
      <w:r w:rsidRPr="00A73E4D">
        <w:t xml:space="preserve">% coming from other countries. </w:t>
      </w:r>
      <w:r>
        <w:t>As REEs are found in traces within the host rocks, specialized exploration is required for proper delineation of REE concentration through geochemical and geophysical surveys. Till March 2020, GSI has generated significant baseline data covering 11.72 lakh sq.km</w:t>
      </w:r>
      <w:r>
        <w:rPr>
          <w:rStyle w:val="FootnoteReference"/>
        </w:rPr>
        <w:footnoteReference w:id="41"/>
      </w:r>
      <w:r>
        <w:t xml:space="preserve">, 7.66 lakh sq.km and 2.66 lakh sq. km through geochemical, geophysical and aero- geophysical survey respectively which will play a key role towards establishing REE resources in the country. CMPDI being a PSU will be having a easier accessibility towards procuring such baseline data generated by GSI and leveraging upon its existing infrastructure can cash upon such opportunity and establish its position as position a market leader in such field. </w:t>
      </w:r>
    </w:p>
    <w:p w14:paraId="255282D0" w14:textId="77777777" w:rsidR="004E77F6" w:rsidRPr="00044273" w:rsidRDefault="004E77F6" w:rsidP="00662938">
      <w:pPr>
        <w:pStyle w:val="Heading40"/>
        <w:numPr>
          <w:ilvl w:val="0"/>
          <w:numId w:val="0"/>
        </w:numPr>
        <w:ind w:left="864" w:hanging="864"/>
      </w:pPr>
      <w:r>
        <w:t>Lithium</w:t>
      </w:r>
    </w:p>
    <w:p w14:paraId="6971240D" w14:textId="50BAE110" w:rsidR="004E77F6" w:rsidRPr="00FB18A1" w:rsidRDefault="004E77F6" w:rsidP="004E77F6">
      <w:r w:rsidRPr="00FB18A1">
        <w:t xml:space="preserve">As of </w:t>
      </w:r>
      <w:r>
        <w:t>2024</w:t>
      </w:r>
      <w:r>
        <w:rPr>
          <w:rStyle w:val="FootnoteReference"/>
        </w:rPr>
        <w:footnoteReference w:id="42"/>
      </w:r>
      <w:r w:rsidRPr="00FB18A1">
        <w:t xml:space="preserve">, the total world reserves of lithium are estimated to be </w:t>
      </w:r>
      <w:r>
        <w:t>30</w:t>
      </w:r>
      <w:r w:rsidRPr="00FB18A1">
        <w:t xml:space="preserve"> </w:t>
      </w:r>
      <w:r>
        <w:t>B</w:t>
      </w:r>
      <w:r w:rsidRPr="00FB18A1">
        <w:t xml:space="preserve">MT, with majority </w:t>
      </w:r>
      <w:r>
        <w:t xml:space="preserve">of the </w:t>
      </w:r>
      <w:r w:rsidRPr="00DA3B9E">
        <w:t xml:space="preserve">reserves </w:t>
      </w:r>
      <w:r w:rsidRPr="00FB18A1">
        <w:t>being held by countries such as Chile</w:t>
      </w:r>
      <w:r>
        <w:t xml:space="preserve"> at 9.3 BMT (</w:t>
      </w:r>
      <w:r w:rsidR="00201C5A">
        <w:t xml:space="preserve">approximately </w:t>
      </w:r>
      <w:r>
        <w:t>31%)</w:t>
      </w:r>
      <w:r w:rsidRPr="00FB18A1">
        <w:t xml:space="preserve">, </w:t>
      </w:r>
      <w:r>
        <w:t>Australia at 7 BMT (</w:t>
      </w:r>
      <w:r w:rsidR="00201C5A">
        <w:t xml:space="preserve">approximately </w:t>
      </w:r>
      <w:r>
        <w:t>23%)</w:t>
      </w:r>
      <w:r w:rsidRPr="00FB18A1">
        <w:t xml:space="preserve">, </w:t>
      </w:r>
      <w:r>
        <w:t>Argentina</w:t>
      </w:r>
      <w:r w:rsidRPr="00910026">
        <w:t xml:space="preserve"> </w:t>
      </w:r>
      <w:r>
        <w:t>at 4 BMT (</w:t>
      </w:r>
      <w:r w:rsidR="00201C5A">
        <w:t xml:space="preserve">approximately </w:t>
      </w:r>
      <w:r>
        <w:t>13%)</w:t>
      </w:r>
      <w:r w:rsidRPr="00FB18A1">
        <w:t xml:space="preserve">, and </w:t>
      </w:r>
      <w:r>
        <w:t>China at 3 BMT (</w:t>
      </w:r>
      <w:r w:rsidR="00201C5A">
        <w:t xml:space="preserve">approximately </w:t>
      </w:r>
      <w:r>
        <w:t>10%) and others 6.7 BMT (</w:t>
      </w:r>
      <w:r w:rsidR="00201C5A">
        <w:t xml:space="preserve">approximately </w:t>
      </w:r>
      <w:r>
        <w:t>22%)</w:t>
      </w:r>
      <w:r w:rsidRPr="00FB18A1">
        <w:t>.</w:t>
      </w:r>
      <w:r>
        <w:t xml:space="preserve"> </w:t>
      </w:r>
      <w:r w:rsidRPr="00FB18A1">
        <w:t xml:space="preserve"> </w:t>
      </w:r>
      <w:r w:rsidRPr="00E42014">
        <w:t>India's lithium resources are approximately 12.3</w:t>
      </w:r>
      <w:r>
        <w:rPr>
          <w:rStyle w:val="FootnoteReference"/>
        </w:rPr>
        <w:footnoteReference w:id="43"/>
      </w:r>
      <w:r w:rsidRPr="00E42014">
        <w:t xml:space="preserve"> </w:t>
      </w:r>
      <w:r>
        <w:t>M</w:t>
      </w:r>
      <w:r w:rsidRPr="00E42014">
        <w:t>MT, with significant deposits found in Jammu &amp; Kashmir and Karnataka.</w:t>
      </w:r>
      <w:r w:rsidRPr="00FB18A1">
        <w:t xml:space="preserve"> T</w:t>
      </w:r>
      <w:r>
        <w:t>ill</w:t>
      </w:r>
      <w:r w:rsidRPr="00FB18A1">
        <w:t xml:space="preserve"> date, </w:t>
      </w:r>
      <w:r>
        <w:t xml:space="preserve">3 (CL- 3, ML-0) </w:t>
      </w:r>
      <w:r w:rsidRPr="00FB18A1">
        <w:t xml:space="preserve">blocks have been launched for auction, with </w:t>
      </w:r>
      <w:r>
        <w:t>1</w:t>
      </w:r>
      <w:r w:rsidRPr="00FB18A1">
        <w:t xml:space="preserve"> block successfully auctioned.</w:t>
      </w:r>
    </w:p>
    <w:p w14:paraId="3480F34B" w14:textId="4A046D67" w:rsidR="004E77F6" w:rsidRDefault="004E77F6" w:rsidP="004E77F6">
      <w:r w:rsidRPr="00FB18A1">
        <w:t xml:space="preserve">As of </w:t>
      </w:r>
      <w:r>
        <w:t>2024</w:t>
      </w:r>
      <w:r>
        <w:rPr>
          <w:rStyle w:val="FootnoteReference"/>
        </w:rPr>
        <w:footnoteReference w:id="44"/>
      </w:r>
      <w:r w:rsidRPr="00FB18A1">
        <w:t>, the world's lithium production is estimated to be</w:t>
      </w:r>
      <w:r>
        <w:t xml:space="preserve"> 240</w:t>
      </w:r>
      <w:r w:rsidRPr="00FB18A1">
        <w:t xml:space="preserve"> </w:t>
      </w:r>
      <w:r>
        <w:t>MM</w:t>
      </w:r>
      <w:r w:rsidRPr="00FB18A1">
        <w:t>T, w</w:t>
      </w:r>
      <w:r>
        <w:t>here</w:t>
      </w:r>
      <w:r w:rsidRPr="00FB18A1">
        <w:t xml:space="preserve"> Australia</w:t>
      </w:r>
      <w:r>
        <w:t xml:space="preserve"> contributes </w:t>
      </w:r>
      <w:r w:rsidR="00201C5A">
        <w:t xml:space="preserve">approximately </w:t>
      </w:r>
      <w:r>
        <w:t>37% (88 MMT)</w:t>
      </w:r>
      <w:r w:rsidRPr="00FB18A1">
        <w:t>, Chile</w:t>
      </w:r>
      <w:r w:rsidRPr="00E559F0">
        <w:t xml:space="preserve"> </w:t>
      </w:r>
      <w:r>
        <w:t xml:space="preserve">contributes </w:t>
      </w:r>
      <w:r w:rsidR="00201C5A">
        <w:t xml:space="preserve">approximately </w:t>
      </w:r>
      <w:r>
        <w:t>20% (49 MMT)</w:t>
      </w:r>
      <w:r w:rsidRPr="00FB18A1">
        <w:t>, China</w:t>
      </w:r>
      <w:r w:rsidRPr="00E559F0">
        <w:t xml:space="preserve"> </w:t>
      </w:r>
      <w:r>
        <w:t xml:space="preserve">contributes </w:t>
      </w:r>
      <w:r w:rsidR="00201C5A">
        <w:t xml:space="preserve">approximately </w:t>
      </w:r>
      <w:r>
        <w:t>17% (41 MMT)</w:t>
      </w:r>
      <w:r w:rsidRPr="00FB18A1">
        <w:t xml:space="preserve">, </w:t>
      </w:r>
      <w:r>
        <w:t xml:space="preserve">Zimbabwe contributes </w:t>
      </w:r>
      <w:r w:rsidR="00201C5A">
        <w:t xml:space="preserve">approximately </w:t>
      </w:r>
      <w:r>
        <w:t xml:space="preserve">9% (22 MMT) and remaining </w:t>
      </w:r>
      <w:r w:rsidR="00201C5A">
        <w:t xml:space="preserve">approximately </w:t>
      </w:r>
      <w:r>
        <w:t>17% (40 MMT) from others</w:t>
      </w:r>
      <w:r w:rsidRPr="00FB18A1">
        <w:t>. India, however, currently relies heavily on imports to meet its lithium requirements, presenting a vast opportunity for domestic players to establish themselves in the market.</w:t>
      </w:r>
    </w:p>
    <w:p w14:paraId="520265A7" w14:textId="77777777" w:rsidR="004E77F6" w:rsidRDefault="004E77F6" w:rsidP="004E77F6">
      <w:r>
        <w:t>India’s</w:t>
      </w:r>
      <w:r w:rsidRPr="00D258BA">
        <w:t xml:space="preserve"> </w:t>
      </w:r>
      <w:r>
        <w:t xml:space="preserve">lithium </w:t>
      </w:r>
      <w:r w:rsidRPr="00D258BA">
        <w:t>deposits are primarily composed of lepidolite-bearing pegmatites and granites</w:t>
      </w:r>
      <w:r>
        <w:t xml:space="preserve">. </w:t>
      </w:r>
      <w:r w:rsidRPr="00D258BA">
        <w:t xml:space="preserve">Unlike brine deposits, which are commonly found in countries such as Chile and Argentina, </w:t>
      </w:r>
      <w:r>
        <w:t>such</w:t>
      </w:r>
      <w:r w:rsidRPr="00D258BA">
        <w:t xml:space="preserve"> deposits require </w:t>
      </w:r>
      <w:r>
        <w:t>hard rock mining. These ores are</w:t>
      </w:r>
      <w:r w:rsidRPr="00D258BA">
        <w:t xml:space="preserve"> processed to extract the desired minerals. This approach is more complex and capital-intensive than brine</w:t>
      </w:r>
      <w:r>
        <w:t>.</w:t>
      </w:r>
    </w:p>
    <w:p w14:paraId="4102969A" w14:textId="77777777" w:rsidR="004E77F6" w:rsidRDefault="004E77F6" w:rsidP="004E77F6">
      <w:r w:rsidRPr="00FB18A1">
        <w:t>The global lithium market is expected to witness significant growth, driven by the increasing demand for lithium-ion batteries used in EVs, consumer electronics, and energy storage systems.</w:t>
      </w:r>
      <w:r>
        <w:t xml:space="preserve"> India’s demand for lithium is poised to rise to 13,671</w:t>
      </w:r>
      <w:r>
        <w:rPr>
          <w:rStyle w:val="FootnoteReference"/>
        </w:rPr>
        <w:footnoteReference w:id="45"/>
      </w:r>
      <w:r>
        <w:t xml:space="preserve"> tonnes by fiscal 2030. </w:t>
      </w:r>
      <w:r w:rsidRPr="00FB18A1">
        <w:t xml:space="preserve">The Indian government's plans to achieve </w:t>
      </w:r>
      <w:r>
        <w:t>30</w:t>
      </w:r>
      <w:r w:rsidRPr="00FB18A1">
        <w:t>%</w:t>
      </w:r>
      <w:r>
        <w:rPr>
          <w:rStyle w:val="FootnoteReference"/>
        </w:rPr>
        <w:footnoteReference w:id="46"/>
      </w:r>
      <w:r w:rsidRPr="00FB18A1">
        <w:t xml:space="preserve"> e-mobility by </w:t>
      </w:r>
      <w:r>
        <w:t>fiscal year 2030</w:t>
      </w:r>
      <w:r w:rsidRPr="00FB18A1">
        <w:t xml:space="preserve"> and the increasing focus on renewable energy sources are expected to drive the demand for lithium-ion batteries, thereby boosting the demand for lithium. </w:t>
      </w:r>
      <w:r>
        <w:t xml:space="preserve">Further, as part of diversification strategy, CIL is also looking for acquiring lithium blocks in Australia and Argentina. </w:t>
      </w:r>
      <w:r w:rsidRPr="00FB18A1">
        <w:t>CMPDIL, with its expertise in mineral exploration and development, is well-positioned to capitalize on this trend and establish itself as a key player in the Indian lithium market. By leveraging its capabilities and investing in research and development, CMPDIL can help augment India's lithium resources, optimize mining and beneficiation costs, and contribute to the country's energy security and sustainability goals.</w:t>
      </w:r>
      <w:r>
        <w:t xml:space="preserve"> </w:t>
      </w:r>
      <w:r w:rsidRPr="006B76C2">
        <w:t xml:space="preserve">By adapting its knowledge and skills to the lithium industry, CMPDIL can develop innovative solutions to optimize mining and beneficiation costs and establish itself as a leading player in the Indian and global lithium markets. </w:t>
      </w:r>
    </w:p>
    <w:p w14:paraId="1B58711B" w14:textId="0EFA709B" w:rsidR="004E77F6" w:rsidRPr="003C5323" w:rsidRDefault="004E77F6" w:rsidP="004E77F6">
      <w:pPr>
        <w:pStyle w:val="Caption"/>
        <w:ind w:right="182"/>
        <w:rPr>
          <w:lang w:val="en-US"/>
        </w:rPr>
      </w:pPr>
      <w:bookmarkStart w:id="315" w:name="_Toc195632948"/>
      <w:bookmarkStart w:id="316" w:name="_Toc198731459"/>
      <w:r w:rsidRPr="003C5323">
        <w:rPr>
          <w:lang w:val="en-US"/>
        </w:rPr>
        <w:t xml:space="preserve">Table </w:t>
      </w:r>
      <w:r w:rsidRPr="000174A7">
        <w:fldChar w:fldCharType="begin"/>
      </w:r>
      <w:r w:rsidRPr="003C5323">
        <w:rPr>
          <w:lang w:val="en-US"/>
        </w:rPr>
        <w:instrText xml:space="preserve"> STYLEREF 1 \s </w:instrText>
      </w:r>
      <w:r w:rsidRPr="000174A7">
        <w:fldChar w:fldCharType="separate"/>
      </w:r>
      <w:r w:rsidR="002142B9">
        <w:rPr>
          <w:noProof/>
          <w:lang w:val="en-US"/>
        </w:rPr>
        <w:t>2</w:t>
      </w:r>
      <w:r w:rsidRPr="000174A7">
        <w:fldChar w:fldCharType="end"/>
      </w:r>
      <w:r w:rsidRPr="003C5323">
        <w:rPr>
          <w:lang w:val="en-US"/>
        </w:rPr>
        <w:t>.</w:t>
      </w:r>
      <w:r w:rsidRPr="000174A7">
        <w:fldChar w:fldCharType="begin"/>
      </w:r>
      <w:r w:rsidRPr="003C5323">
        <w:rPr>
          <w:lang w:val="en-US"/>
        </w:rPr>
        <w:instrText xml:space="preserve"> SEQ Table \* ARABIC \s 1 </w:instrText>
      </w:r>
      <w:r w:rsidRPr="000174A7">
        <w:fldChar w:fldCharType="separate"/>
      </w:r>
      <w:r w:rsidR="002142B9">
        <w:rPr>
          <w:noProof/>
          <w:lang w:val="en-US"/>
        </w:rPr>
        <w:t>2</w:t>
      </w:r>
      <w:r w:rsidRPr="000174A7">
        <w:fldChar w:fldCharType="end"/>
      </w:r>
      <w:r w:rsidRPr="003C5323">
        <w:rPr>
          <w:lang w:val="en-US"/>
        </w:rPr>
        <w:t xml:space="preserve"> Ou</w:t>
      </w:r>
      <w:r>
        <w:rPr>
          <w:lang w:val="en-US"/>
        </w:rPr>
        <w:t xml:space="preserve">tlook on </w:t>
      </w:r>
      <w:r w:rsidR="00FF1F76">
        <w:rPr>
          <w:lang w:val="en-US"/>
        </w:rPr>
        <w:t xml:space="preserve">key </w:t>
      </w:r>
      <w:r>
        <w:rPr>
          <w:lang w:val="en-US"/>
        </w:rPr>
        <w:t>c</w:t>
      </w:r>
      <w:r w:rsidRPr="003C5323">
        <w:rPr>
          <w:lang w:val="en-US"/>
        </w:rPr>
        <w:t xml:space="preserve">ritical </w:t>
      </w:r>
      <w:r>
        <w:rPr>
          <w:lang w:val="en-US"/>
        </w:rPr>
        <w:t>m</w:t>
      </w:r>
      <w:r w:rsidRPr="003C5323">
        <w:rPr>
          <w:lang w:val="en-US"/>
        </w:rPr>
        <w:t>ineral in India</w:t>
      </w:r>
      <w:bookmarkEnd w:id="315"/>
      <w:bookmarkEnd w:id="316"/>
      <w:r w:rsidRPr="003C5323">
        <w:rPr>
          <w:lang w:val="en-US"/>
        </w:rPr>
        <w:t xml:space="preserve"> </w:t>
      </w:r>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1433"/>
        <w:gridCol w:w="1755"/>
        <w:gridCol w:w="1429"/>
        <w:gridCol w:w="1611"/>
        <w:gridCol w:w="1971"/>
        <w:gridCol w:w="2331"/>
      </w:tblGrid>
      <w:tr w:rsidR="00FF1F76" w:rsidRPr="008D5FF4" w14:paraId="06BDFDF2" w14:textId="77777777" w:rsidTr="00662938">
        <w:trPr>
          <w:tblHeader/>
        </w:trPr>
        <w:tc>
          <w:tcPr>
            <w:tcW w:w="685" w:type="pct"/>
            <w:shd w:val="clear" w:color="auto" w:fill="156082" w:themeFill="accent1"/>
            <w:vAlign w:val="center"/>
          </w:tcPr>
          <w:p w14:paraId="2AF7E683" w14:textId="77777777" w:rsidR="004E77F6" w:rsidRPr="008D5FF4" w:rsidRDefault="004E77F6" w:rsidP="001106FC">
            <w:pPr>
              <w:spacing w:before="80" w:after="80" w:line="240" w:lineRule="auto"/>
              <w:ind w:right="182"/>
              <w:rPr>
                <w:color w:val="FFFFFF"/>
                <w:szCs w:val="20"/>
                <w:lang w:val="en-GB"/>
              </w:rPr>
            </w:pPr>
            <w:r>
              <w:rPr>
                <w:color w:val="FFFFFF"/>
                <w:szCs w:val="20"/>
                <w:lang w:val="en-GB"/>
              </w:rPr>
              <w:t xml:space="preserve">Critical </w:t>
            </w:r>
            <w:r w:rsidRPr="008D5FF4">
              <w:rPr>
                <w:color w:val="FFFFFF"/>
                <w:szCs w:val="20"/>
                <w:lang w:val="en-GB"/>
              </w:rPr>
              <w:t>Mineral</w:t>
            </w:r>
          </w:p>
        </w:tc>
        <w:tc>
          <w:tcPr>
            <w:tcW w:w="812" w:type="pct"/>
            <w:shd w:val="clear" w:color="auto" w:fill="156082" w:themeFill="accent1"/>
          </w:tcPr>
          <w:p w14:paraId="0352F0EE" w14:textId="77777777" w:rsidR="004E77F6" w:rsidRPr="008D5FF4" w:rsidRDefault="004E77F6" w:rsidP="001106FC">
            <w:pPr>
              <w:spacing w:before="80" w:after="80" w:line="240" w:lineRule="auto"/>
              <w:ind w:right="182"/>
              <w:jc w:val="center"/>
              <w:rPr>
                <w:color w:val="FFFFFF"/>
                <w:szCs w:val="20"/>
                <w:lang w:val="en-GB"/>
              </w:rPr>
            </w:pPr>
            <w:r w:rsidRPr="00D95D1F">
              <w:rPr>
                <w:color w:val="FFFFFF"/>
                <w:szCs w:val="20"/>
                <w:lang w:val="en-GB"/>
              </w:rPr>
              <w:t>Domestic Resource</w:t>
            </w:r>
            <w:r>
              <w:rPr>
                <w:color w:val="FFFFFF"/>
                <w:szCs w:val="20"/>
                <w:lang w:val="en-GB"/>
              </w:rPr>
              <w:t xml:space="preserve"> </w:t>
            </w:r>
          </w:p>
        </w:tc>
        <w:tc>
          <w:tcPr>
            <w:tcW w:w="683" w:type="pct"/>
            <w:shd w:val="clear" w:color="auto" w:fill="156082" w:themeFill="accent1"/>
          </w:tcPr>
          <w:p w14:paraId="1FF19CED" w14:textId="77777777" w:rsidR="004E77F6" w:rsidRPr="008D5FF4" w:rsidRDefault="004E77F6" w:rsidP="001106FC">
            <w:pPr>
              <w:spacing w:before="80" w:after="80" w:line="240" w:lineRule="auto"/>
              <w:ind w:right="182"/>
              <w:jc w:val="center"/>
              <w:rPr>
                <w:color w:val="FFFFFF"/>
                <w:szCs w:val="20"/>
                <w:lang w:val="en-GB"/>
              </w:rPr>
            </w:pPr>
            <w:r w:rsidRPr="00D95D1F">
              <w:rPr>
                <w:color w:val="FFFFFF"/>
                <w:szCs w:val="20"/>
                <w:lang w:val="en-GB"/>
              </w:rPr>
              <w:t>Demand FY24 (kt)</w:t>
            </w:r>
          </w:p>
        </w:tc>
        <w:tc>
          <w:tcPr>
            <w:tcW w:w="769" w:type="pct"/>
            <w:shd w:val="clear" w:color="auto" w:fill="156082" w:themeFill="accent1"/>
          </w:tcPr>
          <w:p w14:paraId="131DE800" w14:textId="77777777" w:rsidR="004E77F6" w:rsidRPr="008D5FF4" w:rsidRDefault="004E77F6" w:rsidP="001106FC">
            <w:pPr>
              <w:spacing w:before="80" w:after="80" w:line="240" w:lineRule="auto"/>
              <w:ind w:right="182"/>
              <w:jc w:val="center"/>
              <w:rPr>
                <w:color w:val="FFFFFF"/>
                <w:szCs w:val="20"/>
                <w:lang w:val="en-GB"/>
              </w:rPr>
            </w:pPr>
            <w:r w:rsidRPr="00D95D1F">
              <w:rPr>
                <w:color w:val="FFFFFF"/>
                <w:szCs w:val="20"/>
                <w:lang w:val="en-GB"/>
              </w:rPr>
              <w:t>Demand FY30P</w:t>
            </w:r>
            <w:r>
              <w:rPr>
                <w:color w:val="FFFFFF"/>
                <w:szCs w:val="20"/>
                <w:lang w:val="en-GB"/>
              </w:rPr>
              <w:t xml:space="preserve"> </w:t>
            </w:r>
            <w:r w:rsidRPr="00D95D1F">
              <w:rPr>
                <w:color w:val="FFFFFF"/>
                <w:szCs w:val="20"/>
                <w:lang w:val="en-GB"/>
              </w:rPr>
              <w:t>(kt)</w:t>
            </w:r>
          </w:p>
        </w:tc>
        <w:tc>
          <w:tcPr>
            <w:tcW w:w="940" w:type="pct"/>
            <w:shd w:val="clear" w:color="auto" w:fill="156082" w:themeFill="accent1"/>
          </w:tcPr>
          <w:p w14:paraId="7D59FF72" w14:textId="77777777" w:rsidR="004E77F6" w:rsidRPr="008D5FF4" w:rsidRDefault="004E77F6" w:rsidP="001106FC">
            <w:pPr>
              <w:spacing w:before="80" w:after="80" w:line="240" w:lineRule="auto"/>
              <w:ind w:right="182"/>
              <w:jc w:val="center"/>
              <w:rPr>
                <w:color w:val="FFFFFF"/>
                <w:szCs w:val="20"/>
                <w:lang w:val="en-GB"/>
              </w:rPr>
            </w:pPr>
            <w:r w:rsidRPr="00D95D1F">
              <w:rPr>
                <w:color w:val="FFFFFF"/>
                <w:szCs w:val="20"/>
                <w:lang w:val="en-GB"/>
              </w:rPr>
              <w:t>Supply</w:t>
            </w:r>
          </w:p>
        </w:tc>
        <w:tc>
          <w:tcPr>
            <w:tcW w:w="1111" w:type="pct"/>
            <w:shd w:val="clear" w:color="auto" w:fill="156082" w:themeFill="accent1"/>
          </w:tcPr>
          <w:p w14:paraId="00A9A224" w14:textId="77777777" w:rsidR="004E77F6" w:rsidRPr="00D95D1F" w:rsidRDefault="004E77F6" w:rsidP="001106FC">
            <w:pPr>
              <w:spacing w:before="80" w:after="80" w:line="240" w:lineRule="auto"/>
              <w:ind w:right="182"/>
              <w:jc w:val="center"/>
              <w:rPr>
                <w:color w:val="FFFFFF"/>
                <w:szCs w:val="20"/>
                <w:lang w:val="en-GB"/>
              </w:rPr>
            </w:pPr>
            <w:r>
              <w:rPr>
                <w:color w:val="FFFFFF"/>
                <w:szCs w:val="20"/>
                <w:lang w:val="en-GB"/>
              </w:rPr>
              <w:t>End Use Industry</w:t>
            </w:r>
          </w:p>
        </w:tc>
      </w:tr>
      <w:tr w:rsidR="00FF1F76" w:rsidRPr="008D5FF4" w14:paraId="084F1B45" w14:textId="77777777" w:rsidTr="00662938">
        <w:tc>
          <w:tcPr>
            <w:tcW w:w="685" w:type="pct"/>
          </w:tcPr>
          <w:p w14:paraId="41C3EF9A" w14:textId="77777777" w:rsidR="004E77F6" w:rsidRPr="008D5FF4" w:rsidRDefault="004E77F6" w:rsidP="001106FC">
            <w:pPr>
              <w:spacing w:before="80" w:after="80" w:line="240" w:lineRule="auto"/>
              <w:ind w:right="182"/>
              <w:rPr>
                <w:szCs w:val="20"/>
              </w:rPr>
            </w:pPr>
            <w:r w:rsidRPr="001C2292">
              <w:t>Rock Phosphate</w:t>
            </w:r>
          </w:p>
        </w:tc>
        <w:tc>
          <w:tcPr>
            <w:tcW w:w="812" w:type="pct"/>
          </w:tcPr>
          <w:p w14:paraId="14CBBF40" w14:textId="77777777" w:rsidR="004E77F6" w:rsidRPr="00247A09" w:rsidRDefault="004E77F6" w:rsidP="001106FC">
            <w:pPr>
              <w:spacing w:before="80" w:after="80" w:line="240" w:lineRule="auto"/>
              <w:ind w:right="182"/>
              <w:jc w:val="center"/>
              <w:rPr>
                <w:b w:val="0"/>
                <w:bCs w:val="0"/>
              </w:rPr>
            </w:pPr>
            <w:r w:rsidRPr="00247A09">
              <w:rPr>
                <w:b w:val="0"/>
                <w:bCs w:val="0"/>
              </w:rPr>
              <w:t>311.25 million tonnes</w:t>
            </w:r>
          </w:p>
        </w:tc>
        <w:tc>
          <w:tcPr>
            <w:tcW w:w="683" w:type="pct"/>
          </w:tcPr>
          <w:p w14:paraId="6774C361" w14:textId="77777777" w:rsidR="004E77F6" w:rsidRPr="00247A09" w:rsidRDefault="004E77F6" w:rsidP="001106FC">
            <w:pPr>
              <w:spacing w:before="80" w:after="80" w:line="240" w:lineRule="auto"/>
              <w:ind w:right="182"/>
              <w:jc w:val="center"/>
              <w:rPr>
                <w:b w:val="0"/>
                <w:bCs w:val="0"/>
              </w:rPr>
            </w:pPr>
            <w:r w:rsidRPr="00247A09">
              <w:rPr>
                <w:b w:val="0"/>
                <w:bCs w:val="0"/>
              </w:rPr>
              <w:t>11200–12400</w:t>
            </w:r>
          </w:p>
        </w:tc>
        <w:tc>
          <w:tcPr>
            <w:tcW w:w="769" w:type="pct"/>
          </w:tcPr>
          <w:p w14:paraId="057844DF" w14:textId="77777777" w:rsidR="004E77F6" w:rsidRPr="00247A09" w:rsidRDefault="004E77F6" w:rsidP="001106FC">
            <w:pPr>
              <w:spacing w:before="80" w:after="80" w:line="240" w:lineRule="auto"/>
              <w:ind w:right="182"/>
              <w:jc w:val="center"/>
              <w:rPr>
                <w:b w:val="0"/>
                <w:bCs w:val="0"/>
              </w:rPr>
            </w:pPr>
            <w:r w:rsidRPr="00247A09">
              <w:rPr>
                <w:b w:val="0"/>
                <w:bCs w:val="0"/>
              </w:rPr>
              <w:t>16000–18400</w:t>
            </w:r>
          </w:p>
        </w:tc>
        <w:tc>
          <w:tcPr>
            <w:tcW w:w="940" w:type="pct"/>
          </w:tcPr>
          <w:p w14:paraId="71F6D050" w14:textId="77777777" w:rsidR="004E77F6" w:rsidRPr="00247A09" w:rsidRDefault="004E77F6" w:rsidP="001106FC">
            <w:pPr>
              <w:spacing w:before="80" w:after="80" w:line="240" w:lineRule="auto"/>
              <w:ind w:right="182"/>
              <w:jc w:val="center"/>
              <w:rPr>
                <w:b w:val="0"/>
                <w:bCs w:val="0"/>
              </w:rPr>
            </w:pPr>
            <w:r w:rsidRPr="00247A09">
              <w:rPr>
                <w:b w:val="0"/>
                <w:bCs w:val="0"/>
              </w:rPr>
              <w:t>Import dependence is 85%</w:t>
            </w:r>
          </w:p>
        </w:tc>
        <w:tc>
          <w:tcPr>
            <w:tcW w:w="1111" w:type="pct"/>
          </w:tcPr>
          <w:p w14:paraId="24A27AD6" w14:textId="77777777" w:rsidR="004E77F6" w:rsidRPr="00895263" w:rsidRDefault="004E77F6" w:rsidP="001106FC">
            <w:pPr>
              <w:spacing w:before="80" w:after="80" w:line="240" w:lineRule="auto"/>
              <w:ind w:right="182"/>
              <w:jc w:val="center"/>
              <w:rPr>
                <w:b w:val="0"/>
                <w:bCs w:val="0"/>
              </w:rPr>
            </w:pPr>
            <w:r w:rsidRPr="00895263">
              <w:rPr>
                <w:b w:val="0"/>
                <w:bCs w:val="0"/>
              </w:rPr>
              <w:t>Fertilizers, Chemicals, Additives</w:t>
            </w:r>
          </w:p>
        </w:tc>
      </w:tr>
      <w:tr w:rsidR="00FF1F76" w:rsidRPr="008D5FF4" w14:paraId="607E7740" w14:textId="77777777" w:rsidTr="00662938">
        <w:tc>
          <w:tcPr>
            <w:tcW w:w="685" w:type="pct"/>
          </w:tcPr>
          <w:p w14:paraId="5DD5CA08" w14:textId="77777777" w:rsidR="004E77F6" w:rsidRPr="008D5FF4" w:rsidRDefault="004E77F6" w:rsidP="001106FC">
            <w:pPr>
              <w:spacing w:before="80" w:after="80" w:line="240" w:lineRule="auto"/>
              <w:ind w:right="182"/>
              <w:rPr>
                <w:szCs w:val="20"/>
              </w:rPr>
            </w:pPr>
            <w:r w:rsidRPr="001C2292">
              <w:t>PGE</w:t>
            </w:r>
          </w:p>
        </w:tc>
        <w:tc>
          <w:tcPr>
            <w:tcW w:w="812" w:type="pct"/>
          </w:tcPr>
          <w:p w14:paraId="6DB475F0" w14:textId="77777777" w:rsidR="004E77F6" w:rsidRPr="00247A09" w:rsidRDefault="004E77F6" w:rsidP="001106FC">
            <w:pPr>
              <w:spacing w:before="80" w:after="80" w:line="240" w:lineRule="auto"/>
              <w:ind w:right="182"/>
              <w:jc w:val="center"/>
              <w:rPr>
                <w:b w:val="0"/>
                <w:bCs w:val="0"/>
              </w:rPr>
            </w:pPr>
            <w:r w:rsidRPr="00247A09">
              <w:rPr>
                <w:b w:val="0"/>
                <w:bCs w:val="0"/>
              </w:rPr>
              <w:t>20.92 tonnes</w:t>
            </w:r>
          </w:p>
        </w:tc>
        <w:tc>
          <w:tcPr>
            <w:tcW w:w="683" w:type="pct"/>
          </w:tcPr>
          <w:p w14:paraId="3F1D5AA5" w14:textId="77777777" w:rsidR="004E77F6" w:rsidRPr="00247A09" w:rsidRDefault="004E77F6" w:rsidP="001106FC">
            <w:pPr>
              <w:spacing w:before="80" w:after="80" w:line="240" w:lineRule="auto"/>
              <w:ind w:right="182"/>
              <w:jc w:val="center"/>
              <w:rPr>
                <w:b w:val="0"/>
                <w:bCs w:val="0"/>
              </w:rPr>
            </w:pPr>
            <w:r w:rsidRPr="00247A09">
              <w:rPr>
                <w:b w:val="0"/>
                <w:bCs w:val="0"/>
              </w:rPr>
              <w:t>0.015</w:t>
            </w:r>
          </w:p>
        </w:tc>
        <w:tc>
          <w:tcPr>
            <w:tcW w:w="769" w:type="pct"/>
          </w:tcPr>
          <w:p w14:paraId="642B397E" w14:textId="77777777" w:rsidR="004E77F6" w:rsidRPr="00247A09" w:rsidRDefault="004E77F6" w:rsidP="001106FC">
            <w:pPr>
              <w:spacing w:before="80" w:after="80" w:line="240" w:lineRule="auto"/>
              <w:ind w:right="182"/>
              <w:jc w:val="center"/>
              <w:rPr>
                <w:b w:val="0"/>
                <w:bCs w:val="0"/>
              </w:rPr>
            </w:pPr>
            <w:r w:rsidRPr="00247A09">
              <w:rPr>
                <w:b w:val="0"/>
                <w:bCs w:val="0"/>
              </w:rPr>
              <w:t>0.019–0.021</w:t>
            </w:r>
          </w:p>
        </w:tc>
        <w:tc>
          <w:tcPr>
            <w:tcW w:w="940" w:type="pct"/>
          </w:tcPr>
          <w:p w14:paraId="69497089" w14:textId="77777777" w:rsidR="004E77F6" w:rsidRPr="00247A09" w:rsidRDefault="004E77F6" w:rsidP="001106FC">
            <w:pPr>
              <w:spacing w:before="80" w:after="80" w:line="240" w:lineRule="auto"/>
              <w:ind w:right="182"/>
              <w:jc w:val="center"/>
              <w:rPr>
                <w:b w:val="0"/>
                <w:bCs w:val="0"/>
              </w:rPr>
            </w:pPr>
          </w:p>
        </w:tc>
        <w:tc>
          <w:tcPr>
            <w:tcW w:w="1111" w:type="pct"/>
          </w:tcPr>
          <w:p w14:paraId="416F28D6" w14:textId="77777777" w:rsidR="004E77F6" w:rsidRPr="00895263" w:rsidRDefault="004E77F6" w:rsidP="001106FC">
            <w:pPr>
              <w:spacing w:before="80" w:after="80" w:line="240" w:lineRule="auto"/>
              <w:ind w:right="182"/>
              <w:jc w:val="center"/>
              <w:rPr>
                <w:b w:val="0"/>
                <w:bCs w:val="0"/>
              </w:rPr>
            </w:pPr>
            <w:r w:rsidRPr="00895263">
              <w:rPr>
                <w:b w:val="0"/>
                <w:bCs w:val="0"/>
              </w:rPr>
              <w:t>Auto catalysts, Jewelry, Medicine, Electronics</w:t>
            </w:r>
          </w:p>
        </w:tc>
      </w:tr>
      <w:tr w:rsidR="00FF1F76" w:rsidRPr="008D5FF4" w14:paraId="5CBC6B99" w14:textId="77777777" w:rsidTr="00662938">
        <w:tc>
          <w:tcPr>
            <w:tcW w:w="685" w:type="pct"/>
          </w:tcPr>
          <w:p w14:paraId="6EB1C676" w14:textId="77777777" w:rsidR="004E77F6" w:rsidRPr="008D5FF4" w:rsidRDefault="004E77F6" w:rsidP="001106FC">
            <w:pPr>
              <w:spacing w:before="80" w:after="80" w:line="240" w:lineRule="auto"/>
              <w:ind w:right="182"/>
              <w:rPr>
                <w:szCs w:val="20"/>
              </w:rPr>
            </w:pPr>
            <w:r w:rsidRPr="001C2292">
              <w:t>Tungsten</w:t>
            </w:r>
          </w:p>
        </w:tc>
        <w:tc>
          <w:tcPr>
            <w:tcW w:w="812" w:type="pct"/>
          </w:tcPr>
          <w:p w14:paraId="35179281" w14:textId="77777777" w:rsidR="004E77F6" w:rsidRPr="00247A09" w:rsidRDefault="004E77F6" w:rsidP="001106FC">
            <w:pPr>
              <w:spacing w:before="80" w:after="80" w:line="240" w:lineRule="auto"/>
              <w:ind w:right="182"/>
              <w:jc w:val="center"/>
              <w:rPr>
                <w:b w:val="0"/>
                <w:bCs w:val="0"/>
              </w:rPr>
            </w:pPr>
            <w:r w:rsidRPr="00247A09">
              <w:rPr>
                <w:b w:val="0"/>
                <w:bCs w:val="0"/>
              </w:rPr>
              <w:t>89–111 million tonnes</w:t>
            </w:r>
          </w:p>
        </w:tc>
        <w:tc>
          <w:tcPr>
            <w:tcW w:w="683" w:type="pct"/>
          </w:tcPr>
          <w:p w14:paraId="645C3F98" w14:textId="77777777" w:rsidR="004E77F6" w:rsidRPr="00247A09" w:rsidRDefault="004E77F6" w:rsidP="001106FC">
            <w:pPr>
              <w:spacing w:before="80" w:after="80" w:line="240" w:lineRule="auto"/>
              <w:ind w:right="182"/>
              <w:jc w:val="center"/>
              <w:rPr>
                <w:b w:val="0"/>
                <w:bCs w:val="0"/>
              </w:rPr>
            </w:pPr>
            <w:r w:rsidRPr="00247A09">
              <w:rPr>
                <w:b w:val="0"/>
                <w:bCs w:val="0"/>
              </w:rPr>
              <w:t>0.8</w:t>
            </w:r>
          </w:p>
        </w:tc>
        <w:tc>
          <w:tcPr>
            <w:tcW w:w="769" w:type="pct"/>
          </w:tcPr>
          <w:p w14:paraId="4200972A" w14:textId="77777777" w:rsidR="004E77F6" w:rsidRPr="00247A09" w:rsidRDefault="004E77F6" w:rsidP="001106FC">
            <w:pPr>
              <w:spacing w:before="80" w:after="80" w:line="240" w:lineRule="auto"/>
              <w:ind w:right="182"/>
              <w:jc w:val="center"/>
              <w:rPr>
                <w:b w:val="0"/>
                <w:bCs w:val="0"/>
              </w:rPr>
            </w:pPr>
            <w:r w:rsidRPr="00247A09">
              <w:rPr>
                <w:b w:val="0"/>
                <w:bCs w:val="0"/>
              </w:rPr>
              <w:t>1.2–1.4</w:t>
            </w:r>
          </w:p>
        </w:tc>
        <w:tc>
          <w:tcPr>
            <w:tcW w:w="940" w:type="pct"/>
          </w:tcPr>
          <w:p w14:paraId="2BB40425" w14:textId="77777777" w:rsidR="004E77F6" w:rsidRPr="00247A09" w:rsidRDefault="004E77F6" w:rsidP="001106FC">
            <w:pPr>
              <w:spacing w:before="80" w:after="80" w:line="240" w:lineRule="auto"/>
              <w:ind w:right="182"/>
              <w:jc w:val="center"/>
              <w:rPr>
                <w:b w:val="0"/>
                <w:bCs w:val="0"/>
              </w:rPr>
            </w:pPr>
            <w:r w:rsidRPr="00247A09">
              <w:rPr>
                <w:b w:val="0"/>
                <w:bCs w:val="0"/>
              </w:rPr>
              <w:t>Import dependence is 100%</w:t>
            </w:r>
          </w:p>
        </w:tc>
        <w:tc>
          <w:tcPr>
            <w:tcW w:w="1111" w:type="pct"/>
          </w:tcPr>
          <w:p w14:paraId="340FC9C5" w14:textId="77777777" w:rsidR="004E77F6" w:rsidRPr="00895263" w:rsidRDefault="004E77F6" w:rsidP="001106FC">
            <w:pPr>
              <w:spacing w:before="80" w:after="80" w:line="240" w:lineRule="auto"/>
              <w:ind w:right="182"/>
              <w:jc w:val="center"/>
              <w:rPr>
                <w:b w:val="0"/>
                <w:bCs w:val="0"/>
              </w:rPr>
            </w:pPr>
            <w:r w:rsidRPr="00895263">
              <w:rPr>
                <w:b w:val="0"/>
                <w:bCs w:val="0"/>
              </w:rPr>
              <w:t>Alloys, Defense, Cutting Tools, Others</w:t>
            </w:r>
          </w:p>
        </w:tc>
      </w:tr>
      <w:tr w:rsidR="00FF1F76" w:rsidRPr="008D5FF4" w14:paraId="1A415A8F" w14:textId="77777777" w:rsidTr="00662938">
        <w:tc>
          <w:tcPr>
            <w:tcW w:w="685" w:type="pct"/>
          </w:tcPr>
          <w:p w14:paraId="4378AF0A" w14:textId="77777777" w:rsidR="004E77F6" w:rsidRPr="008D5FF4" w:rsidRDefault="004E77F6" w:rsidP="001106FC">
            <w:pPr>
              <w:spacing w:before="80" w:after="80" w:line="240" w:lineRule="auto"/>
              <w:ind w:right="182"/>
              <w:rPr>
                <w:szCs w:val="20"/>
              </w:rPr>
            </w:pPr>
            <w:r w:rsidRPr="001C2292">
              <w:t>Antimony</w:t>
            </w:r>
          </w:p>
        </w:tc>
        <w:tc>
          <w:tcPr>
            <w:tcW w:w="812" w:type="pct"/>
          </w:tcPr>
          <w:p w14:paraId="07DFE00A" w14:textId="77777777" w:rsidR="004E77F6" w:rsidRPr="00247A09" w:rsidRDefault="004E77F6" w:rsidP="001106FC">
            <w:pPr>
              <w:spacing w:before="80" w:after="80" w:line="240" w:lineRule="auto"/>
              <w:ind w:right="182"/>
              <w:jc w:val="center"/>
              <w:rPr>
                <w:b w:val="0"/>
                <w:bCs w:val="0"/>
              </w:rPr>
            </w:pPr>
            <w:r w:rsidRPr="00247A09">
              <w:rPr>
                <w:b w:val="0"/>
                <w:bCs w:val="0"/>
              </w:rPr>
              <w:t>18.683 million tonnes</w:t>
            </w:r>
          </w:p>
        </w:tc>
        <w:tc>
          <w:tcPr>
            <w:tcW w:w="683" w:type="pct"/>
          </w:tcPr>
          <w:p w14:paraId="32A28519" w14:textId="77777777" w:rsidR="004E77F6" w:rsidRPr="00247A09" w:rsidRDefault="004E77F6" w:rsidP="001106FC">
            <w:pPr>
              <w:spacing w:before="80" w:after="80" w:line="240" w:lineRule="auto"/>
              <w:ind w:right="182"/>
              <w:jc w:val="center"/>
              <w:rPr>
                <w:b w:val="0"/>
                <w:bCs w:val="0"/>
              </w:rPr>
            </w:pPr>
            <w:r w:rsidRPr="00247A09">
              <w:rPr>
                <w:b w:val="0"/>
                <w:bCs w:val="0"/>
              </w:rPr>
              <w:t>1.44</w:t>
            </w:r>
          </w:p>
        </w:tc>
        <w:tc>
          <w:tcPr>
            <w:tcW w:w="769" w:type="pct"/>
          </w:tcPr>
          <w:p w14:paraId="1FD8E308" w14:textId="77777777" w:rsidR="004E77F6" w:rsidRPr="00247A09" w:rsidRDefault="004E77F6" w:rsidP="001106FC">
            <w:pPr>
              <w:spacing w:before="80" w:after="80" w:line="240" w:lineRule="auto"/>
              <w:ind w:right="182"/>
              <w:jc w:val="center"/>
              <w:rPr>
                <w:b w:val="0"/>
                <w:bCs w:val="0"/>
              </w:rPr>
            </w:pPr>
            <w:r w:rsidRPr="00247A09">
              <w:rPr>
                <w:b w:val="0"/>
                <w:bCs w:val="0"/>
              </w:rPr>
              <w:t>1.8–2.2</w:t>
            </w:r>
          </w:p>
        </w:tc>
        <w:tc>
          <w:tcPr>
            <w:tcW w:w="940" w:type="pct"/>
          </w:tcPr>
          <w:p w14:paraId="5E8A604D" w14:textId="77777777" w:rsidR="004E77F6" w:rsidRPr="00247A09" w:rsidRDefault="004E77F6" w:rsidP="001106FC">
            <w:pPr>
              <w:spacing w:before="80" w:after="80" w:line="240" w:lineRule="auto"/>
              <w:ind w:right="182"/>
              <w:jc w:val="center"/>
              <w:rPr>
                <w:b w:val="0"/>
                <w:bCs w:val="0"/>
              </w:rPr>
            </w:pPr>
          </w:p>
        </w:tc>
        <w:tc>
          <w:tcPr>
            <w:tcW w:w="1111" w:type="pct"/>
          </w:tcPr>
          <w:p w14:paraId="7D9D653A" w14:textId="77777777" w:rsidR="004E77F6" w:rsidRPr="00895263" w:rsidRDefault="004E77F6" w:rsidP="001106FC">
            <w:pPr>
              <w:spacing w:before="80" w:after="80" w:line="240" w:lineRule="auto"/>
              <w:ind w:right="182"/>
              <w:jc w:val="center"/>
              <w:rPr>
                <w:b w:val="0"/>
                <w:bCs w:val="0"/>
              </w:rPr>
            </w:pPr>
            <w:r w:rsidRPr="00895263">
              <w:rPr>
                <w:b w:val="0"/>
                <w:bCs w:val="0"/>
              </w:rPr>
              <w:t>Catalysts, Pigments, Flame Retardants</w:t>
            </w:r>
          </w:p>
        </w:tc>
      </w:tr>
      <w:tr w:rsidR="00FF1F76" w:rsidRPr="008D5FF4" w14:paraId="54524411" w14:textId="77777777" w:rsidTr="00662938">
        <w:tc>
          <w:tcPr>
            <w:tcW w:w="685" w:type="pct"/>
          </w:tcPr>
          <w:p w14:paraId="583BD66C" w14:textId="77777777" w:rsidR="004E77F6" w:rsidRPr="008D5FF4" w:rsidRDefault="004E77F6" w:rsidP="001106FC">
            <w:pPr>
              <w:spacing w:before="80" w:after="80" w:line="240" w:lineRule="auto"/>
              <w:ind w:right="182"/>
              <w:rPr>
                <w:szCs w:val="20"/>
              </w:rPr>
            </w:pPr>
            <w:r w:rsidRPr="001C2292">
              <w:t>Beryllium</w:t>
            </w:r>
          </w:p>
        </w:tc>
        <w:tc>
          <w:tcPr>
            <w:tcW w:w="812" w:type="pct"/>
          </w:tcPr>
          <w:p w14:paraId="0A9DC91A" w14:textId="31B6A302" w:rsidR="004E77F6" w:rsidRPr="00247A09" w:rsidRDefault="00201C5A" w:rsidP="001106FC">
            <w:pPr>
              <w:spacing w:before="80" w:after="80" w:line="240" w:lineRule="auto"/>
              <w:ind w:right="182"/>
              <w:jc w:val="center"/>
              <w:rPr>
                <w:b w:val="0"/>
                <w:bCs w:val="0"/>
              </w:rPr>
            </w:pPr>
            <w:r w:rsidRPr="00201C5A">
              <w:t>approximately</w:t>
            </w:r>
            <w:r>
              <w:t xml:space="preserve"> </w:t>
            </w:r>
            <w:r w:rsidR="004E77F6" w:rsidRPr="00247A09">
              <w:rPr>
                <w:b w:val="0"/>
                <w:bCs w:val="0"/>
              </w:rPr>
              <w:t>56 tonnes</w:t>
            </w:r>
          </w:p>
        </w:tc>
        <w:tc>
          <w:tcPr>
            <w:tcW w:w="683" w:type="pct"/>
          </w:tcPr>
          <w:p w14:paraId="62389215" w14:textId="77777777" w:rsidR="004E77F6" w:rsidRPr="00247A09" w:rsidRDefault="004E77F6" w:rsidP="001106FC">
            <w:pPr>
              <w:spacing w:before="80" w:after="80" w:line="240" w:lineRule="auto"/>
              <w:ind w:right="182"/>
              <w:jc w:val="center"/>
              <w:rPr>
                <w:b w:val="0"/>
                <w:bCs w:val="0"/>
              </w:rPr>
            </w:pPr>
            <w:r w:rsidRPr="00247A09">
              <w:rPr>
                <w:b w:val="0"/>
                <w:bCs w:val="0"/>
              </w:rPr>
              <w:t>0.018</w:t>
            </w:r>
          </w:p>
        </w:tc>
        <w:tc>
          <w:tcPr>
            <w:tcW w:w="769" w:type="pct"/>
          </w:tcPr>
          <w:p w14:paraId="2F490CD7" w14:textId="77777777" w:rsidR="004E77F6" w:rsidRPr="00247A09" w:rsidRDefault="004E77F6" w:rsidP="001106FC">
            <w:pPr>
              <w:spacing w:before="80" w:after="80" w:line="240" w:lineRule="auto"/>
              <w:ind w:right="182"/>
              <w:jc w:val="center"/>
              <w:rPr>
                <w:b w:val="0"/>
                <w:bCs w:val="0"/>
              </w:rPr>
            </w:pPr>
            <w:r w:rsidRPr="00247A09">
              <w:rPr>
                <w:b w:val="0"/>
                <w:bCs w:val="0"/>
              </w:rPr>
              <w:t>0.024–0.026</w:t>
            </w:r>
          </w:p>
        </w:tc>
        <w:tc>
          <w:tcPr>
            <w:tcW w:w="940" w:type="pct"/>
          </w:tcPr>
          <w:p w14:paraId="207E6C73" w14:textId="77777777" w:rsidR="004E77F6" w:rsidRPr="00247A09" w:rsidRDefault="004E77F6" w:rsidP="001106FC">
            <w:pPr>
              <w:spacing w:before="80" w:after="80" w:line="240" w:lineRule="auto"/>
              <w:ind w:right="182"/>
              <w:jc w:val="center"/>
              <w:rPr>
                <w:b w:val="0"/>
                <w:bCs w:val="0"/>
              </w:rPr>
            </w:pPr>
            <w:r w:rsidRPr="00247A09">
              <w:rPr>
                <w:b w:val="0"/>
                <w:bCs w:val="0"/>
              </w:rPr>
              <w:t>Import dependence is 100%</w:t>
            </w:r>
          </w:p>
        </w:tc>
        <w:tc>
          <w:tcPr>
            <w:tcW w:w="1111" w:type="pct"/>
          </w:tcPr>
          <w:p w14:paraId="2D13312D" w14:textId="77777777" w:rsidR="004E77F6" w:rsidRPr="00895263" w:rsidRDefault="004E77F6" w:rsidP="001106FC">
            <w:pPr>
              <w:spacing w:before="80" w:after="80" w:line="240" w:lineRule="auto"/>
              <w:ind w:right="182"/>
              <w:jc w:val="center"/>
              <w:rPr>
                <w:b w:val="0"/>
                <w:bCs w:val="0"/>
              </w:rPr>
            </w:pPr>
            <w:r w:rsidRPr="00895263">
              <w:rPr>
                <w:b w:val="0"/>
                <w:bCs w:val="0"/>
              </w:rPr>
              <w:t>Batteries, Alloys, Catalysts, Stabilizers, Ceramics</w:t>
            </w:r>
          </w:p>
        </w:tc>
      </w:tr>
      <w:tr w:rsidR="00FF1F76" w:rsidRPr="008D5FF4" w14:paraId="677C91B3" w14:textId="77777777" w:rsidTr="00662938">
        <w:tc>
          <w:tcPr>
            <w:tcW w:w="685" w:type="pct"/>
          </w:tcPr>
          <w:p w14:paraId="730A2D45" w14:textId="77777777" w:rsidR="004E77F6" w:rsidRPr="008D5FF4" w:rsidRDefault="004E77F6" w:rsidP="001106FC">
            <w:pPr>
              <w:spacing w:before="80" w:after="80" w:line="240" w:lineRule="auto"/>
              <w:ind w:right="182"/>
              <w:rPr>
                <w:szCs w:val="20"/>
              </w:rPr>
            </w:pPr>
            <w:r w:rsidRPr="001C2292">
              <w:t>Hafnium</w:t>
            </w:r>
          </w:p>
        </w:tc>
        <w:tc>
          <w:tcPr>
            <w:tcW w:w="812" w:type="pct"/>
          </w:tcPr>
          <w:p w14:paraId="68779BE3" w14:textId="77777777" w:rsidR="004E77F6" w:rsidRPr="00247A09" w:rsidRDefault="004E77F6" w:rsidP="001106FC">
            <w:pPr>
              <w:spacing w:before="80" w:after="80" w:line="240" w:lineRule="auto"/>
              <w:ind w:right="182"/>
              <w:jc w:val="center"/>
              <w:rPr>
                <w:b w:val="0"/>
                <w:bCs w:val="0"/>
              </w:rPr>
            </w:pPr>
            <w:r w:rsidRPr="00247A09">
              <w:rPr>
                <w:b w:val="0"/>
                <w:bCs w:val="0"/>
              </w:rPr>
              <w:t>36.56 million tonnes</w:t>
            </w:r>
          </w:p>
        </w:tc>
        <w:tc>
          <w:tcPr>
            <w:tcW w:w="683" w:type="pct"/>
          </w:tcPr>
          <w:p w14:paraId="4FA43BFD" w14:textId="77777777" w:rsidR="004E77F6" w:rsidRPr="00247A09" w:rsidRDefault="004E77F6" w:rsidP="001106FC">
            <w:pPr>
              <w:spacing w:before="80" w:after="80" w:line="240" w:lineRule="auto"/>
              <w:ind w:right="182"/>
              <w:jc w:val="center"/>
              <w:rPr>
                <w:b w:val="0"/>
                <w:bCs w:val="0"/>
              </w:rPr>
            </w:pPr>
            <w:r w:rsidRPr="00247A09">
              <w:rPr>
                <w:b w:val="0"/>
                <w:bCs w:val="0"/>
              </w:rPr>
              <w:t>0.002</w:t>
            </w:r>
          </w:p>
        </w:tc>
        <w:tc>
          <w:tcPr>
            <w:tcW w:w="769" w:type="pct"/>
          </w:tcPr>
          <w:p w14:paraId="6A9E41A8" w14:textId="77777777" w:rsidR="004E77F6" w:rsidRPr="00247A09" w:rsidRDefault="004E77F6" w:rsidP="001106FC">
            <w:pPr>
              <w:spacing w:before="80" w:after="80" w:line="240" w:lineRule="auto"/>
              <w:ind w:right="182"/>
              <w:jc w:val="center"/>
              <w:rPr>
                <w:b w:val="0"/>
                <w:bCs w:val="0"/>
              </w:rPr>
            </w:pPr>
            <w:r w:rsidRPr="00247A09">
              <w:rPr>
                <w:b w:val="0"/>
                <w:bCs w:val="0"/>
              </w:rPr>
              <w:t>0.003</w:t>
            </w:r>
          </w:p>
        </w:tc>
        <w:tc>
          <w:tcPr>
            <w:tcW w:w="940" w:type="pct"/>
          </w:tcPr>
          <w:p w14:paraId="5449C7AF" w14:textId="77777777" w:rsidR="004E77F6" w:rsidRPr="00247A09" w:rsidRDefault="004E77F6" w:rsidP="001106FC">
            <w:pPr>
              <w:spacing w:before="80" w:after="80" w:line="240" w:lineRule="auto"/>
              <w:ind w:right="182"/>
              <w:jc w:val="center"/>
              <w:rPr>
                <w:b w:val="0"/>
                <w:bCs w:val="0"/>
              </w:rPr>
            </w:pPr>
          </w:p>
        </w:tc>
        <w:tc>
          <w:tcPr>
            <w:tcW w:w="1111" w:type="pct"/>
          </w:tcPr>
          <w:p w14:paraId="2D7E75DE" w14:textId="77777777" w:rsidR="004E77F6" w:rsidRPr="00895263" w:rsidRDefault="004E77F6" w:rsidP="001106FC">
            <w:pPr>
              <w:spacing w:before="80" w:after="80" w:line="240" w:lineRule="auto"/>
              <w:ind w:right="182"/>
              <w:jc w:val="center"/>
              <w:rPr>
                <w:b w:val="0"/>
                <w:bCs w:val="0"/>
              </w:rPr>
            </w:pPr>
            <w:r w:rsidRPr="00895263">
              <w:rPr>
                <w:b w:val="0"/>
                <w:bCs w:val="0"/>
              </w:rPr>
              <w:t>Automotive, Defense, Electronics</w:t>
            </w:r>
          </w:p>
        </w:tc>
      </w:tr>
      <w:tr w:rsidR="00FF1F76" w:rsidRPr="008D5FF4" w14:paraId="1C9C8BD0" w14:textId="77777777" w:rsidTr="00662938">
        <w:tc>
          <w:tcPr>
            <w:tcW w:w="685" w:type="pct"/>
          </w:tcPr>
          <w:p w14:paraId="30EE67E1" w14:textId="77777777" w:rsidR="004E77F6" w:rsidRPr="008D5FF4" w:rsidRDefault="004E77F6" w:rsidP="001106FC">
            <w:pPr>
              <w:spacing w:before="80" w:after="80" w:line="240" w:lineRule="auto"/>
              <w:ind w:right="182"/>
            </w:pPr>
            <w:r w:rsidRPr="001C2292">
              <w:t>Silicon</w:t>
            </w:r>
          </w:p>
        </w:tc>
        <w:tc>
          <w:tcPr>
            <w:tcW w:w="812" w:type="pct"/>
          </w:tcPr>
          <w:p w14:paraId="4513F323" w14:textId="5A0F1F64" w:rsidR="004E77F6" w:rsidRPr="00201C5A" w:rsidRDefault="00201C5A" w:rsidP="001106FC">
            <w:pPr>
              <w:spacing w:before="80" w:after="80" w:line="240" w:lineRule="auto"/>
              <w:ind w:right="182"/>
              <w:jc w:val="center"/>
              <w:rPr>
                <w:b w:val="0"/>
                <w:bCs w:val="0"/>
              </w:rPr>
            </w:pPr>
            <w:r w:rsidRPr="00201C5A">
              <w:t xml:space="preserve">approximately </w:t>
            </w:r>
            <w:r w:rsidR="004E77F6" w:rsidRPr="00201C5A">
              <w:rPr>
                <w:b w:val="0"/>
                <w:bCs w:val="0"/>
              </w:rPr>
              <w:t>60</w:t>
            </w:r>
          </w:p>
        </w:tc>
        <w:tc>
          <w:tcPr>
            <w:tcW w:w="683" w:type="pct"/>
          </w:tcPr>
          <w:p w14:paraId="29635BBC" w14:textId="77777777" w:rsidR="004E77F6" w:rsidRPr="00247A09" w:rsidRDefault="004E77F6" w:rsidP="001106FC">
            <w:pPr>
              <w:spacing w:before="80" w:after="80" w:line="240" w:lineRule="auto"/>
              <w:ind w:right="182"/>
              <w:jc w:val="center"/>
              <w:rPr>
                <w:b w:val="0"/>
                <w:bCs w:val="0"/>
              </w:rPr>
            </w:pPr>
            <w:r w:rsidRPr="00247A09">
              <w:rPr>
                <w:b w:val="0"/>
                <w:bCs w:val="0"/>
              </w:rPr>
              <w:t>106–140</w:t>
            </w:r>
          </w:p>
        </w:tc>
        <w:tc>
          <w:tcPr>
            <w:tcW w:w="769" w:type="pct"/>
          </w:tcPr>
          <w:p w14:paraId="63C302DA" w14:textId="77777777" w:rsidR="004E77F6" w:rsidRPr="00247A09" w:rsidRDefault="004E77F6" w:rsidP="001106FC">
            <w:pPr>
              <w:spacing w:before="80" w:after="80" w:line="240" w:lineRule="auto"/>
              <w:ind w:right="182"/>
              <w:jc w:val="center"/>
              <w:rPr>
                <w:b w:val="0"/>
                <w:bCs w:val="0"/>
              </w:rPr>
            </w:pPr>
          </w:p>
        </w:tc>
        <w:tc>
          <w:tcPr>
            <w:tcW w:w="940" w:type="pct"/>
          </w:tcPr>
          <w:p w14:paraId="4B5150F1" w14:textId="77777777" w:rsidR="004E77F6" w:rsidRPr="00247A09" w:rsidRDefault="004E77F6" w:rsidP="001106FC">
            <w:pPr>
              <w:spacing w:before="80" w:after="80" w:line="240" w:lineRule="auto"/>
              <w:ind w:right="182"/>
              <w:jc w:val="center"/>
              <w:rPr>
                <w:b w:val="0"/>
                <w:bCs w:val="0"/>
              </w:rPr>
            </w:pPr>
          </w:p>
        </w:tc>
        <w:tc>
          <w:tcPr>
            <w:tcW w:w="1111" w:type="pct"/>
          </w:tcPr>
          <w:p w14:paraId="099B0F09" w14:textId="77777777" w:rsidR="004E77F6" w:rsidRPr="00895263" w:rsidRDefault="004E77F6" w:rsidP="001106FC">
            <w:pPr>
              <w:spacing w:before="80" w:after="80" w:line="240" w:lineRule="auto"/>
              <w:ind w:right="182"/>
              <w:jc w:val="center"/>
              <w:rPr>
                <w:b w:val="0"/>
                <w:bCs w:val="0"/>
              </w:rPr>
            </w:pPr>
            <w:r w:rsidRPr="00895263">
              <w:rPr>
                <w:b w:val="0"/>
                <w:bCs w:val="0"/>
              </w:rPr>
              <w:t>Semiconductors, Superalloys, Others</w:t>
            </w:r>
          </w:p>
        </w:tc>
      </w:tr>
      <w:tr w:rsidR="00FF1F76" w:rsidRPr="008D5FF4" w14:paraId="298E59B2" w14:textId="77777777" w:rsidTr="00662938">
        <w:tc>
          <w:tcPr>
            <w:tcW w:w="685" w:type="pct"/>
          </w:tcPr>
          <w:p w14:paraId="3CAC5F3D" w14:textId="77777777" w:rsidR="004E77F6" w:rsidRPr="008D5FF4" w:rsidRDefault="004E77F6" w:rsidP="001106FC">
            <w:pPr>
              <w:spacing w:before="80" w:after="80" w:line="240" w:lineRule="auto"/>
              <w:ind w:right="182"/>
            </w:pPr>
            <w:r w:rsidRPr="001C2292">
              <w:t>Titanium</w:t>
            </w:r>
          </w:p>
        </w:tc>
        <w:tc>
          <w:tcPr>
            <w:tcW w:w="812" w:type="pct"/>
          </w:tcPr>
          <w:p w14:paraId="3BCE753C" w14:textId="77777777" w:rsidR="004E77F6" w:rsidRPr="00247A09" w:rsidRDefault="004E77F6" w:rsidP="001106FC">
            <w:pPr>
              <w:spacing w:before="80" w:after="80" w:line="240" w:lineRule="auto"/>
              <w:ind w:right="182"/>
              <w:jc w:val="center"/>
              <w:rPr>
                <w:b w:val="0"/>
                <w:bCs w:val="0"/>
              </w:rPr>
            </w:pPr>
            <w:r w:rsidRPr="00247A09">
              <w:rPr>
                <w:b w:val="0"/>
                <w:bCs w:val="0"/>
              </w:rPr>
              <w:t>427 million tonnes</w:t>
            </w:r>
          </w:p>
        </w:tc>
        <w:tc>
          <w:tcPr>
            <w:tcW w:w="683" w:type="pct"/>
          </w:tcPr>
          <w:p w14:paraId="7A7462F9" w14:textId="77777777" w:rsidR="004E77F6" w:rsidRPr="00247A09" w:rsidRDefault="004E77F6" w:rsidP="001106FC">
            <w:pPr>
              <w:spacing w:before="80" w:after="80" w:line="240" w:lineRule="auto"/>
              <w:ind w:right="182"/>
              <w:jc w:val="center"/>
              <w:rPr>
                <w:b w:val="0"/>
                <w:bCs w:val="0"/>
              </w:rPr>
            </w:pPr>
            <w:r w:rsidRPr="00247A09">
              <w:rPr>
                <w:b w:val="0"/>
                <w:bCs w:val="0"/>
              </w:rPr>
              <w:t>258–347</w:t>
            </w:r>
          </w:p>
        </w:tc>
        <w:tc>
          <w:tcPr>
            <w:tcW w:w="769" w:type="pct"/>
          </w:tcPr>
          <w:p w14:paraId="5E05E50A" w14:textId="77777777" w:rsidR="004E77F6" w:rsidRPr="00247A09" w:rsidRDefault="004E77F6" w:rsidP="001106FC">
            <w:pPr>
              <w:spacing w:before="80" w:after="80" w:line="240" w:lineRule="auto"/>
              <w:ind w:right="182"/>
              <w:jc w:val="center"/>
              <w:rPr>
                <w:b w:val="0"/>
                <w:bCs w:val="0"/>
              </w:rPr>
            </w:pPr>
            <w:r w:rsidRPr="00247A09">
              <w:rPr>
                <w:b w:val="0"/>
                <w:bCs w:val="0"/>
              </w:rPr>
              <w:t>431–503</w:t>
            </w:r>
          </w:p>
        </w:tc>
        <w:tc>
          <w:tcPr>
            <w:tcW w:w="940" w:type="pct"/>
          </w:tcPr>
          <w:p w14:paraId="233090C5" w14:textId="77777777" w:rsidR="004E77F6" w:rsidRPr="00247A09" w:rsidRDefault="004E77F6" w:rsidP="001106FC">
            <w:pPr>
              <w:spacing w:before="80" w:after="80" w:line="240" w:lineRule="auto"/>
              <w:ind w:right="182"/>
              <w:jc w:val="center"/>
              <w:rPr>
                <w:b w:val="0"/>
                <w:bCs w:val="0"/>
              </w:rPr>
            </w:pPr>
            <w:r w:rsidRPr="00247A09">
              <w:rPr>
                <w:b w:val="0"/>
                <w:bCs w:val="0"/>
              </w:rPr>
              <w:t>Significant import dependence on titanium dioxide, sponge and metal</w:t>
            </w:r>
          </w:p>
        </w:tc>
        <w:tc>
          <w:tcPr>
            <w:tcW w:w="1111" w:type="pct"/>
          </w:tcPr>
          <w:p w14:paraId="192E8AC5" w14:textId="77777777" w:rsidR="004E77F6" w:rsidRPr="00895263" w:rsidRDefault="004E77F6" w:rsidP="001106FC">
            <w:pPr>
              <w:spacing w:before="80" w:after="80" w:line="240" w:lineRule="auto"/>
              <w:ind w:right="182"/>
              <w:jc w:val="center"/>
              <w:rPr>
                <w:b w:val="0"/>
                <w:bCs w:val="0"/>
              </w:rPr>
            </w:pPr>
            <w:r w:rsidRPr="00895263">
              <w:rPr>
                <w:b w:val="0"/>
                <w:bCs w:val="0"/>
              </w:rPr>
              <w:t>Defense, Aerospace, Chemicals, Pigments, Polymers</w:t>
            </w:r>
          </w:p>
        </w:tc>
      </w:tr>
      <w:tr w:rsidR="00FF1F76" w:rsidRPr="008D5FF4" w14:paraId="38B4822C" w14:textId="77777777" w:rsidTr="00662938">
        <w:tc>
          <w:tcPr>
            <w:tcW w:w="685" w:type="pct"/>
          </w:tcPr>
          <w:p w14:paraId="5513C8FF" w14:textId="77777777" w:rsidR="004E77F6" w:rsidRPr="001C2292" w:rsidRDefault="004E77F6" w:rsidP="001106FC">
            <w:pPr>
              <w:spacing w:before="80" w:after="80" w:line="240" w:lineRule="auto"/>
              <w:ind w:right="182"/>
            </w:pPr>
            <w:r w:rsidRPr="00D5497F">
              <w:t>Nickel</w:t>
            </w:r>
          </w:p>
        </w:tc>
        <w:tc>
          <w:tcPr>
            <w:tcW w:w="812" w:type="pct"/>
          </w:tcPr>
          <w:p w14:paraId="7312B57A" w14:textId="77777777" w:rsidR="004E77F6" w:rsidRPr="00895263" w:rsidRDefault="004E77F6" w:rsidP="001106FC">
            <w:pPr>
              <w:spacing w:before="80" w:after="80" w:line="240" w:lineRule="auto"/>
              <w:ind w:right="182"/>
              <w:jc w:val="center"/>
              <w:rPr>
                <w:b w:val="0"/>
                <w:bCs w:val="0"/>
              </w:rPr>
            </w:pPr>
            <w:r w:rsidRPr="00895263">
              <w:rPr>
                <w:b w:val="0"/>
                <w:bCs w:val="0"/>
              </w:rPr>
              <w:t>189–194 million tonnes</w:t>
            </w:r>
          </w:p>
        </w:tc>
        <w:tc>
          <w:tcPr>
            <w:tcW w:w="683" w:type="pct"/>
          </w:tcPr>
          <w:p w14:paraId="2FC8F72B" w14:textId="77777777" w:rsidR="004E77F6" w:rsidRPr="00895263" w:rsidRDefault="004E77F6" w:rsidP="001106FC">
            <w:pPr>
              <w:spacing w:before="80" w:after="80" w:line="240" w:lineRule="auto"/>
              <w:ind w:right="182"/>
              <w:jc w:val="center"/>
              <w:rPr>
                <w:b w:val="0"/>
                <w:bCs w:val="0"/>
              </w:rPr>
            </w:pPr>
            <w:r w:rsidRPr="00895263">
              <w:rPr>
                <w:b w:val="0"/>
                <w:bCs w:val="0"/>
              </w:rPr>
              <w:t>90–120</w:t>
            </w:r>
          </w:p>
        </w:tc>
        <w:tc>
          <w:tcPr>
            <w:tcW w:w="769" w:type="pct"/>
          </w:tcPr>
          <w:p w14:paraId="4BBEEB30" w14:textId="77777777" w:rsidR="004E77F6" w:rsidRPr="00895263" w:rsidRDefault="004E77F6" w:rsidP="001106FC">
            <w:pPr>
              <w:spacing w:before="80" w:after="80" w:line="240" w:lineRule="auto"/>
              <w:ind w:right="182"/>
              <w:jc w:val="center"/>
              <w:rPr>
                <w:b w:val="0"/>
                <w:bCs w:val="0"/>
              </w:rPr>
            </w:pPr>
            <w:r w:rsidRPr="00895263">
              <w:rPr>
                <w:b w:val="0"/>
                <w:bCs w:val="0"/>
              </w:rPr>
              <w:t>150–190</w:t>
            </w:r>
          </w:p>
        </w:tc>
        <w:tc>
          <w:tcPr>
            <w:tcW w:w="940" w:type="pct"/>
          </w:tcPr>
          <w:p w14:paraId="76515D9C" w14:textId="77777777" w:rsidR="004E77F6" w:rsidRPr="00895263" w:rsidRDefault="004E77F6" w:rsidP="001106FC">
            <w:pPr>
              <w:spacing w:before="80" w:after="80" w:line="240" w:lineRule="auto"/>
              <w:ind w:right="182"/>
              <w:jc w:val="center"/>
              <w:rPr>
                <w:b w:val="0"/>
                <w:bCs w:val="0"/>
              </w:rPr>
            </w:pPr>
            <w:r w:rsidRPr="00895263">
              <w:rPr>
                <w:b w:val="0"/>
                <w:bCs w:val="0"/>
              </w:rPr>
              <w:t>Import dependence is 100%</w:t>
            </w:r>
          </w:p>
        </w:tc>
        <w:tc>
          <w:tcPr>
            <w:tcW w:w="1111" w:type="pct"/>
          </w:tcPr>
          <w:p w14:paraId="2A812D53" w14:textId="77777777" w:rsidR="004E77F6" w:rsidRPr="00895263" w:rsidRDefault="004E77F6" w:rsidP="001106FC">
            <w:pPr>
              <w:spacing w:before="80" w:after="80" w:line="240" w:lineRule="auto"/>
              <w:ind w:right="182"/>
              <w:jc w:val="center"/>
              <w:rPr>
                <w:b w:val="0"/>
                <w:bCs w:val="0"/>
              </w:rPr>
            </w:pPr>
            <w:r w:rsidRPr="00895263">
              <w:rPr>
                <w:b w:val="0"/>
                <w:bCs w:val="0"/>
              </w:rPr>
              <w:t>Stainless Steel, EV, ESS, Batteries</w:t>
            </w:r>
          </w:p>
        </w:tc>
      </w:tr>
      <w:tr w:rsidR="00FF1F76" w:rsidRPr="008D5FF4" w14:paraId="05DFC92B" w14:textId="77777777" w:rsidTr="00662938">
        <w:tc>
          <w:tcPr>
            <w:tcW w:w="685" w:type="pct"/>
          </w:tcPr>
          <w:p w14:paraId="7FF2B496" w14:textId="77777777" w:rsidR="004E77F6" w:rsidRPr="001C2292" w:rsidRDefault="004E77F6" w:rsidP="001106FC">
            <w:pPr>
              <w:spacing w:before="80" w:after="80" w:line="240" w:lineRule="auto"/>
              <w:ind w:right="182"/>
            </w:pPr>
            <w:r w:rsidRPr="00D5497F">
              <w:t>Cobalt</w:t>
            </w:r>
          </w:p>
        </w:tc>
        <w:tc>
          <w:tcPr>
            <w:tcW w:w="812" w:type="pct"/>
          </w:tcPr>
          <w:p w14:paraId="1D06E032" w14:textId="3793AB54" w:rsidR="004E77F6" w:rsidRPr="00895263" w:rsidRDefault="00201C5A" w:rsidP="001106FC">
            <w:pPr>
              <w:spacing w:before="80" w:after="80" w:line="240" w:lineRule="auto"/>
              <w:ind w:right="182"/>
              <w:jc w:val="center"/>
              <w:rPr>
                <w:b w:val="0"/>
                <w:bCs w:val="0"/>
              </w:rPr>
            </w:pPr>
            <w:r w:rsidRPr="00201C5A">
              <w:t>approximately</w:t>
            </w:r>
            <w:r>
              <w:t xml:space="preserve"> </w:t>
            </w:r>
            <w:r w:rsidR="004E77F6" w:rsidRPr="00895263">
              <w:rPr>
                <w:b w:val="0"/>
                <w:bCs w:val="0"/>
              </w:rPr>
              <w:t>45 million tonnes</w:t>
            </w:r>
          </w:p>
        </w:tc>
        <w:tc>
          <w:tcPr>
            <w:tcW w:w="683" w:type="pct"/>
          </w:tcPr>
          <w:p w14:paraId="2BD3A1D3" w14:textId="77777777" w:rsidR="004E77F6" w:rsidRPr="00895263" w:rsidRDefault="004E77F6" w:rsidP="001106FC">
            <w:pPr>
              <w:spacing w:before="80" w:after="80" w:line="240" w:lineRule="auto"/>
              <w:ind w:right="182"/>
              <w:jc w:val="center"/>
              <w:rPr>
                <w:b w:val="0"/>
                <w:bCs w:val="0"/>
              </w:rPr>
            </w:pPr>
            <w:r w:rsidRPr="00895263">
              <w:rPr>
                <w:b w:val="0"/>
                <w:bCs w:val="0"/>
              </w:rPr>
              <w:t>5.8–6.2</w:t>
            </w:r>
          </w:p>
        </w:tc>
        <w:tc>
          <w:tcPr>
            <w:tcW w:w="769" w:type="pct"/>
          </w:tcPr>
          <w:p w14:paraId="70F3F650" w14:textId="77777777" w:rsidR="004E77F6" w:rsidRPr="00895263" w:rsidRDefault="004E77F6" w:rsidP="001106FC">
            <w:pPr>
              <w:spacing w:before="80" w:after="80" w:line="240" w:lineRule="auto"/>
              <w:ind w:right="182"/>
              <w:jc w:val="center"/>
              <w:rPr>
                <w:b w:val="0"/>
                <w:bCs w:val="0"/>
              </w:rPr>
            </w:pPr>
            <w:r w:rsidRPr="00895263">
              <w:rPr>
                <w:b w:val="0"/>
                <w:bCs w:val="0"/>
              </w:rPr>
              <w:t>18–37</w:t>
            </w:r>
          </w:p>
        </w:tc>
        <w:tc>
          <w:tcPr>
            <w:tcW w:w="940" w:type="pct"/>
          </w:tcPr>
          <w:p w14:paraId="5A3D5305" w14:textId="77777777" w:rsidR="004E77F6" w:rsidRPr="00895263" w:rsidRDefault="004E77F6" w:rsidP="001106FC">
            <w:pPr>
              <w:spacing w:before="80" w:after="80" w:line="240" w:lineRule="auto"/>
              <w:ind w:right="182"/>
              <w:jc w:val="center"/>
              <w:rPr>
                <w:b w:val="0"/>
                <w:bCs w:val="0"/>
              </w:rPr>
            </w:pPr>
            <w:r w:rsidRPr="00895263">
              <w:rPr>
                <w:b w:val="0"/>
                <w:bCs w:val="0"/>
              </w:rPr>
              <w:t>Import dependence is 100%</w:t>
            </w:r>
          </w:p>
        </w:tc>
        <w:tc>
          <w:tcPr>
            <w:tcW w:w="1111" w:type="pct"/>
          </w:tcPr>
          <w:p w14:paraId="7DA6DFAC" w14:textId="77777777" w:rsidR="004E77F6" w:rsidRPr="00895263" w:rsidRDefault="004E77F6" w:rsidP="001106FC">
            <w:pPr>
              <w:spacing w:before="80" w:after="80" w:line="240" w:lineRule="auto"/>
              <w:ind w:right="182"/>
              <w:jc w:val="center"/>
              <w:rPr>
                <w:b w:val="0"/>
                <w:bCs w:val="0"/>
              </w:rPr>
            </w:pPr>
            <w:r w:rsidRPr="00895263">
              <w:rPr>
                <w:b w:val="0"/>
                <w:bCs w:val="0"/>
              </w:rPr>
              <w:t>EV and ESS, Superalloys, Magnets, Pigments</w:t>
            </w:r>
          </w:p>
        </w:tc>
      </w:tr>
    </w:tbl>
    <w:p w14:paraId="75351783" w14:textId="77777777" w:rsidR="004E77F6" w:rsidRDefault="004E77F6" w:rsidP="004E77F6">
      <w:pPr>
        <w:pStyle w:val="Source"/>
        <w:ind w:right="182"/>
      </w:pPr>
      <w:r w:rsidRPr="00FF440B">
        <w:t>Source:</w:t>
      </w:r>
      <w:r>
        <w:t xml:space="preserve"> </w:t>
      </w:r>
      <w:r w:rsidRPr="00E71578">
        <w:t>Recovery of Critical Minerals from Mine Tailings and Overburden</w:t>
      </w:r>
      <w:r>
        <w:t>- FICCI, P: Projected</w:t>
      </w:r>
    </w:p>
    <w:p w14:paraId="449A2954" w14:textId="36684DB1" w:rsidR="004E77F6" w:rsidRDefault="00A1734C" w:rsidP="0041274F">
      <w:pPr>
        <w:tabs>
          <w:tab w:val="left" w:pos="10440"/>
        </w:tabs>
        <w:ind w:right="112"/>
      </w:pPr>
      <w:r w:rsidRPr="00746D8E">
        <w:t xml:space="preserve">The mining industry is an evolving industry and in order to address its specific needs in the field of exploration, mining, environment requirement of </w:t>
      </w:r>
      <w:r w:rsidRPr="00662938">
        <w:t>new high-end machinery and advanced software, including artificial intelligence and big data analytics are the need of the hour.</w:t>
      </w:r>
      <w:r w:rsidRPr="00746D8E">
        <w:t xml:space="preserve"> The sheer scale of mining activity including machine, money and manpower makes a case for constant lookout to improve efficiency of operations.</w:t>
      </w:r>
    </w:p>
    <w:p w14:paraId="748D5259" w14:textId="77777777" w:rsidR="00D009C3" w:rsidRDefault="00D009C3" w:rsidP="0041274F">
      <w:pPr>
        <w:tabs>
          <w:tab w:val="left" w:pos="10440"/>
        </w:tabs>
        <w:ind w:right="112"/>
      </w:pPr>
      <w:bookmarkStart w:id="317" w:name="_Toc198470986"/>
      <w:bookmarkStart w:id="318" w:name="_Toc198727024"/>
      <w:bookmarkStart w:id="319" w:name="_Toc198728139"/>
      <w:bookmarkStart w:id="320" w:name="_Toc198729254"/>
      <w:bookmarkStart w:id="321" w:name="_Toc198730369"/>
      <w:bookmarkEnd w:id="317"/>
      <w:bookmarkEnd w:id="318"/>
      <w:bookmarkEnd w:id="319"/>
      <w:bookmarkEnd w:id="320"/>
      <w:bookmarkEnd w:id="321"/>
    </w:p>
    <w:p w14:paraId="5ADD75C9" w14:textId="77777777" w:rsidR="00D009C3" w:rsidRDefault="00D009C3" w:rsidP="0041274F">
      <w:pPr>
        <w:tabs>
          <w:tab w:val="left" w:pos="10440"/>
        </w:tabs>
        <w:ind w:right="112"/>
      </w:pPr>
    </w:p>
    <w:p w14:paraId="23059DB7" w14:textId="77777777" w:rsidR="00D009C3" w:rsidRDefault="00D009C3" w:rsidP="0041274F">
      <w:pPr>
        <w:tabs>
          <w:tab w:val="left" w:pos="10440"/>
        </w:tabs>
        <w:ind w:right="112"/>
      </w:pPr>
    </w:p>
    <w:p w14:paraId="39A97763" w14:textId="77777777" w:rsidR="00D009C3" w:rsidRDefault="00D009C3" w:rsidP="0041274F">
      <w:pPr>
        <w:tabs>
          <w:tab w:val="left" w:pos="10440"/>
        </w:tabs>
        <w:ind w:right="112"/>
      </w:pPr>
    </w:p>
    <w:p w14:paraId="38AB3A36" w14:textId="77777777" w:rsidR="00D009C3" w:rsidRPr="00A1734C" w:rsidRDefault="00D009C3" w:rsidP="0041274F">
      <w:pPr>
        <w:tabs>
          <w:tab w:val="left" w:pos="10440"/>
        </w:tabs>
        <w:ind w:right="112"/>
        <w:rPr>
          <w:i/>
          <w:iCs/>
          <w:sz w:val="16"/>
          <w:szCs w:val="16"/>
        </w:rPr>
      </w:pPr>
    </w:p>
    <w:p w14:paraId="39D97EA3" w14:textId="65280B11" w:rsidR="008A6BAD" w:rsidRDefault="008A6BAD" w:rsidP="00C7511A">
      <w:pPr>
        <w:pStyle w:val="Heading10"/>
        <w:ind w:right="182"/>
      </w:pPr>
      <w:bookmarkStart w:id="322" w:name="_Toc198471008"/>
      <w:bookmarkStart w:id="323" w:name="_Toc198727046"/>
      <w:bookmarkStart w:id="324" w:name="_Toc198728161"/>
      <w:bookmarkStart w:id="325" w:name="_Toc198729276"/>
      <w:bookmarkStart w:id="326" w:name="_Toc198730391"/>
      <w:bookmarkStart w:id="327" w:name="_Toc198471009"/>
      <w:bookmarkStart w:id="328" w:name="_Toc198727047"/>
      <w:bookmarkStart w:id="329" w:name="_Toc198728162"/>
      <w:bookmarkStart w:id="330" w:name="_Toc198729277"/>
      <w:bookmarkStart w:id="331" w:name="_Toc198730392"/>
      <w:bookmarkStart w:id="332" w:name="_Toc198471010"/>
      <w:bookmarkStart w:id="333" w:name="_Toc198727048"/>
      <w:bookmarkStart w:id="334" w:name="_Toc198728163"/>
      <w:bookmarkStart w:id="335" w:name="_Toc198729278"/>
      <w:bookmarkStart w:id="336" w:name="_Toc198730393"/>
      <w:bookmarkStart w:id="337" w:name="_Toc198471011"/>
      <w:bookmarkStart w:id="338" w:name="_Toc198727049"/>
      <w:bookmarkStart w:id="339" w:name="_Toc198728164"/>
      <w:bookmarkStart w:id="340" w:name="_Toc198729279"/>
      <w:bookmarkStart w:id="341" w:name="_Toc198730394"/>
      <w:bookmarkStart w:id="342" w:name="_Toc198471012"/>
      <w:bookmarkStart w:id="343" w:name="_Toc198727050"/>
      <w:bookmarkStart w:id="344" w:name="_Toc198728165"/>
      <w:bookmarkStart w:id="345" w:name="_Toc198729280"/>
      <w:bookmarkStart w:id="346" w:name="_Toc198730395"/>
      <w:bookmarkStart w:id="347" w:name="_Toc198471013"/>
      <w:bookmarkStart w:id="348" w:name="_Toc198727051"/>
      <w:bookmarkStart w:id="349" w:name="_Toc198728166"/>
      <w:bookmarkStart w:id="350" w:name="_Toc198729281"/>
      <w:bookmarkStart w:id="351" w:name="_Toc198730396"/>
      <w:bookmarkStart w:id="352" w:name="_Toc198471014"/>
      <w:bookmarkStart w:id="353" w:name="_Toc198727052"/>
      <w:bookmarkStart w:id="354" w:name="_Toc198728167"/>
      <w:bookmarkStart w:id="355" w:name="_Toc198729282"/>
      <w:bookmarkStart w:id="356" w:name="_Toc198730397"/>
      <w:bookmarkStart w:id="357" w:name="_Toc198471015"/>
      <w:bookmarkStart w:id="358" w:name="_Toc198727053"/>
      <w:bookmarkStart w:id="359" w:name="_Toc198728168"/>
      <w:bookmarkStart w:id="360" w:name="_Toc198729283"/>
      <w:bookmarkStart w:id="361" w:name="_Toc198730398"/>
      <w:bookmarkStart w:id="362" w:name="_Toc198471016"/>
      <w:bookmarkStart w:id="363" w:name="_Toc198727054"/>
      <w:bookmarkStart w:id="364" w:name="_Toc198728169"/>
      <w:bookmarkStart w:id="365" w:name="_Toc198729284"/>
      <w:bookmarkStart w:id="366" w:name="_Toc198730399"/>
      <w:bookmarkStart w:id="367" w:name="_Toc198471017"/>
      <w:bookmarkStart w:id="368" w:name="_Toc198727055"/>
      <w:bookmarkStart w:id="369" w:name="_Toc198728170"/>
      <w:bookmarkStart w:id="370" w:name="_Toc198729285"/>
      <w:bookmarkStart w:id="371" w:name="_Toc198730400"/>
      <w:bookmarkStart w:id="372" w:name="_Toc198471018"/>
      <w:bookmarkStart w:id="373" w:name="_Toc198727056"/>
      <w:bookmarkStart w:id="374" w:name="_Toc198728171"/>
      <w:bookmarkStart w:id="375" w:name="_Toc198729286"/>
      <w:bookmarkStart w:id="376" w:name="_Toc198730401"/>
      <w:bookmarkStart w:id="377" w:name="_Toc198471019"/>
      <w:bookmarkStart w:id="378" w:name="_Toc198727057"/>
      <w:bookmarkStart w:id="379" w:name="_Toc198728172"/>
      <w:bookmarkStart w:id="380" w:name="_Toc198729287"/>
      <w:bookmarkStart w:id="381" w:name="_Toc198730402"/>
      <w:bookmarkStart w:id="382" w:name="_Toc198471020"/>
      <w:bookmarkStart w:id="383" w:name="_Toc198727058"/>
      <w:bookmarkStart w:id="384" w:name="_Toc198728173"/>
      <w:bookmarkStart w:id="385" w:name="_Toc198729288"/>
      <w:bookmarkStart w:id="386" w:name="_Toc198730403"/>
      <w:bookmarkStart w:id="387" w:name="_Toc198471021"/>
      <w:bookmarkStart w:id="388" w:name="_Toc198727059"/>
      <w:bookmarkStart w:id="389" w:name="_Toc198728174"/>
      <w:bookmarkStart w:id="390" w:name="_Toc198729289"/>
      <w:bookmarkStart w:id="391" w:name="_Toc198730404"/>
      <w:bookmarkStart w:id="392" w:name="_Toc198471022"/>
      <w:bookmarkStart w:id="393" w:name="_Toc198727060"/>
      <w:bookmarkStart w:id="394" w:name="_Toc198728175"/>
      <w:bookmarkStart w:id="395" w:name="_Toc198729290"/>
      <w:bookmarkStart w:id="396" w:name="_Toc198730405"/>
      <w:bookmarkStart w:id="397" w:name="_Toc198471023"/>
      <w:bookmarkStart w:id="398" w:name="_Toc198727061"/>
      <w:bookmarkStart w:id="399" w:name="_Toc198728176"/>
      <w:bookmarkStart w:id="400" w:name="_Toc198729291"/>
      <w:bookmarkStart w:id="401" w:name="_Toc198730406"/>
      <w:bookmarkStart w:id="402" w:name="_Toc198471024"/>
      <w:bookmarkStart w:id="403" w:name="_Toc198727062"/>
      <w:bookmarkStart w:id="404" w:name="_Toc198728177"/>
      <w:bookmarkStart w:id="405" w:name="_Toc198729292"/>
      <w:bookmarkStart w:id="406" w:name="_Toc198730407"/>
      <w:bookmarkStart w:id="407" w:name="_Toc198471025"/>
      <w:bookmarkStart w:id="408" w:name="_Toc198727063"/>
      <w:bookmarkStart w:id="409" w:name="_Toc198728178"/>
      <w:bookmarkStart w:id="410" w:name="_Toc198729293"/>
      <w:bookmarkStart w:id="411" w:name="_Toc198730408"/>
      <w:bookmarkStart w:id="412" w:name="_Toc198471026"/>
      <w:bookmarkStart w:id="413" w:name="_Toc198727064"/>
      <w:bookmarkStart w:id="414" w:name="_Toc198728179"/>
      <w:bookmarkStart w:id="415" w:name="_Toc198729294"/>
      <w:bookmarkStart w:id="416" w:name="_Toc198730409"/>
      <w:bookmarkStart w:id="417" w:name="_Toc198471027"/>
      <w:bookmarkStart w:id="418" w:name="_Toc198727065"/>
      <w:bookmarkStart w:id="419" w:name="_Toc198728180"/>
      <w:bookmarkStart w:id="420" w:name="_Toc198729295"/>
      <w:bookmarkStart w:id="421" w:name="_Toc198730410"/>
      <w:bookmarkStart w:id="422" w:name="_Toc198471028"/>
      <w:bookmarkStart w:id="423" w:name="_Toc198727066"/>
      <w:bookmarkStart w:id="424" w:name="_Toc198728181"/>
      <w:bookmarkStart w:id="425" w:name="_Toc198729296"/>
      <w:bookmarkStart w:id="426" w:name="_Toc198730411"/>
      <w:bookmarkStart w:id="427" w:name="_Toc198471029"/>
      <w:bookmarkStart w:id="428" w:name="_Toc198727067"/>
      <w:bookmarkStart w:id="429" w:name="_Toc198728182"/>
      <w:bookmarkStart w:id="430" w:name="_Toc198729297"/>
      <w:bookmarkStart w:id="431" w:name="_Toc198730412"/>
      <w:bookmarkStart w:id="432" w:name="_Toc198471030"/>
      <w:bookmarkStart w:id="433" w:name="_Toc198727068"/>
      <w:bookmarkStart w:id="434" w:name="_Toc198728183"/>
      <w:bookmarkStart w:id="435" w:name="_Toc198729298"/>
      <w:bookmarkStart w:id="436" w:name="_Toc198730413"/>
      <w:bookmarkStart w:id="437" w:name="_Toc198471031"/>
      <w:bookmarkStart w:id="438" w:name="_Toc198727069"/>
      <w:bookmarkStart w:id="439" w:name="_Toc198728184"/>
      <w:bookmarkStart w:id="440" w:name="_Toc198729299"/>
      <w:bookmarkStart w:id="441" w:name="_Toc198730414"/>
      <w:bookmarkStart w:id="442" w:name="_Toc198471032"/>
      <w:bookmarkStart w:id="443" w:name="_Toc198727070"/>
      <w:bookmarkStart w:id="444" w:name="_Toc198728185"/>
      <w:bookmarkStart w:id="445" w:name="_Toc198729300"/>
      <w:bookmarkStart w:id="446" w:name="_Toc198730415"/>
      <w:bookmarkStart w:id="447" w:name="_Toc198471033"/>
      <w:bookmarkStart w:id="448" w:name="_Toc198727071"/>
      <w:bookmarkStart w:id="449" w:name="_Toc198728186"/>
      <w:bookmarkStart w:id="450" w:name="_Toc198729301"/>
      <w:bookmarkStart w:id="451" w:name="_Toc198730416"/>
      <w:bookmarkStart w:id="452" w:name="_Toc198471034"/>
      <w:bookmarkStart w:id="453" w:name="_Toc198727072"/>
      <w:bookmarkStart w:id="454" w:name="_Toc198728187"/>
      <w:bookmarkStart w:id="455" w:name="_Toc198729302"/>
      <w:bookmarkStart w:id="456" w:name="_Toc198730417"/>
      <w:bookmarkStart w:id="457" w:name="_Toc198471035"/>
      <w:bookmarkStart w:id="458" w:name="_Toc198727073"/>
      <w:bookmarkStart w:id="459" w:name="_Toc198728188"/>
      <w:bookmarkStart w:id="460" w:name="_Toc198729303"/>
      <w:bookmarkStart w:id="461" w:name="_Toc198730418"/>
      <w:bookmarkStart w:id="462" w:name="_Toc198471036"/>
      <w:bookmarkStart w:id="463" w:name="_Toc198727074"/>
      <w:bookmarkStart w:id="464" w:name="_Toc198728189"/>
      <w:bookmarkStart w:id="465" w:name="_Toc198729304"/>
      <w:bookmarkStart w:id="466" w:name="_Toc198730419"/>
      <w:bookmarkStart w:id="467" w:name="_Toc198471037"/>
      <w:bookmarkStart w:id="468" w:name="_Toc198727075"/>
      <w:bookmarkStart w:id="469" w:name="_Toc198728190"/>
      <w:bookmarkStart w:id="470" w:name="_Toc198729305"/>
      <w:bookmarkStart w:id="471" w:name="_Toc198730420"/>
      <w:bookmarkStart w:id="472" w:name="_Toc198471038"/>
      <w:bookmarkStart w:id="473" w:name="_Toc198727076"/>
      <w:bookmarkStart w:id="474" w:name="_Toc198728191"/>
      <w:bookmarkStart w:id="475" w:name="_Toc198729306"/>
      <w:bookmarkStart w:id="476" w:name="_Toc198730421"/>
      <w:bookmarkStart w:id="477" w:name="_Toc198471039"/>
      <w:bookmarkStart w:id="478" w:name="_Toc198727077"/>
      <w:bookmarkStart w:id="479" w:name="_Toc198728192"/>
      <w:bookmarkStart w:id="480" w:name="_Toc198729307"/>
      <w:bookmarkStart w:id="481" w:name="_Toc198730422"/>
      <w:bookmarkStart w:id="482" w:name="_Toc198471040"/>
      <w:bookmarkStart w:id="483" w:name="_Toc198727078"/>
      <w:bookmarkStart w:id="484" w:name="_Toc198728193"/>
      <w:bookmarkStart w:id="485" w:name="_Toc198729308"/>
      <w:bookmarkStart w:id="486" w:name="_Toc198730423"/>
      <w:bookmarkStart w:id="487" w:name="_Toc198471041"/>
      <w:bookmarkStart w:id="488" w:name="_Toc198727079"/>
      <w:bookmarkStart w:id="489" w:name="_Toc198728194"/>
      <w:bookmarkStart w:id="490" w:name="_Toc198729309"/>
      <w:bookmarkStart w:id="491" w:name="_Toc198730424"/>
      <w:bookmarkStart w:id="492" w:name="_Toc198471042"/>
      <w:bookmarkStart w:id="493" w:name="_Toc198727080"/>
      <w:bookmarkStart w:id="494" w:name="_Toc198728195"/>
      <w:bookmarkStart w:id="495" w:name="_Toc198729310"/>
      <w:bookmarkStart w:id="496" w:name="_Toc198730425"/>
      <w:bookmarkStart w:id="497" w:name="_Toc198471043"/>
      <w:bookmarkStart w:id="498" w:name="_Toc198727081"/>
      <w:bookmarkStart w:id="499" w:name="_Toc198728196"/>
      <w:bookmarkStart w:id="500" w:name="_Toc198729311"/>
      <w:bookmarkStart w:id="501" w:name="_Toc198730426"/>
      <w:bookmarkStart w:id="502" w:name="_Toc198471044"/>
      <w:bookmarkStart w:id="503" w:name="_Toc198727082"/>
      <w:bookmarkStart w:id="504" w:name="_Toc198728197"/>
      <w:bookmarkStart w:id="505" w:name="_Toc198729312"/>
      <w:bookmarkStart w:id="506" w:name="_Toc198730427"/>
      <w:bookmarkStart w:id="507" w:name="_Toc198471045"/>
      <w:bookmarkStart w:id="508" w:name="_Toc198727083"/>
      <w:bookmarkStart w:id="509" w:name="_Toc198728198"/>
      <w:bookmarkStart w:id="510" w:name="_Toc198729313"/>
      <w:bookmarkStart w:id="511" w:name="_Toc198730428"/>
      <w:bookmarkStart w:id="512" w:name="_Toc198471046"/>
      <w:bookmarkStart w:id="513" w:name="_Toc198727084"/>
      <w:bookmarkStart w:id="514" w:name="_Toc198728199"/>
      <w:bookmarkStart w:id="515" w:name="_Toc198729314"/>
      <w:bookmarkStart w:id="516" w:name="_Toc198730429"/>
      <w:bookmarkStart w:id="517" w:name="_Toc178257008"/>
      <w:bookmarkStart w:id="518" w:name="_Toc198471047"/>
      <w:bookmarkStart w:id="519" w:name="_Toc198727085"/>
      <w:bookmarkStart w:id="520" w:name="_Toc198728200"/>
      <w:bookmarkStart w:id="521" w:name="_Toc198729315"/>
      <w:bookmarkStart w:id="522" w:name="_Toc198730430"/>
      <w:bookmarkStart w:id="523" w:name="_Toc198471048"/>
      <w:bookmarkStart w:id="524" w:name="_Toc198727086"/>
      <w:bookmarkStart w:id="525" w:name="_Toc198728201"/>
      <w:bookmarkStart w:id="526" w:name="_Toc198729316"/>
      <w:bookmarkStart w:id="527" w:name="_Toc198730431"/>
      <w:bookmarkStart w:id="528" w:name="_Toc198471049"/>
      <w:bookmarkStart w:id="529" w:name="_Toc198727087"/>
      <w:bookmarkStart w:id="530" w:name="_Toc198728202"/>
      <w:bookmarkStart w:id="531" w:name="_Toc198729317"/>
      <w:bookmarkStart w:id="532" w:name="_Toc198730432"/>
      <w:bookmarkStart w:id="533" w:name="_Toc198471050"/>
      <w:bookmarkStart w:id="534" w:name="_Toc198727088"/>
      <w:bookmarkStart w:id="535" w:name="_Toc198728203"/>
      <w:bookmarkStart w:id="536" w:name="_Toc198729318"/>
      <w:bookmarkStart w:id="537" w:name="_Toc198730433"/>
      <w:bookmarkStart w:id="538" w:name="_Toc198471051"/>
      <w:bookmarkStart w:id="539" w:name="_Toc198727089"/>
      <w:bookmarkStart w:id="540" w:name="_Toc198728204"/>
      <w:bookmarkStart w:id="541" w:name="_Toc198729319"/>
      <w:bookmarkStart w:id="542" w:name="_Toc198730434"/>
      <w:bookmarkStart w:id="543" w:name="_Toc198471052"/>
      <w:bookmarkStart w:id="544" w:name="_Toc198727090"/>
      <w:bookmarkStart w:id="545" w:name="_Toc198728205"/>
      <w:bookmarkStart w:id="546" w:name="_Toc198729320"/>
      <w:bookmarkStart w:id="547" w:name="_Toc198730435"/>
      <w:bookmarkStart w:id="548" w:name="_Toc198471053"/>
      <w:bookmarkStart w:id="549" w:name="_Toc198727091"/>
      <w:bookmarkStart w:id="550" w:name="_Toc198728206"/>
      <w:bookmarkStart w:id="551" w:name="_Toc198729321"/>
      <w:bookmarkStart w:id="552" w:name="_Toc198730436"/>
      <w:bookmarkStart w:id="553" w:name="_Toc198471054"/>
      <w:bookmarkStart w:id="554" w:name="_Toc198727092"/>
      <w:bookmarkStart w:id="555" w:name="_Toc198728207"/>
      <w:bookmarkStart w:id="556" w:name="_Toc198729322"/>
      <w:bookmarkStart w:id="557" w:name="_Toc198730437"/>
      <w:bookmarkStart w:id="558" w:name="_Toc198471055"/>
      <w:bookmarkStart w:id="559" w:name="_Toc198727093"/>
      <w:bookmarkStart w:id="560" w:name="_Toc198728208"/>
      <w:bookmarkStart w:id="561" w:name="_Toc198729323"/>
      <w:bookmarkStart w:id="562" w:name="_Toc198730438"/>
      <w:bookmarkStart w:id="563" w:name="_Toc198471056"/>
      <w:bookmarkStart w:id="564" w:name="_Toc198727094"/>
      <w:bookmarkStart w:id="565" w:name="_Toc198728209"/>
      <w:bookmarkStart w:id="566" w:name="_Toc198729324"/>
      <w:bookmarkStart w:id="567" w:name="_Toc198730439"/>
      <w:bookmarkStart w:id="568" w:name="_Toc198471057"/>
      <w:bookmarkStart w:id="569" w:name="_Toc198727095"/>
      <w:bookmarkStart w:id="570" w:name="_Toc198728210"/>
      <w:bookmarkStart w:id="571" w:name="_Toc198729325"/>
      <w:bookmarkStart w:id="572" w:name="_Toc198730440"/>
      <w:bookmarkStart w:id="573" w:name="_Toc198471058"/>
      <w:bookmarkStart w:id="574" w:name="_Toc198727096"/>
      <w:bookmarkStart w:id="575" w:name="_Toc198728211"/>
      <w:bookmarkStart w:id="576" w:name="_Toc198729326"/>
      <w:bookmarkStart w:id="577" w:name="_Toc198730441"/>
      <w:bookmarkStart w:id="578" w:name="_Toc198471059"/>
      <w:bookmarkStart w:id="579" w:name="_Toc198727097"/>
      <w:bookmarkStart w:id="580" w:name="_Toc198728212"/>
      <w:bookmarkStart w:id="581" w:name="_Toc198729327"/>
      <w:bookmarkStart w:id="582" w:name="_Toc198730442"/>
      <w:bookmarkStart w:id="583" w:name="_Toc198471060"/>
      <w:bookmarkStart w:id="584" w:name="_Toc198727098"/>
      <w:bookmarkStart w:id="585" w:name="_Toc198728213"/>
      <w:bookmarkStart w:id="586" w:name="_Toc198729328"/>
      <w:bookmarkStart w:id="587" w:name="_Toc198730443"/>
      <w:bookmarkStart w:id="588" w:name="_Toc198471061"/>
      <w:bookmarkStart w:id="589" w:name="_Toc198727099"/>
      <w:bookmarkStart w:id="590" w:name="_Toc198728214"/>
      <w:bookmarkStart w:id="591" w:name="_Toc198729329"/>
      <w:bookmarkStart w:id="592" w:name="_Toc198730444"/>
      <w:bookmarkStart w:id="593" w:name="_Toc198471062"/>
      <w:bookmarkStart w:id="594" w:name="_Toc198727100"/>
      <w:bookmarkStart w:id="595" w:name="_Toc198728215"/>
      <w:bookmarkStart w:id="596" w:name="_Toc198729330"/>
      <w:bookmarkStart w:id="597" w:name="_Toc198730445"/>
      <w:bookmarkStart w:id="598" w:name="_Toc198471063"/>
      <w:bookmarkStart w:id="599" w:name="_Toc198727101"/>
      <w:bookmarkStart w:id="600" w:name="_Toc198728216"/>
      <w:bookmarkStart w:id="601" w:name="_Toc198729331"/>
      <w:bookmarkStart w:id="602" w:name="_Toc198730446"/>
      <w:bookmarkStart w:id="603" w:name="_Toc198471064"/>
      <w:bookmarkStart w:id="604" w:name="_Toc198727102"/>
      <w:bookmarkStart w:id="605" w:name="_Toc198728217"/>
      <w:bookmarkStart w:id="606" w:name="_Toc198729332"/>
      <w:bookmarkStart w:id="607" w:name="_Toc198730447"/>
      <w:bookmarkStart w:id="608" w:name="_Toc198471065"/>
      <w:bookmarkStart w:id="609" w:name="_Toc198727103"/>
      <w:bookmarkStart w:id="610" w:name="_Toc198728218"/>
      <w:bookmarkStart w:id="611" w:name="_Toc198729333"/>
      <w:bookmarkStart w:id="612" w:name="_Toc198730448"/>
      <w:bookmarkStart w:id="613" w:name="_Toc198471066"/>
      <w:bookmarkStart w:id="614" w:name="_Toc198727104"/>
      <w:bookmarkStart w:id="615" w:name="_Toc198728219"/>
      <w:bookmarkStart w:id="616" w:name="_Toc198729334"/>
      <w:bookmarkStart w:id="617" w:name="_Toc198730449"/>
      <w:bookmarkStart w:id="618" w:name="_Toc198471067"/>
      <w:bookmarkStart w:id="619" w:name="_Toc198727105"/>
      <w:bookmarkStart w:id="620" w:name="_Toc198728220"/>
      <w:bookmarkStart w:id="621" w:name="_Toc198729335"/>
      <w:bookmarkStart w:id="622" w:name="_Toc198730450"/>
      <w:bookmarkStart w:id="623" w:name="_Toc198471068"/>
      <w:bookmarkStart w:id="624" w:name="_Toc198727106"/>
      <w:bookmarkStart w:id="625" w:name="_Toc198728221"/>
      <w:bookmarkStart w:id="626" w:name="_Toc198729336"/>
      <w:bookmarkStart w:id="627" w:name="_Toc198730451"/>
      <w:bookmarkStart w:id="628" w:name="_Toc198471069"/>
      <w:bookmarkStart w:id="629" w:name="_Toc198727107"/>
      <w:bookmarkStart w:id="630" w:name="_Toc198728222"/>
      <w:bookmarkStart w:id="631" w:name="_Toc198729337"/>
      <w:bookmarkStart w:id="632" w:name="_Toc198730452"/>
      <w:bookmarkStart w:id="633" w:name="_Toc198471070"/>
      <w:bookmarkStart w:id="634" w:name="_Toc198727108"/>
      <w:bookmarkStart w:id="635" w:name="_Toc198728223"/>
      <w:bookmarkStart w:id="636" w:name="_Toc198729338"/>
      <w:bookmarkStart w:id="637" w:name="_Toc198730453"/>
      <w:bookmarkStart w:id="638" w:name="_Toc198471071"/>
      <w:bookmarkStart w:id="639" w:name="_Toc198727109"/>
      <w:bookmarkStart w:id="640" w:name="_Toc198728224"/>
      <w:bookmarkStart w:id="641" w:name="_Toc198729339"/>
      <w:bookmarkStart w:id="642" w:name="_Toc198730454"/>
      <w:bookmarkStart w:id="643" w:name="_Toc198471072"/>
      <w:bookmarkStart w:id="644" w:name="_Toc198727110"/>
      <w:bookmarkStart w:id="645" w:name="_Toc198728225"/>
      <w:bookmarkStart w:id="646" w:name="_Toc198729340"/>
      <w:bookmarkStart w:id="647" w:name="_Toc198730455"/>
      <w:bookmarkStart w:id="648" w:name="_Toc198471073"/>
      <w:bookmarkStart w:id="649" w:name="_Toc198727111"/>
      <w:bookmarkStart w:id="650" w:name="_Toc198728226"/>
      <w:bookmarkStart w:id="651" w:name="_Toc198729341"/>
      <w:bookmarkStart w:id="652" w:name="_Toc198730456"/>
      <w:bookmarkStart w:id="653" w:name="_Toc198471074"/>
      <w:bookmarkStart w:id="654" w:name="_Toc198727112"/>
      <w:bookmarkStart w:id="655" w:name="_Toc198728227"/>
      <w:bookmarkStart w:id="656" w:name="_Toc198729342"/>
      <w:bookmarkStart w:id="657" w:name="_Toc198730457"/>
      <w:bookmarkStart w:id="658" w:name="_Toc198471075"/>
      <w:bookmarkStart w:id="659" w:name="_Toc198727113"/>
      <w:bookmarkStart w:id="660" w:name="_Toc198728228"/>
      <w:bookmarkStart w:id="661" w:name="_Toc198729343"/>
      <w:bookmarkStart w:id="662" w:name="_Toc198730458"/>
      <w:bookmarkStart w:id="663" w:name="_Toc198471076"/>
      <w:bookmarkStart w:id="664" w:name="_Toc198727114"/>
      <w:bookmarkStart w:id="665" w:name="_Toc198728229"/>
      <w:bookmarkStart w:id="666" w:name="_Toc198729344"/>
      <w:bookmarkStart w:id="667" w:name="_Toc198730459"/>
      <w:bookmarkStart w:id="668" w:name="_Toc198471077"/>
      <w:bookmarkStart w:id="669" w:name="_Toc198727115"/>
      <w:bookmarkStart w:id="670" w:name="_Toc198728230"/>
      <w:bookmarkStart w:id="671" w:name="_Toc198729345"/>
      <w:bookmarkStart w:id="672" w:name="_Toc198730460"/>
      <w:bookmarkStart w:id="673" w:name="_Toc198471078"/>
      <w:bookmarkStart w:id="674" w:name="_Toc198727116"/>
      <w:bookmarkStart w:id="675" w:name="_Toc198728231"/>
      <w:bookmarkStart w:id="676" w:name="_Toc198729346"/>
      <w:bookmarkStart w:id="677" w:name="_Toc198730461"/>
      <w:bookmarkStart w:id="678" w:name="_Toc198471079"/>
      <w:bookmarkStart w:id="679" w:name="_Toc198727117"/>
      <w:bookmarkStart w:id="680" w:name="_Toc198728232"/>
      <w:bookmarkStart w:id="681" w:name="_Toc198729347"/>
      <w:bookmarkStart w:id="682" w:name="_Toc198730462"/>
      <w:bookmarkStart w:id="683" w:name="_Toc198471080"/>
      <w:bookmarkStart w:id="684" w:name="_Toc198727118"/>
      <w:bookmarkStart w:id="685" w:name="_Toc198728233"/>
      <w:bookmarkStart w:id="686" w:name="_Toc198729348"/>
      <w:bookmarkStart w:id="687" w:name="_Toc198730463"/>
      <w:bookmarkStart w:id="688" w:name="_Toc198471081"/>
      <w:bookmarkStart w:id="689" w:name="_Toc198727119"/>
      <w:bookmarkStart w:id="690" w:name="_Toc198728234"/>
      <w:bookmarkStart w:id="691" w:name="_Toc198729349"/>
      <w:bookmarkStart w:id="692" w:name="_Toc198730464"/>
      <w:bookmarkStart w:id="693" w:name="_Toc198471082"/>
      <w:bookmarkStart w:id="694" w:name="_Toc198727120"/>
      <w:bookmarkStart w:id="695" w:name="_Toc198728235"/>
      <w:bookmarkStart w:id="696" w:name="_Toc198729350"/>
      <w:bookmarkStart w:id="697" w:name="_Toc198730465"/>
      <w:bookmarkStart w:id="698" w:name="_Toc198471083"/>
      <w:bookmarkStart w:id="699" w:name="_Toc198727121"/>
      <w:bookmarkStart w:id="700" w:name="_Toc198728236"/>
      <w:bookmarkStart w:id="701" w:name="_Toc198729351"/>
      <w:bookmarkStart w:id="702" w:name="_Toc198730466"/>
      <w:bookmarkStart w:id="703" w:name="_Toc198471084"/>
      <w:bookmarkStart w:id="704" w:name="_Toc198727122"/>
      <w:bookmarkStart w:id="705" w:name="_Toc198728237"/>
      <w:bookmarkStart w:id="706" w:name="_Toc198729352"/>
      <w:bookmarkStart w:id="707" w:name="_Toc198730467"/>
      <w:bookmarkStart w:id="708" w:name="_Toc198471085"/>
      <w:bookmarkStart w:id="709" w:name="_Toc198727123"/>
      <w:bookmarkStart w:id="710" w:name="_Toc198728238"/>
      <w:bookmarkStart w:id="711" w:name="_Toc198729353"/>
      <w:bookmarkStart w:id="712" w:name="_Toc198730468"/>
      <w:bookmarkStart w:id="713" w:name="_Toc198471086"/>
      <w:bookmarkStart w:id="714" w:name="_Toc198727124"/>
      <w:bookmarkStart w:id="715" w:name="_Toc198728239"/>
      <w:bookmarkStart w:id="716" w:name="_Toc198729354"/>
      <w:bookmarkStart w:id="717" w:name="_Toc198730469"/>
      <w:bookmarkStart w:id="718" w:name="_Toc198471087"/>
      <w:bookmarkStart w:id="719" w:name="_Toc198727125"/>
      <w:bookmarkStart w:id="720" w:name="_Toc198728240"/>
      <w:bookmarkStart w:id="721" w:name="_Toc198729355"/>
      <w:bookmarkStart w:id="722" w:name="_Toc198730470"/>
      <w:bookmarkStart w:id="723" w:name="_Toc198471088"/>
      <w:bookmarkStart w:id="724" w:name="_Toc198727126"/>
      <w:bookmarkStart w:id="725" w:name="_Toc198728241"/>
      <w:bookmarkStart w:id="726" w:name="_Toc198729356"/>
      <w:bookmarkStart w:id="727" w:name="_Toc198730471"/>
      <w:bookmarkStart w:id="728" w:name="_Toc198471089"/>
      <w:bookmarkStart w:id="729" w:name="_Toc198727127"/>
      <w:bookmarkStart w:id="730" w:name="_Toc198728242"/>
      <w:bookmarkStart w:id="731" w:name="_Toc198729357"/>
      <w:bookmarkStart w:id="732" w:name="_Toc198730472"/>
      <w:bookmarkStart w:id="733" w:name="_Toc198471090"/>
      <w:bookmarkStart w:id="734" w:name="_Toc198727128"/>
      <w:bookmarkStart w:id="735" w:name="_Toc198728243"/>
      <w:bookmarkStart w:id="736" w:name="_Toc198729358"/>
      <w:bookmarkStart w:id="737" w:name="_Toc198730473"/>
      <w:bookmarkStart w:id="738" w:name="_Toc198471091"/>
      <w:bookmarkStart w:id="739" w:name="_Toc198727129"/>
      <w:bookmarkStart w:id="740" w:name="_Toc198728244"/>
      <w:bookmarkStart w:id="741" w:name="_Toc198729359"/>
      <w:bookmarkStart w:id="742" w:name="_Toc198730474"/>
      <w:bookmarkStart w:id="743" w:name="_Toc198471092"/>
      <w:bookmarkStart w:id="744" w:name="_Toc198727130"/>
      <w:bookmarkStart w:id="745" w:name="_Toc198728245"/>
      <w:bookmarkStart w:id="746" w:name="_Toc198729360"/>
      <w:bookmarkStart w:id="747" w:name="_Toc198730475"/>
      <w:bookmarkStart w:id="748" w:name="_Toc198471093"/>
      <w:bookmarkStart w:id="749" w:name="_Toc198727131"/>
      <w:bookmarkStart w:id="750" w:name="_Toc198728246"/>
      <w:bookmarkStart w:id="751" w:name="_Toc198729361"/>
      <w:bookmarkStart w:id="752" w:name="_Toc198730476"/>
      <w:bookmarkStart w:id="753" w:name="_Toc198471094"/>
      <w:bookmarkStart w:id="754" w:name="_Toc198727132"/>
      <w:bookmarkStart w:id="755" w:name="_Toc198728247"/>
      <w:bookmarkStart w:id="756" w:name="_Toc198729362"/>
      <w:bookmarkStart w:id="757" w:name="_Toc198730477"/>
      <w:bookmarkStart w:id="758" w:name="_Toc198471095"/>
      <w:bookmarkStart w:id="759" w:name="_Toc198727133"/>
      <w:bookmarkStart w:id="760" w:name="_Toc198728248"/>
      <w:bookmarkStart w:id="761" w:name="_Toc198729363"/>
      <w:bookmarkStart w:id="762" w:name="_Toc198730478"/>
      <w:bookmarkStart w:id="763" w:name="_Toc198471096"/>
      <w:bookmarkStart w:id="764" w:name="_Toc198727134"/>
      <w:bookmarkStart w:id="765" w:name="_Toc198728249"/>
      <w:bookmarkStart w:id="766" w:name="_Toc198729364"/>
      <w:bookmarkStart w:id="767" w:name="_Toc198730479"/>
      <w:bookmarkStart w:id="768" w:name="_Toc198471097"/>
      <w:bookmarkStart w:id="769" w:name="_Toc198727135"/>
      <w:bookmarkStart w:id="770" w:name="_Toc198728250"/>
      <w:bookmarkStart w:id="771" w:name="_Toc198729365"/>
      <w:bookmarkStart w:id="772" w:name="_Toc198730480"/>
      <w:bookmarkStart w:id="773" w:name="_Toc198471098"/>
      <w:bookmarkStart w:id="774" w:name="_Toc198727136"/>
      <w:bookmarkStart w:id="775" w:name="_Toc198728251"/>
      <w:bookmarkStart w:id="776" w:name="_Toc198729366"/>
      <w:bookmarkStart w:id="777" w:name="_Toc198730481"/>
      <w:bookmarkStart w:id="778" w:name="_Toc198471099"/>
      <w:bookmarkStart w:id="779" w:name="_Toc198727137"/>
      <w:bookmarkStart w:id="780" w:name="_Toc198728252"/>
      <w:bookmarkStart w:id="781" w:name="_Toc198729367"/>
      <w:bookmarkStart w:id="782" w:name="_Toc198730482"/>
      <w:bookmarkStart w:id="783" w:name="_Toc198471100"/>
      <w:bookmarkStart w:id="784" w:name="_Toc198727138"/>
      <w:bookmarkStart w:id="785" w:name="_Toc198728253"/>
      <w:bookmarkStart w:id="786" w:name="_Toc198729368"/>
      <w:bookmarkStart w:id="787" w:name="_Toc198730483"/>
      <w:bookmarkStart w:id="788" w:name="_Toc198471101"/>
      <w:bookmarkStart w:id="789" w:name="_Toc198727139"/>
      <w:bookmarkStart w:id="790" w:name="_Toc198728254"/>
      <w:bookmarkStart w:id="791" w:name="_Toc198729369"/>
      <w:bookmarkStart w:id="792" w:name="_Toc198730484"/>
      <w:bookmarkStart w:id="793" w:name="_Toc198471102"/>
      <w:bookmarkStart w:id="794" w:name="_Toc198727140"/>
      <w:bookmarkStart w:id="795" w:name="_Toc198728255"/>
      <w:bookmarkStart w:id="796" w:name="_Toc198729370"/>
      <w:bookmarkStart w:id="797" w:name="_Toc198730485"/>
      <w:bookmarkStart w:id="798" w:name="_Toc198471103"/>
      <w:bookmarkStart w:id="799" w:name="_Toc198727141"/>
      <w:bookmarkStart w:id="800" w:name="_Toc198728256"/>
      <w:bookmarkStart w:id="801" w:name="_Toc198729371"/>
      <w:bookmarkStart w:id="802" w:name="_Toc198730486"/>
      <w:bookmarkStart w:id="803" w:name="_Toc198471104"/>
      <w:bookmarkStart w:id="804" w:name="_Toc198727142"/>
      <w:bookmarkStart w:id="805" w:name="_Toc198728257"/>
      <w:bookmarkStart w:id="806" w:name="_Toc198729372"/>
      <w:bookmarkStart w:id="807" w:name="_Toc198730487"/>
      <w:bookmarkStart w:id="808" w:name="_Toc198471105"/>
      <w:bookmarkStart w:id="809" w:name="_Toc198727143"/>
      <w:bookmarkStart w:id="810" w:name="_Toc198728258"/>
      <w:bookmarkStart w:id="811" w:name="_Toc198729373"/>
      <w:bookmarkStart w:id="812" w:name="_Toc198730488"/>
      <w:bookmarkStart w:id="813" w:name="_Toc198471106"/>
      <w:bookmarkStart w:id="814" w:name="_Toc198727144"/>
      <w:bookmarkStart w:id="815" w:name="_Toc198728259"/>
      <w:bookmarkStart w:id="816" w:name="_Toc198729374"/>
      <w:bookmarkStart w:id="817" w:name="_Toc198730489"/>
      <w:bookmarkStart w:id="818" w:name="_Toc198471107"/>
      <w:bookmarkStart w:id="819" w:name="_Toc198727145"/>
      <w:bookmarkStart w:id="820" w:name="_Toc198728260"/>
      <w:bookmarkStart w:id="821" w:name="_Toc198729375"/>
      <w:bookmarkStart w:id="822" w:name="_Toc198730490"/>
      <w:bookmarkStart w:id="823" w:name="_Toc198471108"/>
      <w:bookmarkStart w:id="824" w:name="_Toc198727146"/>
      <w:bookmarkStart w:id="825" w:name="_Toc198728261"/>
      <w:bookmarkStart w:id="826" w:name="_Toc198729376"/>
      <w:bookmarkStart w:id="827" w:name="_Toc198730491"/>
      <w:bookmarkStart w:id="828" w:name="_Toc198471109"/>
      <w:bookmarkStart w:id="829" w:name="_Toc198727147"/>
      <w:bookmarkStart w:id="830" w:name="_Toc198728262"/>
      <w:bookmarkStart w:id="831" w:name="_Toc198729377"/>
      <w:bookmarkStart w:id="832" w:name="_Toc198730492"/>
      <w:bookmarkStart w:id="833" w:name="_Toc198471113"/>
      <w:bookmarkStart w:id="834" w:name="_Toc198727151"/>
      <w:bookmarkStart w:id="835" w:name="_Toc198728266"/>
      <w:bookmarkStart w:id="836" w:name="_Toc198729381"/>
      <w:bookmarkStart w:id="837" w:name="_Toc198730496"/>
      <w:bookmarkStart w:id="838" w:name="_Toc198471114"/>
      <w:bookmarkStart w:id="839" w:name="_Toc198727152"/>
      <w:bookmarkStart w:id="840" w:name="_Toc198728267"/>
      <w:bookmarkStart w:id="841" w:name="_Toc198729382"/>
      <w:bookmarkStart w:id="842" w:name="_Toc198730497"/>
      <w:bookmarkStart w:id="843" w:name="_Toc198471115"/>
      <w:bookmarkStart w:id="844" w:name="_Toc198727153"/>
      <w:bookmarkStart w:id="845" w:name="_Toc198728268"/>
      <w:bookmarkStart w:id="846" w:name="_Toc198729383"/>
      <w:bookmarkStart w:id="847" w:name="_Toc198730498"/>
      <w:bookmarkStart w:id="848" w:name="_Toc198471116"/>
      <w:bookmarkStart w:id="849" w:name="_Toc198727154"/>
      <w:bookmarkStart w:id="850" w:name="_Toc198728269"/>
      <w:bookmarkStart w:id="851" w:name="_Toc198729384"/>
      <w:bookmarkStart w:id="852" w:name="_Toc198730499"/>
      <w:bookmarkStart w:id="853" w:name="_Toc198471117"/>
      <w:bookmarkStart w:id="854" w:name="_Toc198727155"/>
      <w:bookmarkStart w:id="855" w:name="_Toc198728270"/>
      <w:bookmarkStart w:id="856" w:name="_Toc198729385"/>
      <w:bookmarkStart w:id="857" w:name="_Toc198730500"/>
      <w:bookmarkStart w:id="858" w:name="_Toc198471118"/>
      <w:bookmarkStart w:id="859" w:name="_Toc198727156"/>
      <w:bookmarkStart w:id="860" w:name="_Toc198728271"/>
      <w:bookmarkStart w:id="861" w:name="_Toc198729386"/>
      <w:bookmarkStart w:id="862" w:name="_Toc198730501"/>
      <w:bookmarkStart w:id="863" w:name="_Toc198471120"/>
      <w:bookmarkStart w:id="864" w:name="_Toc198727158"/>
      <w:bookmarkStart w:id="865" w:name="_Toc198728273"/>
      <w:bookmarkStart w:id="866" w:name="_Toc198729388"/>
      <w:bookmarkStart w:id="867" w:name="_Toc198730503"/>
      <w:bookmarkStart w:id="868" w:name="_Toc198471121"/>
      <w:bookmarkStart w:id="869" w:name="_Toc198727159"/>
      <w:bookmarkStart w:id="870" w:name="_Toc198728274"/>
      <w:bookmarkStart w:id="871" w:name="_Toc198729389"/>
      <w:bookmarkStart w:id="872" w:name="_Toc198730504"/>
      <w:bookmarkStart w:id="873" w:name="_Toc198471122"/>
      <w:bookmarkStart w:id="874" w:name="_Toc198727160"/>
      <w:bookmarkStart w:id="875" w:name="_Toc198728275"/>
      <w:bookmarkStart w:id="876" w:name="_Toc198729390"/>
      <w:bookmarkStart w:id="877" w:name="_Toc198730505"/>
      <w:bookmarkStart w:id="878" w:name="_Toc198471123"/>
      <w:bookmarkStart w:id="879" w:name="_Toc198727161"/>
      <w:bookmarkStart w:id="880" w:name="_Toc198728276"/>
      <w:bookmarkStart w:id="881" w:name="_Toc198729391"/>
      <w:bookmarkStart w:id="882" w:name="_Toc198730506"/>
      <w:bookmarkStart w:id="883" w:name="_Toc198471124"/>
      <w:bookmarkStart w:id="884" w:name="_Toc198727162"/>
      <w:bookmarkStart w:id="885" w:name="_Toc198728277"/>
      <w:bookmarkStart w:id="886" w:name="_Toc198729392"/>
      <w:bookmarkStart w:id="887" w:name="_Toc198730507"/>
      <w:bookmarkStart w:id="888" w:name="_Toc198471125"/>
      <w:bookmarkStart w:id="889" w:name="_Toc198727163"/>
      <w:bookmarkStart w:id="890" w:name="_Toc198728278"/>
      <w:bookmarkStart w:id="891" w:name="_Toc198729393"/>
      <w:bookmarkStart w:id="892" w:name="_Toc198730508"/>
      <w:bookmarkStart w:id="893" w:name="_Toc198471126"/>
      <w:bookmarkStart w:id="894" w:name="_Toc198727164"/>
      <w:bookmarkStart w:id="895" w:name="_Toc198728279"/>
      <w:bookmarkStart w:id="896" w:name="_Toc198729394"/>
      <w:bookmarkStart w:id="897" w:name="_Toc198730509"/>
      <w:bookmarkStart w:id="898" w:name="_Toc198471127"/>
      <w:bookmarkStart w:id="899" w:name="_Toc198727165"/>
      <w:bookmarkStart w:id="900" w:name="_Toc198728280"/>
      <w:bookmarkStart w:id="901" w:name="_Toc198729395"/>
      <w:bookmarkStart w:id="902" w:name="_Toc198730510"/>
      <w:bookmarkStart w:id="903" w:name="_Toc198471128"/>
      <w:bookmarkStart w:id="904" w:name="_Toc198727166"/>
      <w:bookmarkStart w:id="905" w:name="_Toc198728281"/>
      <w:bookmarkStart w:id="906" w:name="_Toc198729396"/>
      <w:bookmarkStart w:id="907" w:name="_Toc198730511"/>
      <w:bookmarkStart w:id="908" w:name="_Toc198471129"/>
      <w:bookmarkStart w:id="909" w:name="_Toc198727167"/>
      <w:bookmarkStart w:id="910" w:name="_Toc198728282"/>
      <w:bookmarkStart w:id="911" w:name="_Toc198729397"/>
      <w:bookmarkStart w:id="912" w:name="_Toc198730512"/>
      <w:bookmarkStart w:id="913" w:name="_Toc198471130"/>
      <w:bookmarkStart w:id="914" w:name="_Toc198727168"/>
      <w:bookmarkStart w:id="915" w:name="_Toc198728283"/>
      <w:bookmarkStart w:id="916" w:name="_Toc198729398"/>
      <w:bookmarkStart w:id="917" w:name="_Toc198730513"/>
      <w:bookmarkStart w:id="918" w:name="_Toc198471131"/>
      <w:bookmarkStart w:id="919" w:name="_Toc198727169"/>
      <w:bookmarkStart w:id="920" w:name="_Toc198728284"/>
      <w:bookmarkStart w:id="921" w:name="_Toc198729399"/>
      <w:bookmarkStart w:id="922" w:name="_Toc198730514"/>
      <w:bookmarkStart w:id="923" w:name="_Toc198471132"/>
      <w:bookmarkStart w:id="924" w:name="_Toc198727170"/>
      <w:bookmarkStart w:id="925" w:name="_Toc198728285"/>
      <w:bookmarkStart w:id="926" w:name="_Toc198729400"/>
      <w:bookmarkStart w:id="927" w:name="_Toc198730515"/>
      <w:bookmarkStart w:id="928" w:name="_Toc198471133"/>
      <w:bookmarkStart w:id="929" w:name="_Toc198727171"/>
      <w:bookmarkStart w:id="930" w:name="_Toc198728286"/>
      <w:bookmarkStart w:id="931" w:name="_Toc198729401"/>
      <w:bookmarkStart w:id="932" w:name="_Toc198730516"/>
      <w:bookmarkStart w:id="933" w:name="_Toc198471134"/>
      <w:bookmarkStart w:id="934" w:name="_Toc198727172"/>
      <w:bookmarkStart w:id="935" w:name="_Toc198728287"/>
      <w:bookmarkStart w:id="936" w:name="_Toc198729402"/>
      <w:bookmarkStart w:id="937" w:name="_Toc198730517"/>
      <w:bookmarkStart w:id="938" w:name="_Toc198471135"/>
      <w:bookmarkStart w:id="939" w:name="_Toc198727173"/>
      <w:bookmarkStart w:id="940" w:name="_Toc198728288"/>
      <w:bookmarkStart w:id="941" w:name="_Toc198729403"/>
      <w:bookmarkStart w:id="942" w:name="_Toc198730518"/>
      <w:bookmarkStart w:id="943" w:name="_Toc198471136"/>
      <w:bookmarkStart w:id="944" w:name="_Toc198727174"/>
      <w:bookmarkStart w:id="945" w:name="_Toc198728289"/>
      <w:bookmarkStart w:id="946" w:name="_Toc198729404"/>
      <w:bookmarkStart w:id="947" w:name="_Toc198730519"/>
      <w:bookmarkStart w:id="948" w:name="_Toc198471137"/>
      <w:bookmarkStart w:id="949" w:name="_Toc198727175"/>
      <w:bookmarkStart w:id="950" w:name="_Toc198728290"/>
      <w:bookmarkStart w:id="951" w:name="_Toc198729405"/>
      <w:bookmarkStart w:id="952" w:name="_Toc198730520"/>
      <w:bookmarkStart w:id="953" w:name="_Toc198471138"/>
      <w:bookmarkStart w:id="954" w:name="_Toc198727176"/>
      <w:bookmarkStart w:id="955" w:name="_Toc198728291"/>
      <w:bookmarkStart w:id="956" w:name="_Toc198729406"/>
      <w:bookmarkStart w:id="957" w:name="_Toc198730521"/>
      <w:bookmarkStart w:id="958" w:name="_Toc198471139"/>
      <w:bookmarkStart w:id="959" w:name="_Toc198727177"/>
      <w:bookmarkStart w:id="960" w:name="_Toc198728292"/>
      <w:bookmarkStart w:id="961" w:name="_Toc198729407"/>
      <w:bookmarkStart w:id="962" w:name="_Toc198730522"/>
      <w:bookmarkStart w:id="963" w:name="_Toc198471140"/>
      <w:bookmarkStart w:id="964" w:name="_Toc198727178"/>
      <w:bookmarkStart w:id="965" w:name="_Toc198728293"/>
      <w:bookmarkStart w:id="966" w:name="_Toc198729408"/>
      <w:bookmarkStart w:id="967" w:name="_Toc198730523"/>
      <w:bookmarkStart w:id="968" w:name="_Toc198471141"/>
      <w:bookmarkStart w:id="969" w:name="_Toc198727179"/>
      <w:bookmarkStart w:id="970" w:name="_Toc198728294"/>
      <w:bookmarkStart w:id="971" w:name="_Toc198729409"/>
      <w:bookmarkStart w:id="972" w:name="_Toc198730524"/>
      <w:bookmarkStart w:id="973" w:name="_Toc198471142"/>
      <w:bookmarkStart w:id="974" w:name="_Toc198727180"/>
      <w:bookmarkStart w:id="975" w:name="_Toc198728295"/>
      <w:bookmarkStart w:id="976" w:name="_Toc198729410"/>
      <w:bookmarkStart w:id="977" w:name="_Toc198730525"/>
      <w:bookmarkStart w:id="978" w:name="_Toc198471143"/>
      <w:bookmarkStart w:id="979" w:name="_Toc198727181"/>
      <w:bookmarkStart w:id="980" w:name="_Toc198728296"/>
      <w:bookmarkStart w:id="981" w:name="_Toc198729411"/>
      <w:bookmarkStart w:id="982" w:name="_Toc198730526"/>
      <w:bookmarkStart w:id="983" w:name="_Toc198471144"/>
      <w:bookmarkStart w:id="984" w:name="_Toc198727182"/>
      <w:bookmarkStart w:id="985" w:name="_Toc198728297"/>
      <w:bookmarkStart w:id="986" w:name="_Toc198729412"/>
      <w:bookmarkStart w:id="987" w:name="_Toc198730527"/>
      <w:bookmarkStart w:id="988" w:name="_Toc198471145"/>
      <w:bookmarkStart w:id="989" w:name="_Toc198727183"/>
      <w:bookmarkStart w:id="990" w:name="_Toc198728298"/>
      <w:bookmarkStart w:id="991" w:name="_Toc198729413"/>
      <w:bookmarkStart w:id="992" w:name="_Toc198730528"/>
      <w:bookmarkStart w:id="993" w:name="_Toc198471146"/>
      <w:bookmarkStart w:id="994" w:name="_Toc198727184"/>
      <w:bookmarkStart w:id="995" w:name="_Toc198728299"/>
      <w:bookmarkStart w:id="996" w:name="_Toc198729414"/>
      <w:bookmarkStart w:id="997" w:name="_Toc198730529"/>
      <w:bookmarkStart w:id="998" w:name="_Toc198471147"/>
      <w:bookmarkStart w:id="999" w:name="_Toc198727185"/>
      <w:bookmarkStart w:id="1000" w:name="_Toc198728300"/>
      <w:bookmarkStart w:id="1001" w:name="_Toc198729415"/>
      <w:bookmarkStart w:id="1002" w:name="_Toc198730530"/>
      <w:bookmarkStart w:id="1003" w:name="_Toc198471148"/>
      <w:bookmarkStart w:id="1004" w:name="_Toc198727186"/>
      <w:bookmarkStart w:id="1005" w:name="_Toc198728301"/>
      <w:bookmarkStart w:id="1006" w:name="_Toc198729416"/>
      <w:bookmarkStart w:id="1007" w:name="_Toc198730531"/>
      <w:bookmarkStart w:id="1008" w:name="_Toc198471149"/>
      <w:bookmarkStart w:id="1009" w:name="_Toc198727187"/>
      <w:bookmarkStart w:id="1010" w:name="_Toc198728302"/>
      <w:bookmarkStart w:id="1011" w:name="_Toc198729417"/>
      <w:bookmarkStart w:id="1012" w:name="_Toc198730532"/>
      <w:bookmarkStart w:id="1013" w:name="_Toc198471150"/>
      <w:bookmarkStart w:id="1014" w:name="_Toc198727188"/>
      <w:bookmarkStart w:id="1015" w:name="_Toc198728303"/>
      <w:bookmarkStart w:id="1016" w:name="_Toc198729418"/>
      <w:bookmarkStart w:id="1017" w:name="_Toc198730533"/>
      <w:bookmarkStart w:id="1018" w:name="_Toc198471151"/>
      <w:bookmarkStart w:id="1019" w:name="_Toc198727189"/>
      <w:bookmarkStart w:id="1020" w:name="_Toc198728304"/>
      <w:bookmarkStart w:id="1021" w:name="_Toc198729419"/>
      <w:bookmarkStart w:id="1022" w:name="_Toc198730534"/>
      <w:bookmarkStart w:id="1023" w:name="_Toc198471152"/>
      <w:bookmarkStart w:id="1024" w:name="_Toc198727190"/>
      <w:bookmarkStart w:id="1025" w:name="_Toc198728305"/>
      <w:bookmarkStart w:id="1026" w:name="_Toc198729420"/>
      <w:bookmarkStart w:id="1027" w:name="_Toc198730535"/>
      <w:bookmarkStart w:id="1028" w:name="_Toc198471153"/>
      <w:bookmarkStart w:id="1029" w:name="_Toc198727191"/>
      <w:bookmarkStart w:id="1030" w:name="_Toc198728306"/>
      <w:bookmarkStart w:id="1031" w:name="_Toc198729421"/>
      <w:bookmarkStart w:id="1032" w:name="_Toc198730536"/>
      <w:bookmarkStart w:id="1033" w:name="_Toc198471154"/>
      <w:bookmarkStart w:id="1034" w:name="_Toc198727192"/>
      <w:bookmarkStart w:id="1035" w:name="_Toc198728307"/>
      <w:bookmarkStart w:id="1036" w:name="_Toc198729422"/>
      <w:bookmarkStart w:id="1037" w:name="_Toc198730537"/>
      <w:bookmarkStart w:id="1038" w:name="_Toc198471155"/>
      <w:bookmarkStart w:id="1039" w:name="_Toc198727193"/>
      <w:bookmarkStart w:id="1040" w:name="_Toc198728308"/>
      <w:bookmarkStart w:id="1041" w:name="_Toc198729423"/>
      <w:bookmarkStart w:id="1042" w:name="_Toc198730538"/>
      <w:bookmarkStart w:id="1043" w:name="_Toc198471156"/>
      <w:bookmarkStart w:id="1044" w:name="_Toc198727194"/>
      <w:bookmarkStart w:id="1045" w:name="_Toc198728309"/>
      <w:bookmarkStart w:id="1046" w:name="_Toc198729424"/>
      <w:bookmarkStart w:id="1047" w:name="_Toc198730539"/>
      <w:bookmarkStart w:id="1048" w:name="_Toc198471157"/>
      <w:bookmarkStart w:id="1049" w:name="_Toc198727195"/>
      <w:bookmarkStart w:id="1050" w:name="_Toc198728310"/>
      <w:bookmarkStart w:id="1051" w:name="_Toc198729425"/>
      <w:bookmarkStart w:id="1052" w:name="_Toc198730540"/>
      <w:bookmarkStart w:id="1053" w:name="_Toc198471158"/>
      <w:bookmarkStart w:id="1054" w:name="_Toc198727196"/>
      <w:bookmarkStart w:id="1055" w:name="_Toc198728311"/>
      <w:bookmarkStart w:id="1056" w:name="_Toc198729426"/>
      <w:bookmarkStart w:id="1057" w:name="_Toc198730541"/>
      <w:bookmarkStart w:id="1058" w:name="_Toc198471159"/>
      <w:bookmarkStart w:id="1059" w:name="_Toc198727197"/>
      <w:bookmarkStart w:id="1060" w:name="_Toc198728312"/>
      <w:bookmarkStart w:id="1061" w:name="_Toc198729427"/>
      <w:bookmarkStart w:id="1062" w:name="_Toc198730542"/>
      <w:bookmarkStart w:id="1063" w:name="_Toc198471160"/>
      <w:bookmarkStart w:id="1064" w:name="_Toc198727198"/>
      <w:bookmarkStart w:id="1065" w:name="_Toc198728313"/>
      <w:bookmarkStart w:id="1066" w:name="_Toc198729428"/>
      <w:bookmarkStart w:id="1067" w:name="_Toc198730543"/>
      <w:bookmarkStart w:id="1068" w:name="_Toc198471161"/>
      <w:bookmarkStart w:id="1069" w:name="_Toc198727199"/>
      <w:bookmarkStart w:id="1070" w:name="_Toc198728314"/>
      <w:bookmarkStart w:id="1071" w:name="_Toc198729429"/>
      <w:bookmarkStart w:id="1072" w:name="_Toc198730544"/>
      <w:bookmarkStart w:id="1073" w:name="_Toc198471162"/>
      <w:bookmarkStart w:id="1074" w:name="_Toc198727200"/>
      <w:bookmarkStart w:id="1075" w:name="_Toc198728315"/>
      <w:bookmarkStart w:id="1076" w:name="_Toc198729430"/>
      <w:bookmarkStart w:id="1077" w:name="_Toc198730545"/>
      <w:bookmarkStart w:id="1078" w:name="_Toc198471163"/>
      <w:bookmarkStart w:id="1079" w:name="_Toc198727201"/>
      <w:bookmarkStart w:id="1080" w:name="_Toc198728316"/>
      <w:bookmarkStart w:id="1081" w:name="_Toc198729431"/>
      <w:bookmarkStart w:id="1082" w:name="_Toc198730546"/>
      <w:bookmarkStart w:id="1083" w:name="_Toc198471164"/>
      <w:bookmarkStart w:id="1084" w:name="_Toc198727202"/>
      <w:bookmarkStart w:id="1085" w:name="_Toc198728317"/>
      <w:bookmarkStart w:id="1086" w:name="_Toc198729432"/>
      <w:bookmarkStart w:id="1087" w:name="_Toc198730547"/>
      <w:bookmarkStart w:id="1088" w:name="_Toc198471165"/>
      <w:bookmarkStart w:id="1089" w:name="_Toc198727203"/>
      <w:bookmarkStart w:id="1090" w:name="_Toc198728318"/>
      <w:bookmarkStart w:id="1091" w:name="_Toc198729433"/>
      <w:bookmarkStart w:id="1092" w:name="_Toc198730548"/>
      <w:bookmarkStart w:id="1093" w:name="_Toc198471166"/>
      <w:bookmarkStart w:id="1094" w:name="_Toc198727204"/>
      <w:bookmarkStart w:id="1095" w:name="_Toc198728319"/>
      <w:bookmarkStart w:id="1096" w:name="_Toc198729434"/>
      <w:bookmarkStart w:id="1097" w:name="_Toc198730549"/>
      <w:bookmarkStart w:id="1098" w:name="_Toc198471167"/>
      <w:bookmarkStart w:id="1099" w:name="_Toc198727205"/>
      <w:bookmarkStart w:id="1100" w:name="_Toc198728320"/>
      <w:bookmarkStart w:id="1101" w:name="_Toc198729435"/>
      <w:bookmarkStart w:id="1102" w:name="_Toc198730550"/>
      <w:bookmarkStart w:id="1103" w:name="_Toc198471168"/>
      <w:bookmarkStart w:id="1104" w:name="_Toc198727206"/>
      <w:bookmarkStart w:id="1105" w:name="_Toc198728321"/>
      <w:bookmarkStart w:id="1106" w:name="_Toc198729436"/>
      <w:bookmarkStart w:id="1107" w:name="_Toc198730551"/>
      <w:bookmarkStart w:id="1108" w:name="_Toc198471169"/>
      <w:bookmarkStart w:id="1109" w:name="_Toc198727207"/>
      <w:bookmarkStart w:id="1110" w:name="_Toc198728322"/>
      <w:bookmarkStart w:id="1111" w:name="_Toc198729437"/>
      <w:bookmarkStart w:id="1112" w:name="_Toc198730552"/>
      <w:bookmarkStart w:id="1113" w:name="_Toc198471170"/>
      <w:bookmarkStart w:id="1114" w:name="_Toc198727208"/>
      <w:bookmarkStart w:id="1115" w:name="_Toc198728323"/>
      <w:bookmarkStart w:id="1116" w:name="_Toc198729438"/>
      <w:bookmarkStart w:id="1117" w:name="_Toc198730553"/>
      <w:bookmarkStart w:id="1118" w:name="_Toc198471171"/>
      <w:bookmarkStart w:id="1119" w:name="_Toc198727209"/>
      <w:bookmarkStart w:id="1120" w:name="_Toc198728324"/>
      <w:bookmarkStart w:id="1121" w:name="_Toc198729439"/>
      <w:bookmarkStart w:id="1122" w:name="_Toc198730554"/>
      <w:bookmarkStart w:id="1123" w:name="_Toc198471172"/>
      <w:bookmarkStart w:id="1124" w:name="_Toc198727210"/>
      <w:bookmarkStart w:id="1125" w:name="_Toc198728325"/>
      <w:bookmarkStart w:id="1126" w:name="_Toc198729440"/>
      <w:bookmarkStart w:id="1127" w:name="_Toc198730555"/>
      <w:bookmarkStart w:id="1128" w:name="_Toc198471173"/>
      <w:bookmarkStart w:id="1129" w:name="_Toc198727211"/>
      <w:bookmarkStart w:id="1130" w:name="_Toc198728326"/>
      <w:bookmarkStart w:id="1131" w:name="_Toc198729441"/>
      <w:bookmarkStart w:id="1132" w:name="_Toc198730556"/>
      <w:bookmarkStart w:id="1133" w:name="_Toc198471174"/>
      <w:bookmarkStart w:id="1134" w:name="_Toc198727212"/>
      <w:bookmarkStart w:id="1135" w:name="_Toc198728327"/>
      <w:bookmarkStart w:id="1136" w:name="_Toc198729442"/>
      <w:bookmarkStart w:id="1137" w:name="_Toc198730557"/>
      <w:bookmarkStart w:id="1138" w:name="_Toc198471175"/>
      <w:bookmarkStart w:id="1139" w:name="_Toc198727213"/>
      <w:bookmarkStart w:id="1140" w:name="_Toc198728328"/>
      <w:bookmarkStart w:id="1141" w:name="_Toc198729443"/>
      <w:bookmarkStart w:id="1142" w:name="_Toc198730558"/>
      <w:bookmarkStart w:id="1143" w:name="_Toc198471176"/>
      <w:bookmarkStart w:id="1144" w:name="_Toc198727214"/>
      <w:bookmarkStart w:id="1145" w:name="_Toc198728329"/>
      <w:bookmarkStart w:id="1146" w:name="_Toc198729444"/>
      <w:bookmarkStart w:id="1147" w:name="_Toc198730559"/>
      <w:bookmarkStart w:id="1148" w:name="_Toc198471177"/>
      <w:bookmarkStart w:id="1149" w:name="_Toc198727215"/>
      <w:bookmarkStart w:id="1150" w:name="_Toc198728330"/>
      <w:bookmarkStart w:id="1151" w:name="_Toc198729445"/>
      <w:bookmarkStart w:id="1152" w:name="_Toc198730560"/>
      <w:bookmarkStart w:id="1153" w:name="_Toc198471178"/>
      <w:bookmarkStart w:id="1154" w:name="_Toc198727216"/>
      <w:bookmarkStart w:id="1155" w:name="_Toc198728331"/>
      <w:bookmarkStart w:id="1156" w:name="_Toc198729446"/>
      <w:bookmarkStart w:id="1157" w:name="_Toc198730561"/>
      <w:bookmarkStart w:id="1158" w:name="_Toc198471179"/>
      <w:bookmarkStart w:id="1159" w:name="_Toc198727217"/>
      <w:bookmarkStart w:id="1160" w:name="_Toc198728332"/>
      <w:bookmarkStart w:id="1161" w:name="_Toc198729447"/>
      <w:bookmarkStart w:id="1162" w:name="_Toc198730562"/>
      <w:bookmarkStart w:id="1163" w:name="_Toc198471180"/>
      <w:bookmarkStart w:id="1164" w:name="_Toc198727218"/>
      <w:bookmarkStart w:id="1165" w:name="_Toc198728333"/>
      <w:bookmarkStart w:id="1166" w:name="_Toc198729448"/>
      <w:bookmarkStart w:id="1167" w:name="_Toc198730563"/>
      <w:bookmarkStart w:id="1168" w:name="_Toc198471181"/>
      <w:bookmarkStart w:id="1169" w:name="_Toc198727219"/>
      <w:bookmarkStart w:id="1170" w:name="_Toc198728334"/>
      <w:bookmarkStart w:id="1171" w:name="_Toc198729449"/>
      <w:bookmarkStart w:id="1172" w:name="_Toc198730564"/>
      <w:bookmarkStart w:id="1173" w:name="_Toc198471182"/>
      <w:bookmarkStart w:id="1174" w:name="_Toc198727220"/>
      <w:bookmarkStart w:id="1175" w:name="_Toc198728335"/>
      <w:bookmarkStart w:id="1176" w:name="_Toc198729450"/>
      <w:bookmarkStart w:id="1177" w:name="_Toc198730565"/>
      <w:bookmarkStart w:id="1178" w:name="_Toc198471183"/>
      <w:bookmarkStart w:id="1179" w:name="_Toc198727221"/>
      <w:bookmarkStart w:id="1180" w:name="_Toc198728336"/>
      <w:bookmarkStart w:id="1181" w:name="_Toc198729451"/>
      <w:bookmarkStart w:id="1182" w:name="_Toc198730566"/>
      <w:bookmarkStart w:id="1183" w:name="_Toc198471184"/>
      <w:bookmarkStart w:id="1184" w:name="_Toc198727222"/>
      <w:bookmarkStart w:id="1185" w:name="_Toc198728337"/>
      <w:bookmarkStart w:id="1186" w:name="_Toc198729452"/>
      <w:bookmarkStart w:id="1187" w:name="_Toc198730567"/>
      <w:bookmarkStart w:id="1188" w:name="_Toc198471185"/>
      <w:bookmarkStart w:id="1189" w:name="_Toc198727223"/>
      <w:bookmarkStart w:id="1190" w:name="_Toc198728338"/>
      <w:bookmarkStart w:id="1191" w:name="_Toc198729453"/>
      <w:bookmarkStart w:id="1192" w:name="_Toc198730568"/>
      <w:bookmarkStart w:id="1193" w:name="_Toc198471186"/>
      <w:bookmarkStart w:id="1194" w:name="_Toc198727224"/>
      <w:bookmarkStart w:id="1195" w:name="_Toc198728339"/>
      <w:bookmarkStart w:id="1196" w:name="_Toc198729454"/>
      <w:bookmarkStart w:id="1197" w:name="_Toc198730569"/>
      <w:bookmarkStart w:id="1198" w:name="_Toc198471187"/>
      <w:bookmarkStart w:id="1199" w:name="_Toc198727225"/>
      <w:bookmarkStart w:id="1200" w:name="_Toc198728340"/>
      <w:bookmarkStart w:id="1201" w:name="_Toc198729455"/>
      <w:bookmarkStart w:id="1202" w:name="_Toc198730570"/>
      <w:bookmarkStart w:id="1203" w:name="_Toc198471188"/>
      <w:bookmarkStart w:id="1204" w:name="_Toc198727226"/>
      <w:bookmarkStart w:id="1205" w:name="_Toc198728341"/>
      <w:bookmarkStart w:id="1206" w:name="_Toc198729456"/>
      <w:bookmarkStart w:id="1207" w:name="_Toc198730571"/>
      <w:bookmarkStart w:id="1208" w:name="_Toc198471189"/>
      <w:bookmarkStart w:id="1209" w:name="_Toc198727227"/>
      <w:bookmarkStart w:id="1210" w:name="_Toc198728342"/>
      <w:bookmarkStart w:id="1211" w:name="_Toc198729457"/>
      <w:bookmarkStart w:id="1212" w:name="_Toc198730572"/>
      <w:bookmarkStart w:id="1213" w:name="_Toc198471190"/>
      <w:bookmarkStart w:id="1214" w:name="_Toc198727228"/>
      <w:bookmarkStart w:id="1215" w:name="_Toc198728343"/>
      <w:bookmarkStart w:id="1216" w:name="_Toc198729458"/>
      <w:bookmarkStart w:id="1217" w:name="_Toc198730573"/>
      <w:bookmarkStart w:id="1218" w:name="_Toc198471191"/>
      <w:bookmarkStart w:id="1219" w:name="_Toc198727229"/>
      <w:bookmarkStart w:id="1220" w:name="_Toc198728344"/>
      <w:bookmarkStart w:id="1221" w:name="_Toc198729459"/>
      <w:bookmarkStart w:id="1222" w:name="_Toc198730574"/>
      <w:bookmarkStart w:id="1223" w:name="_Toc198471192"/>
      <w:bookmarkStart w:id="1224" w:name="_Toc198727230"/>
      <w:bookmarkStart w:id="1225" w:name="_Toc198728345"/>
      <w:bookmarkStart w:id="1226" w:name="_Toc198729460"/>
      <w:bookmarkStart w:id="1227" w:name="_Toc198730575"/>
      <w:bookmarkStart w:id="1228" w:name="_Toc198471193"/>
      <w:bookmarkStart w:id="1229" w:name="_Toc198727231"/>
      <w:bookmarkStart w:id="1230" w:name="_Toc198728346"/>
      <w:bookmarkStart w:id="1231" w:name="_Toc198729461"/>
      <w:bookmarkStart w:id="1232" w:name="_Toc198730576"/>
      <w:bookmarkStart w:id="1233" w:name="_Toc198471194"/>
      <w:bookmarkStart w:id="1234" w:name="_Toc198727232"/>
      <w:bookmarkStart w:id="1235" w:name="_Toc198728347"/>
      <w:bookmarkStart w:id="1236" w:name="_Toc198729462"/>
      <w:bookmarkStart w:id="1237" w:name="_Toc198730577"/>
      <w:bookmarkStart w:id="1238" w:name="_Toc198471195"/>
      <w:bookmarkStart w:id="1239" w:name="_Toc198727233"/>
      <w:bookmarkStart w:id="1240" w:name="_Toc198728348"/>
      <w:bookmarkStart w:id="1241" w:name="_Toc198729463"/>
      <w:bookmarkStart w:id="1242" w:name="_Toc198730578"/>
      <w:bookmarkStart w:id="1243" w:name="_Toc198471196"/>
      <w:bookmarkStart w:id="1244" w:name="_Toc198727234"/>
      <w:bookmarkStart w:id="1245" w:name="_Toc198728349"/>
      <w:bookmarkStart w:id="1246" w:name="_Toc198729464"/>
      <w:bookmarkStart w:id="1247" w:name="_Toc198730579"/>
      <w:bookmarkStart w:id="1248" w:name="_Toc198471197"/>
      <w:bookmarkStart w:id="1249" w:name="_Toc198727235"/>
      <w:bookmarkStart w:id="1250" w:name="_Toc198728350"/>
      <w:bookmarkStart w:id="1251" w:name="_Toc198729465"/>
      <w:bookmarkStart w:id="1252" w:name="_Toc198730580"/>
      <w:bookmarkStart w:id="1253" w:name="_Toc198471198"/>
      <w:bookmarkStart w:id="1254" w:name="_Toc198727236"/>
      <w:bookmarkStart w:id="1255" w:name="_Toc198728351"/>
      <w:bookmarkStart w:id="1256" w:name="_Toc198729466"/>
      <w:bookmarkStart w:id="1257" w:name="_Toc198730581"/>
      <w:bookmarkStart w:id="1258" w:name="_Toc198471199"/>
      <w:bookmarkStart w:id="1259" w:name="_Toc198727237"/>
      <w:bookmarkStart w:id="1260" w:name="_Toc198728352"/>
      <w:bookmarkStart w:id="1261" w:name="_Toc198729467"/>
      <w:bookmarkStart w:id="1262" w:name="_Toc198730582"/>
      <w:bookmarkStart w:id="1263" w:name="_Toc198471200"/>
      <w:bookmarkStart w:id="1264" w:name="_Toc198727238"/>
      <w:bookmarkStart w:id="1265" w:name="_Toc198728353"/>
      <w:bookmarkStart w:id="1266" w:name="_Toc198729468"/>
      <w:bookmarkStart w:id="1267" w:name="_Toc198730583"/>
      <w:bookmarkStart w:id="1268" w:name="_Toc198471201"/>
      <w:bookmarkStart w:id="1269" w:name="_Toc198727239"/>
      <w:bookmarkStart w:id="1270" w:name="_Toc198728354"/>
      <w:bookmarkStart w:id="1271" w:name="_Toc198729469"/>
      <w:bookmarkStart w:id="1272" w:name="_Toc198730584"/>
      <w:bookmarkStart w:id="1273" w:name="_Toc198471202"/>
      <w:bookmarkStart w:id="1274" w:name="_Toc198727240"/>
      <w:bookmarkStart w:id="1275" w:name="_Toc198728355"/>
      <w:bookmarkStart w:id="1276" w:name="_Toc198729470"/>
      <w:bookmarkStart w:id="1277" w:name="_Toc198730585"/>
      <w:bookmarkStart w:id="1278" w:name="_Toc198471203"/>
      <w:bookmarkStart w:id="1279" w:name="_Toc198727241"/>
      <w:bookmarkStart w:id="1280" w:name="_Toc198728356"/>
      <w:bookmarkStart w:id="1281" w:name="_Toc198729471"/>
      <w:bookmarkStart w:id="1282" w:name="_Toc198730586"/>
      <w:bookmarkStart w:id="1283" w:name="_Toc198471204"/>
      <w:bookmarkStart w:id="1284" w:name="_Toc198727242"/>
      <w:bookmarkStart w:id="1285" w:name="_Toc198728357"/>
      <w:bookmarkStart w:id="1286" w:name="_Toc198729472"/>
      <w:bookmarkStart w:id="1287" w:name="_Toc198730587"/>
      <w:bookmarkStart w:id="1288" w:name="_Toc198471205"/>
      <w:bookmarkStart w:id="1289" w:name="_Toc198727243"/>
      <w:bookmarkStart w:id="1290" w:name="_Toc198728358"/>
      <w:bookmarkStart w:id="1291" w:name="_Toc198729473"/>
      <w:bookmarkStart w:id="1292" w:name="_Toc198730588"/>
      <w:bookmarkStart w:id="1293" w:name="_Toc198471284"/>
      <w:bookmarkStart w:id="1294" w:name="_Toc198727322"/>
      <w:bookmarkStart w:id="1295" w:name="_Toc198728437"/>
      <w:bookmarkStart w:id="1296" w:name="_Toc198729552"/>
      <w:bookmarkStart w:id="1297" w:name="_Toc198730667"/>
      <w:bookmarkStart w:id="1298" w:name="_Toc198471285"/>
      <w:bookmarkStart w:id="1299" w:name="_Toc198727323"/>
      <w:bookmarkStart w:id="1300" w:name="_Toc198728438"/>
      <w:bookmarkStart w:id="1301" w:name="_Toc198729553"/>
      <w:bookmarkStart w:id="1302" w:name="_Toc198730668"/>
      <w:bookmarkStart w:id="1303" w:name="_Toc198471367"/>
      <w:bookmarkStart w:id="1304" w:name="_Toc198727405"/>
      <w:bookmarkStart w:id="1305" w:name="_Toc198728520"/>
      <w:bookmarkStart w:id="1306" w:name="_Toc198729635"/>
      <w:bookmarkStart w:id="1307" w:name="_Toc198730750"/>
      <w:bookmarkStart w:id="1308" w:name="_Toc198471368"/>
      <w:bookmarkStart w:id="1309" w:name="_Toc198727406"/>
      <w:bookmarkStart w:id="1310" w:name="_Toc198728521"/>
      <w:bookmarkStart w:id="1311" w:name="_Toc198729636"/>
      <w:bookmarkStart w:id="1312" w:name="_Toc198730751"/>
      <w:bookmarkStart w:id="1313" w:name="_Toc198471369"/>
      <w:bookmarkStart w:id="1314" w:name="_Toc198727407"/>
      <w:bookmarkStart w:id="1315" w:name="_Toc198728522"/>
      <w:bookmarkStart w:id="1316" w:name="_Toc198729637"/>
      <w:bookmarkStart w:id="1317" w:name="_Toc198730752"/>
      <w:bookmarkStart w:id="1318" w:name="_Toc198471370"/>
      <w:bookmarkStart w:id="1319" w:name="_Toc198727408"/>
      <w:bookmarkStart w:id="1320" w:name="_Toc198728523"/>
      <w:bookmarkStart w:id="1321" w:name="_Toc198729638"/>
      <w:bookmarkStart w:id="1322" w:name="_Toc198730753"/>
      <w:bookmarkStart w:id="1323" w:name="_Toc198471371"/>
      <w:bookmarkStart w:id="1324" w:name="_Toc198727409"/>
      <w:bookmarkStart w:id="1325" w:name="_Toc198728524"/>
      <w:bookmarkStart w:id="1326" w:name="_Toc198729639"/>
      <w:bookmarkStart w:id="1327" w:name="_Toc198730754"/>
      <w:bookmarkStart w:id="1328" w:name="_Toc198471372"/>
      <w:bookmarkStart w:id="1329" w:name="_Toc198727410"/>
      <w:bookmarkStart w:id="1330" w:name="_Toc198728525"/>
      <w:bookmarkStart w:id="1331" w:name="_Toc198729640"/>
      <w:bookmarkStart w:id="1332" w:name="_Toc198730755"/>
      <w:bookmarkStart w:id="1333" w:name="_Toc198471373"/>
      <w:bookmarkStart w:id="1334" w:name="_Toc198727411"/>
      <w:bookmarkStart w:id="1335" w:name="_Toc198728526"/>
      <w:bookmarkStart w:id="1336" w:name="_Toc198729641"/>
      <w:bookmarkStart w:id="1337" w:name="_Toc198730756"/>
      <w:bookmarkStart w:id="1338" w:name="_Toc198471374"/>
      <w:bookmarkStart w:id="1339" w:name="_Toc198727412"/>
      <w:bookmarkStart w:id="1340" w:name="_Toc198728527"/>
      <w:bookmarkStart w:id="1341" w:name="_Toc198729642"/>
      <w:bookmarkStart w:id="1342" w:name="_Toc198730757"/>
      <w:bookmarkStart w:id="1343" w:name="_Toc198471375"/>
      <w:bookmarkStart w:id="1344" w:name="_Toc198727413"/>
      <w:bookmarkStart w:id="1345" w:name="_Toc198728528"/>
      <w:bookmarkStart w:id="1346" w:name="_Toc198729643"/>
      <w:bookmarkStart w:id="1347" w:name="_Toc198730758"/>
      <w:bookmarkStart w:id="1348" w:name="_Toc198471376"/>
      <w:bookmarkStart w:id="1349" w:name="_Toc198727414"/>
      <w:bookmarkStart w:id="1350" w:name="_Toc198728529"/>
      <w:bookmarkStart w:id="1351" w:name="_Toc198729644"/>
      <w:bookmarkStart w:id="1352" w:name="_Toc198730759"/>
      <w:bookmarkStart w:id="1353" w:name="_Toc198471377"/>
      <w:bookmarkStart w:id="1354" w:name="_Toc198727415"/>
      <w:bookmarkStart w:id="1355" w:name="_Toc198728530"/>
      <w:bookmarkStart w:id="1356" w:name="_Toc198729645"/>
      <w:bookmarkStart w:id="1357" w:name="_Toc198730760"/>
      <w:bookmarkStart w:id="1358" w:name="_Toc198471378"/>
      <w:bookmarkStart w:id="1359" w:name="_Toc198727416"/>
      <w:bookmarkStart w:id="1360" w:name="_Toc198728531"/>
      <w:bookmarkStart w:id="1361" w:name="_Toc198729646"/>
      <w:bookmarkStart w:id="1362" w:name="_Toc198730761"/>
      <w:bookmarkStart w:id="1363" w:name="_Toc198471379"/>
      <w:bookmarkStart w:id="1364" w:name="_Toc198727417"/>
      <w:bookmarkStart w:id="1365" w:name="_Toc198728532"/>
      <w:bookmarkStart w:id="1366" w:name="_Toc198729647"/>
      <w:bookmarkStart w:id="1367" w:name="_Toc198730762"/>
      <w:bookmarkStart w:id="1368" w:name="_Toc198471380"/>
      <w:bookmarkStart w:id="1369" w:name="_Toc198727418"/>
      <w:bookmarkStart w:id="1370" w:name="_Toc198728533"/>
      <w:bookmarkStart w:id="1371" w:name="_Toc198729648"/>
      <w:bookmarkStart w:id="1372" w:name="_Toc198730763"/>
      <w:bookmarkStart w:id="1373" w:name="_Toc198471381"/>
      <w:bookmarkStart w:id="1374" w:name="_Toc198727419"/>
      <w:bookmarkStart w:id="1375" w:name="_Toc198728534"/>
      <w:bookmarkStart w:id="1376" w:name="_Toc198729649"/>
      <w:bookmarkStart w:id="1377" w:name="_Toc198730764"/>
      <w:bookmarkStart w:id="1378" w:name="_Toc198471382"/>
      <w:bookmarkStart w:id="1379" w:name="_Toc198727420"/>
      <w:bookmarkStart w:id="1380" w:name="_Toc198728535"/>
      <w:bookmarkStart w:id="1381" w:name="_Toc198729650"/>
      <w:bookmarkStart w:id="1382" w:name="_Toc198730765"/>
      <w:bookmarkStart w:id="1383" w:name="_Toc198471383"/>
      <w:bookmarkStart w:id="1384" w:name="_Toc198727421"/>
      <w:bookmarkStart w:id="1385" w:name="_Toc198728536"/>
      <w:bookmarkStart w:id="1386" w:name="_Toc198729651"/>
      <w:bookmarkStart w:id="1387" w:name="_Toc198730766"/>
      <w:bookmarkStart w:id="1388" w:name="_Toc198471384"/>
      <w:bookmarkStart w:id="1389" w:name="_Toc198727422"/>
      <w:bookmarkStart w:id="1390" w:name="_Toc198728537"/>
      <w:bookmarkStart w:id="1391" w:name="_Toc198729652"/>
      <w:bookmarkStart w:id="1392" w:name="_Toc198730767"/>
      <w:bookmarkStart w:id="1393" w:name="_Toc198471385"/>
      <w:bookmarkStart w:id="1394" w:name="_Toc198727423"/>
      <w:bookmarkStart w:id="1395" w:name="_Toc198728538"/>
      <w:bookmarkStart w:id="1396" w:name="_Toc198729653"/>
      <w:bookmarkStart w:id="1397" w:name="_Toc198730768"/>
      <w:bookmarkStart w:id="1398" w:name="_Toc198471386"/>
      <w:bookmarkStart w:id="1399" w:name="_Toc198727424"/>
      <w:bookmarkStart w:id="1400" w:name="_Toc198728539"/>
      <w:bookmarkStart w:id="1401" w:name="_Toc198729654"/>
      <w:bookmarkStart w:id="1402" w:name="_Toc198730769"/>
      <w:bookmarkStart w:id="1403" w:name="_Toc198471387"/>
      <w:bookmarkStart w:id="1404" w:name="_Toc198727425"/>
      <w:bookmarkStart w:id="1405" w:name="_Toc198728540"/>
      <w:bookmarkStart w:id="1406" w:name="_Toc198729655"/>
      <w:bookmarkStart w:id="1407" w:name="_Toc198730770"/>
      <w:bookmarkStart w:id="1408" w:name="_Toc198471388"/>
      <w:bookmarkStart w:id="1409" w:name="_Toc198727426"/>
      <w:bookmarkStart w:id="1410" w:name="_Toc198728541"/>
      <w:bookmarkStart w:id="1411" w:name="_Toc198729656"/>
      <w:bookmarkStart w:id="1412" w:name="_Toc198730771"/>
      <w:bookmarkStart w:id="1413" w:name="_Toc198471389"/>
      <w:bookmarkStart w:id="1414" w:name="_Toc198727427"/>
      <w:bookmarkStart w:id="1415" w:name="_Toc198728542"/>
      <w:bookmarkStart w:id="1416" w:name="_Toc198729657"/>
      <w:bookmarkStart w:id="1417" w:name="_Toc198730772"/>
      <w:bookmarkStart w:id="1418" w:name="_Toc198471390"/>
      <w:bookmarkStart w:id="1419" w:name="_Toc198727428"/>
      <w:bookmarkStart w:id="1420" w:name="_Toc198728543"/>
      <w:bookmarkStart w:id="1421" w:name="_Toc198729658"/>
      <w:bookmarkStart w:id="1422" w:name="_Toc198730773"/>
      <w:bookmarkStart w:id="1423" w:name="_Toc198471391"/>
      <w:bookmarkStart w:id="1424" w:name="_Toc198727429"/>
      <w:bookmarkStart w:id="1425" w:name="_Toc198728544"/>
      <w:bookmarkStart w:id="1426" w:name="_Toc198729659"/>
      <w:bookmarkStart w:id="1427" w:name="_Toc198730774"/>
      <w:bookmarkStart w:id="1428" w:name="_Toc198471392"/>
      <w:bookmarkStart w:id="1429" w:name="_Toc198727430"/>
      <w:bookmarkStart w:id="1430" w:name="_Toc198728545"/>
      <w:bookmarkStart w:id="1431" w:name="_Toc198729660"/>
      <w:bookmarkStart w:id="1432" w:name="_Toc198730775"/>
      <w:bookmarkStart w:id="1433" w:name="_Toc198471393"/>
      <w:bookmarkStart w:id="1434" w:name="_Toc198727431"/>
      <w:bookmarkStart w:id="1435" w:name="_Toc198728546"/>
      <w:bookmarkStart w:id="1436" w:name="_Toc198729661"/>
      <w:bookmarkStart w:id="1437" w:name="_Toc198730776"/>
      <w:bookmarkStart w:id="1438" w:name="_Toc198471424"/>
      <w:bookmarkStart w:id="1439" w:name="_Toc198727462"/>
      <w:bookmarkStart w:id="1440" w:name="_Toc198728577"/>
      <w:bookmarkStart w:id="1441" w:name="_Toc198729692"/>
      <w:bookmarkStart w:id="1442" w:name="_Toc198730807"/>
      <w:bookmarkStart w:id="1443" w:name="_Toc198471425"/>
      <w:bookmarkStart w:id="1444" w:name="_Toc198727463"/>
      <w:bookmarkStart w:id="1445" w:name="_Toc198728578"/>
      <w:bookmarkStart w:id="1446" w:name="_Toc198729693"/>
      <w:bookmarkStart w:id="1447" w:name="_Toc198730808"/>
      <w:bookmarkStart w:id="1448" w:name="_Toc198471426"/>
      <w:bookmarkStart w:id="1449" w:name="_Toc198727464"/>
      <w:bookmarkStart w:id="1450" w:name="_Toc198728579"/>
      <w:bookmarkStart w:id="1451" w:name="_Toc198729694"/>
      <w:bookmarkStart w:id="1452" w:name="_Toc198730809"/>
      <w:bookmarkStart w:id="1453" w:name="_Toc198471427"/>
      <w:bookmarkStart w:id="1454" w:name="_Toc198727465"/>
      <w:bookmarkStart w:id="1455" w:name="_Toc198728580"/>
      <w:bookmarkStart w:id="1456" w:name="_Toc198729695"/>
      <w:bookmarkStart w:id="1457" w:name="_Toc198730810"/>
      <w:bookmarkStart w:id="1458" w:name="_Toc198471428"/>
      <w:bookmarkStart w:id="1459" w:name="_Toc198727466"/>
      <w:bookmarkStart w:id="1460" w:name="_Toc198728581"/>
      <w:bookmarkStart w:id="1461" w:name="_Toc198729696"/>
      <w:bookmarkStart w:id="1462" w:name="_Toc198730811"/>
      <w:bookmarkStart w:id="1463" w:name="_Toc198471429"/>
      <w:bookmarkStart w:id="1464" w:name="_Toc198727467"/>
      <w:bookmarkStart w:id="1465" w:name="_Toc198728582"/>
      <w:bookmarkStart w:id="1466" w:name="_Toc198729697"/>
      <w:bookmarkStart w:id="1467" w:name="_Toc198730812"/>
      <w:bookmarkStart w:id="1468" w:name="_Toc198471430"/>
      <w:bookmarkStart w:id="1469" w:name="_Toc198727468"/>
      <w:bookmarkStart w:id="1470" w:name="_Toc198728583"/>
      <w:bookmarkStart w:id="1471" w:name="_Toc198729698"/>
      <w:bookmarkStart w:id="1472" w:name="_Toc198730813"/>
      <w:bookmarkStart w:id="1473" w:name="_Toc198471431"/>
      <w:bookmarkStart w:id="1474" w:name="_Toc198727469"/>
      <w:bookmarkStart w:id="1475" w:name="_Toc198728584"/>
      <w:bookmarkStart w:id="1476" w:name="_Toc198729699"/>
      <w:bookmarkStart w:id="1477" w:name="_Toc198730814"/>
      <w:bookmarkStart w:id="1478" w:name="_Toc198471432"/>
      <w:bookmarkStart w:id="1479" w:name="_Toc198727470"/>
      <w:bookmarkStart w:id="1480" w:name="_Toc198728585"/>
      <w:bookmarkStart w:id="1481" w:name="_Toc198729700"/>
      <w:bookmarkStart w:id="1482" w:name="_Toc198730815"/>
      <w:bookmarkStart w:id="1483" w:name="_Toc198471433"/>
      <w:bookmarkStart w:id="1484" w:name="_Toc198727471"/>
      <w:bookmarkStart w:id="1485" w:name="_Toc198728586"/>
      <w:bookmarkStart w:id="1486" w:name="_Toc198729701"/>
      <w:bookmarkStart w:id="1487" w:name="_Toc198730816"/>
      <w:bookmarkStart w:id="1488" w:name="_Toc198471434"/>
      <w:bookmarkStart w:id="1489" w:name="_Toc198727472"/>
      <w:bookmarkStart w:id="1490" w:name="_Toc198728587"/>
      <w:bookmarkStart w:id="1491" w:name="_Toc198729702"/>
      <w:bookmarkStart w:id="1492" w:name="_Toc198730817"/>
      <w:bookmarkStart w:id="1493" w:name="_Toc198471435"/>
      <w:bookmarkStart w:id="1494" w:name="_Toc198727473"/>
      <w:bookmarkStart w:id="1495" w:name="_Toc198728588"/>
      <w:bookmarkStart w:id="1496" w:name="_Toc198729703"/>
      <w:bookmarkStart w:id="1497" w:name="_Toc198730818"/>
      <w:bookmarkStart w:id="1498" w:name="_Toc198471436"/>
      <w:bookmarkStart w:id="1499" w:name="_Toc198727474"/>
      <w:bookmarkStart w:id="1500" w:name="_Toc198728589"/>
      <w:bookmarkStart w:id="1501" w:name="_Toc198729704"/>
      <w:bookmarkStart w:id="1502" w:name="_Toc198730819"/>
      <w:bookmarkStart w:id="1503" w:name="_Toc198471437"/>
      <w:bookmarkStart w:id="1504" w:name="_Toc198727475"/>
      <w:bookmarkStart w:id="1505" w:name="_Toc198728590"/>
      <w:bookmarkStart w:id="1506" w:name="_Toc198729705"/>
      <w:bookmarkStart w:id="1507" w:name="_Toc198730820"/>
      <w:bookmarkStart w:id="1508" w:name="_Toc198471438"/>
      <w:bookmarkStart w:id="1509" w:name="_Toc198727476"/>
      <w:bookmarkStart w:id="1510" w:name="_Toc198728591"/>
      <w:bookmarkStart w:id="1511" w:name="_Toc198729706"/>
      <w:bookmarkStart w:id="1512" w:name="_Toc198730821"/>
      <w:bookmarkStart w:id="1513" w:name="_Toc198471439"/>
      <w:bookmarkStart w:id="1514" w:name="_Toc198727477"/>
      <w:bookmarkStart w:id="1515" w:name="_Toc198728592"/>
      <w:bookmarkStart w:id="1516" w:name="_Toc198729707"/>
      <w:bookmarkStart w:id="1517" w:name="_Toc198730822"/>
      <w:bookmarkStart w:id="1518" w:name="_Toc192254553"/>
      <w:bookmarkStart w:id="1519" w:name="_Toc192254554"/>
      <w:bookmarkStart w:id="1520" w:name="_Toc192254555"/>
      <w:bookmarkStart w:id="1521" w:name="_Toc192254556"/>
      <w:bookmarkStart w:id="1522" w:name="_Toc192254557"/>
      <w:bookmarkStart w:id="1523" w:name="_Toc192254558"/>
      <w:bookmarkStart w:id="1524" w:name="_Toc192254559"/>
      <w:bookmarkStart w:id="1525" w:name="_Toc192254560"/>
      <w:bookmarkStart w:id="1526" w:name="_Toc192254561"/>
      <w:bookmarkStart w:id="1527" w:name="_Toc192254562"/>
      <w:bookmarkStart w:id="1528" w:name="_Toc192254563"/>
      <w:bookmarkStart w:id="1529" w:name="_Toc192254564"/>
      <w:bookmarkStart w:id="1530" w:name="_Toc192254565"/>
      <w:bookmarkStart w:id="1531" w:name="_Toc192254566"/>
      <w:bookmarkStart w:id="1532" w:name="_Toc192254567"/>
      <w:bookmarkStart w:id="1533" w:name="_Toc192254568"/>
      <w:bookmarkStart w:id="1534" w:name="_Toc192254569"/>
      <w:bookmarkStart w:id="1535" w:name="_Toc192254570"/>
      <w:bookmarkStart w:id="1536" w:name="_Toc192254571"/>
      <w:bookmarkStart w:id="1537" w:name="_Toc192254572"/>
      <w:bookmarkStart w:id="1538" w:name="_Toc192254573"/>
      <w:bookmarkStart w:id="1539" w:name="_Toc192254574"/>
      <w:bookmarkStart w:id="1540" w:name="_Toc192254575"/>
      <w:bookmarkStart w:id="1541" w:name="_Toc192254576"/>
      <w:bookmarkStart w:id="1542" w:name="_Toc192254577"/>
      <w:bookmarkStart w:id="1543" w:name="_Toc192254578"/>
      <w:bookmarkStart w:id="1544" w:name="_Toc192254579"/>
      <w:bookmarkStart w:id="1545" w:name="_Toc192254580"/>
      <w:bookmarkStart w:id="1546" w:name="_Toc192254581"/>
      <w:bookmarkStart w:id="1547" w:name="_Toc192254582"/>
      <w:bookmarkStart w:id="1548" w:name="_Toc192254583"/>
      <w:bookmarkStart w:id="1549" w:name="_Toc192254584"/>
      <w:bookmarkStart w:id="1550" w:name="_Toc192254585"/>
      <w:bookmarkStart w:id="1551" w:name="_Toc192254586"/>
      <w:bookmarkStart w:id="1552" w:name="_Toc192254587"/>
      <w:bookmarkStart w:id="1553" w:name="_Toc192254588"/>
      <w:bookmarkStart w:id="1554" w:name="_Toc192254589"/>
      <w:bookmarkStart w:id="1555" w:name="_Toc192254590"/>
      <w:bookmarkStart w:id="1556" w:name="_Toc192254591"/>
      <w:bookmarkStart w:id="1557" w:name="_Toc192254592"/>
      <w:bookmarkStart w:id="1558" w:name="_Toc192254593"/>
      <w:bookmarkStart w:id="1559" w:name="_Toc192254594"/>
      <w:bookmarkStart w:id="1560" w:name="_Toc192254595"/>
      <w:bookmarkStart w:id="1561" w:name="_Toc192254596"/>
      <w:bookmarkStart w:id="1562" w:name="_Toc192254597"/>
      <w:bookmarkStart w:id="1563" w:name="_Toc192254598"/>
      <w:bookmarkStart w:id="1564" w:name="_Toc192254599"/>
      <w:bookmarkStart w:id="1565" w:name="_Toc192254600"/>
      <w:bookmarkStart w:id="1566" w:name="_Toc192254601"/>
      <w:bookmarkStart w:id="1567" w:name="_Toc192254602"/>
      <w:bookmarkStart w:id="1568" w:name="_Toc192254603"/>
      <w:bookmarkStart w:id="1569" w:name="_Toc192254604"/>
      <w:bookmarkStart w:id="1570" w:name="_Toc192254605"/>
      <w:bookmarkStart w:id="1571" w:name="_Toc192254606"/>
      <w:bookmarkStart w:id="1572" w:name="_Toc192254607"/>
      <w:bookmarkStart w:id="1573" w:name="_Toc192254608"/>
      <w:bookmarkStart w:id="1574" w:name="_Toc192254609"/>
      <w:bookmarkStart w:id="1575" w:name="_Toc192254610"/>
      <w:bookmarkStart w:id="1576" w:name="_Toc192254611"/>
      <w:bookmarkStart w:id="1577" w:name="_Toc192254612"/>
      <w:bookmarkStart w:id="1578" w:name="_Toc192254613"/>
      <w:bookmarkStart w:id="1579" w:name="_Toc192254614"/>
      <w:bookmarkStart w:id="1580" w:name="_Toc192254615"/>
      <w:bookmarkStart w:id="1581" w:name="_Toc192254616"/>
      <w:bookmarkStart w:id="1582" w:name="_Toc192254617"/>
      <w:bookmarkStart w:id="1583" w:name="_Toc192254618"/>
      <w:bookmarkStart w:id="1584" w:name="_Toc192254619"/>
      <w:bookmarkStart w:id="1585" w:name="_Toc192254620"/>
      <w:bookmarkStart w:id="1586" w:name="_Toc192254621"/>
      <w:bookmarkStart w:id="1587" w:name="_Toc192254622"/>
      <w:bookmarkStart w:id="1588" w:name="_Toc192254623"/>
      <w:bookmarkStart w:id="1589" w:name="_Toc192254624"/>
      <w:bookmarkStart w:id="1590" w:name="_Toc192254837"/>
      <w:bookmarkStart w:id="1591" w:name="_Toc192254838"/>
      <w:bookmarkStart w:id="1592" w:name="_Toc192254839"/>
      <w:bookmarkStart w:id="1593" w:name="_Toc192254840"/>
      <w:bookmarkStart w:id="1594" w:name="_Toc192254841"/>
      <w:bookmarkStart w:id="1595" w:name="_Toc192254842"/>
      <w:bookmarkStart w:id="1596" w:name="_Toc192254843"/>
      <w:bookmarkStart w:id="1597" w:name="_Toc192254844"/>
      <w:bookmarkStart w:id="1598" w:name="_Toc192254845"/>
      <w:bookmarkStart w:id="1599" w:name="_Toc192254846"/>
      <w:bookmarkStart w:id="1600" w:name="_Toc192254847"/>
      <w:bookmarkStart w:id="1601" w:name="_Toc192254848"/>
      <w:bookmarkStart w:id="1602" w:name="_Toc192254849"/>
      <w:bookmarkStart w:id="1603" w:name="_Toc192254850"/>
      <w:bookmarkStart w:id="1604" w:name="_Toc192254851"/>
      <w:bookmarkStart w:id="1605" w:name="_Toc192254852"/>
      <w:bookmarkStart w:id="1606" w:name="_Toc192254853"/>
      <w:bookmarkStart w:id="1607" w:name="_Toc192254854"/>
      <w:bookmarkStart w:id="1608" w:name="_Toc192254855"/>
      <w:bookmarkStart w:id="1609" w:name="_Toc192254860"/>
      <w:bookmarkStart w:id="1610" w:name="_Toc192254861"/>
      <w:bookmarkStart w:id="1611" w:name="_Toc192254862"/>
      <w:bookmarkStart w:id="1612" w:name="_Toc192254863"/>
      <w:bookmarkStart w:id="1613" w:name="_Toc192254864"/>
      <w:bookmarkStart w:id="1614" w:name="_Toc192254865"/>
      <w:bookmarkStart w:id="1615" w:name="_Toc192254866"/>
      <w:bookmarkStart w:id="1616" w:name="_Toc192254867"/>
      <w:bookmarkStart w:id="1617" w:name="_Toc192254868"/>
      <w:bookmarkStart w:id="1618" w:name="_Toc192254869"/>
      <w:bookmarkStart w:id="1619" w:name="_Toc192254870"/>
      <w:bookmarkStart w:id="1620" w:name="_Toc192254871"/>
      <w:bookmarkStart w:id="1621" w:name="_Toc192254872"/>
      <w:bookmarkStart w:id="1622" w:name="_Toc192254873"/>
      <w:bookmarkStart w:id="1623" w:name="_Toc192254874"/>
      <w:bookmarkStart w:id="1624" w:name="_Toc192254875"/>
      <w:bookmarkStart w:id="1625" w:name="_Toc192254876"/>
      <w:bookmarkStart w:id="1626" w:name="_Toc192254877"/>
      <w:bookmarkStart w:id="1627" w:name="_Toc192254878"/>
      <w:bookmarkStart w:id="1628" w:name="_Toc192254879"/>
      <w:bookmarkStart w:id="1629" w:name="_Toc192254880"/>
      <w:bookmarkStart w:id="1630" w:name="_Toc192254881"/>
      <w:bookmarkStart w:id="1631" w:name="_Toc192254882"/>
      <w:bookmarkStart w:id="1632" w:name="_Toc192254883"/>
      <w:bookmarkStart w:id="1633" w:name="_Toc192254884"/>
      <w:bookmarkStart w:id="1634" w:name="_Toc192254885"/>
      <w:bookmarkStart w:id="1635" w:name="_Toc192254886"/>
      <w:bookmarkStart w:id="1636" w:name="_Toc192254887"/>
      <w:bookmarkStart w:id="1637" w:name="_Toc192254888"/>
      <w:bookmarkStart w:id="1638" w:name="_Toc192254889"/>
      <w:bookmarkStart w:id="1639" w:name="_Toc192254890"/>
      <w:bookmarkStart w:id="1640" w:name="_Toc192254891"/>
      <w:bookmarkStart w:id="1641" w:name="_Toc192254892"/>
      <w:bookmarkStart w:id="1642" w:name="_Toc192254893"/>
      <w:bookmarkStart w:id="1643" w:name="_Toc192254894"/>
      <w:bookmarkStart w:id="1644" w:name="_Toc192254895"/>
      <w:bookmarkStart w:id="1645" w:name="_Toc192254929"/>
      <w:bookmarkStart w:id="1646" w:name="_Toc192254930"/>
      <w:bookmarkStart w:id="1647" w:name="_Toc192254931"/>
      <w:bookmarkStart w:id="1648" w:name="_Toc192254932"/>
      <w:bookmarkStart w:id="1649" w:name="_Toc192254933"/>
      <w:bookmarkStart w:id="1650" w:name="_Toc192254934"/>
      <w:bookmarkStart w:id="1651" w:name="_Toc192254935"/>
      <w:bookmarkStart w:id="1652" w:name="_Toc192254936"/>
      <w:bookmarkStart w:id="1653" w:name="_Toc192254937"/>
      <w:bookmarkStart w:id="1654" w:name="_Toc192254938"/>
      <w:bookmarkStart w:id="1655" w:name="_Toc192254939"/>
      <w:bookmarkStart w:id="1656" w:name="_Toc192254940"/>
      <w:bookmarkStart w:id="1657" w:name="_Toc192254941"/>
      <w:bookmarkStart w:id="1658" w:name="_Toc192254942"/>
      <w:bookmarkStart w:id="1659" w:name="_Toc192254943"/>
      <w:bookmarkStart w:id="1660" w:name="_Toc192254944"/>
      <w:bookmarkStart w:id="1661" w:name="_Toc192254945"/>
      <w:bookmarkStart w:id="1662" w:name="_Toc192254946"/>
      <w:bookmarkStart w:id="1663" w:name="_Toc192254947"/>
      <w:bookmarkStart w:id="1664" w:name="_Toc192254948"/>
      <w:bookmarkStart w:id="1665" w:name="_Toc192254949"/>
      <w:bookmarkStart w:id="1666" w:name="_Toc192254950"/>
      <w:bookmarkStart w:id="1667" w:name="_Toc192254951"/>
      <w:bookmarkStart w:id="1668" w:name="_Toc192254952"/>
      <w:bookmarkStart w:id="1669" w:name="_Toc192254953"/>
      <w:bookmarkStart w:id="1670" w:name="_Toc192254954"/>
      <w:bookmarkStart w:id="1671" w:name="_Toc192254955"/>
      <w:bookmarkStart w:id="1672" w:name="_Toc192254956"/>
      <w:bookmarkStart w:id="1673" w:name="_Toc192254957"/>
      <w:bookmarkStart w:id="1674" w:name="_Toc192254958"/>
      <w:bookmarkStart w:id="1675" w:name="_Toc192254959"/>
      <w:bookmarkStart w:id="1676" w:name="_Toc192254960"/>
      <w:bookmarkStart w:id="1677" w:name="_Toc192254961"/>
      <w:bookmarkStart w:id="1678" w:name="_Toc192254962"/>
      <w:bookmarkStart w:id="1679" w:name="_Toc192254963"/>
      <w:bookmarkStart w:id="1680" w:name="_Toc192254964"/>
      <w:bookmarkStart w:id="1681" w:name="_Toc192254965"/>
      <w:bookmarkStart w:id="1682" w:name="_Toc192254966"/>
      <w:bookmarkStart w:id="1683" w:name="_Toc192254967"/>
      <w:bookmarkStart w:id="1684" w:name="_Toc192254968"/>
      <w:bookmarkStart w:id="1685" w:name="_Toc192254969"/>
      <w:bookmarkStart w:id="1686" w:name="_Toc192254970"/>
      <w:bookmarkStart w:id="1687" w:name="_Toc192254971"/>
      <w:bookmarkStart w:id="1688" w:name="_Toc192423437"/>
      <w:bookmarkStart w:id="1689" w:name="_Toc192424979"/>
      <w:bookmarkStart w:id="1690" w:name="_Toc192442098"/>
      <w:bookmarkStart w:id="1691" w:name="_Toc192423438"/>
      <w:bookmarkStart w:id="1692" w:name="_Toc192424980"/>
      <w:bookmarkStart w:id="1693" w:name="_Toc192442099"/>
      <w:bookmarkStart w:id="1694" w:name="_Toc192423439"/>
      <w:bookmarkStart w:id="1695" w:name="_Toc192424981"/>
      <w:bookmarkStart w:id="1696" w:name="_Toc192442100"/>
      <w:bookmarkStart w:id="1697" w:name="_Toc192423440"/>
      <w:bookmarkStart w:id="1698" w:name="_Toc192424982"/>
      <w:bookmarkStart w:id="1699" w:name="_Toc192442101"/>
      <w:bookmarkStart w:id="1700" w:name="_Toc192423441"/>
      <w:bookmarkStart w:id="1701" w:name="_Toc192424983"/>
      <w:bookmarkStart w:id="1702" w:name="_Toc192442102"/>
      <w:bookmarkStart w:id="1703" w:name="_Toc192423442"/>
      <w:bookmarkStart w:id="1704" w:name="_Toc192424984"/>
      <w:bookmarkStart w:id="1705" w:name="_Toc192442103"/>
      <w:bookmarkStart w:id="1706" w:name="_Toc192423443"/>
      <w:bookmarkStart w:id="1707" w:name="_Toc192424985"/>
      <w:bookmarkStart w:id="1708" w:name="_Toc192442104"/>
      <w:bookmarkStart w:id="1709" w:name="_Toc192423444"/>
      <w:bookmarkStart w:id="1710" w:name="_Toc192424986"/>
      <w:bookmarkStart w:id="1711" w:name="_Toc192442105"/>
      <w:bookmarkStart w:id="1712" w:name="_Toc192423445"/>
      <w:bookmarkStart w:id="1713" w:name="_Toc192424987"/>
      <w:bookmarkStart w:id="1714" w:name="_Toc192442106"/>
      <w:bookmarkStart w:id="1715" w:name="_Toc192423446"/>
      <w:bookmarkStart w:id="1716" w:name="_Toc192424988"/>
      <w:bookmarkStart w:id="1717" w:name="_Toc192442107"/>
      <w:bookmarkStart w:id="1718" w:name="_Toc192423447"/>
      <w:bookmarkStart w:id="1719" w:name="_Toc192424989"/>
      <w:bookmarkStart w:id="1720" w:name="_Toc192442108"/>
      <w:bookmarkStart w:id="1721" w:name="_Toc192423448"/>
      <w:bookmarkStart w:id="1722" w:name="_Toc192424990"/>
      <w:bookmarkStart w:id="1723" w:name="_Toc192442109"/>
      <w:bookmarkStart w:id="1724" w:name="_Toc192423449"/>
      <w:bookmarkStart w:id="1725" w:name="_Toc192424991"/>
      <w:bookmarkStart w:id="1726" w:name="_Toc192442110"/>
      <w:bookmarkStart w:id="1727" w:name="_Toc192423450"/>
      <w:bookmarkStart w:id="1728" w:name="_Toc192424992"/>
      <w:bookmarkStart w:id="1729" w:name="_Toc192442111"/>
      <w:bookmarkStart w:id="1730" w:name="_Toc192423451"/>
      <w:bookmarkStart w:id="1731" w:name="_Toc192424993"/>
      <w:bookmarkStart w:id="1732" w:name="_Toc192442112"/>
      <w:bookmarkStart w:id="1733" w:name="_Toc192423452"/>
      <w:bookmarkStart w:id="1734" w:name="_Toc192424994"/>
      <w:bookmarkStart w:id="1735" w:name="_Toc192442113"/>
      <w:bookmarkStart w:id="1736" w:name="_Toc192423453"/>
      <w:bookmarkStart w:id="1737" w:name="_Toc192424995"/>
      <w:bookmarkStart w:id="1738" w:name="_Toc192442114"/>
      <w:bookmarkStart w:id="1739" w:name="_Toc192423454"/>
      <w:bookmarkStart w:id="1740" w:name="_Toc192424996"/>
      <w:bookmarkStart w:id="1741" w:name="_Toc192442115"/>
      <w:bookmarkStart w:id="1742" w:name="_Toc192423455"/>
      <w:bookmarkStart w:id="1743" w:name="_Toc192424997"/>
      <w:bookmarkStart w:id="1744" w:name="_Toc192442116"/>
      <w:bookmarkStart w:id="1745" w:name="_Toc192423456"/>
      <w:bookmarkStart w:id="1746" w:name="_Toc192424998"/>
      <w:bookmarkStart w:id="1747" w:name="_Toc192442117"/>
      <w:bookmarkStart w:id="1748" w:name="_Toc192423457"/>
      <w:bookmarkStart w:id="1749" w:name="_Toc192424999"/>
      <w:bookmarkStart w:id="1750" w:name="_Toc192442118"/>
      <w:bookmarkStart w:id="1751" w:name="_Toc192423458"/>
      <w:bookmarkStart w:id="1752" w:name="_Toc192425000"/>
      <w:bookmarkStart w:id="1753" w:name="_Toc192442119"/>
      <w:bookmarkStart w:id="1754" w:name="_Toc192423459"/>
      <w:bookmarkStart w:id="1755" w:name="_Toc192425001"/>
      <w:bookmarkStart w:id="1756" w:name="_Toc192442120"/>
      <w:bookmarkStart w:id="1757" w:name="_Toc192423460"/>
      <w:bookmarkStart w:id="1758" w:name="_Toc192425002"/>
      <w:bookmarkStart w:id="1759" w:name="_Toc192442121"/>
      <w:bookmarkStart w:id="1760" w:name="_Toc192423461"/>
      <w:bookmarkStart w:id="1761" w:name="_Toc192425003"/>
      <w:bookmarkStart w:id="1762" w:name="_Toc192442122"/>
      <w:bookmarkStart w:id="1763" w:name="_Toc192423462"/>
      <w:bookmarkStart w:id="1764" w:name="_Toc192425004"/>
      <w:bookmarkStart w:id="1765" w:name="_Toc192442123"/>
      <w:bookmarkStart w:id="1766" w:name="_Toc192423463"/>
      <w:bookmarkStart w:id="1767" w:name="_Toc192425005"/>
      <w:bookmarkStart w:id="1768" w:name="_Toc192442124"/>
      <w:bookmarkStart w:id="1769" w:name="_Toc192423464"/>
      <w:bookmarkStart w:id="1770" w:name="_Toc192425006"/>
      <w:bookmarkStart w:id="1771" w:name="_Toc192442125"/>
      <w:bookmarkStart w:id="1772" w:name="_Toc192423465"/>
      <w:bookmarkStart w:id="1773" w:name="_Toc192425007"/>
      <w:bookmarkStart w:id="1774" w:name="_Toc192442126"/>
      <w:bookmarkStart w:id="1775" w:name="_Toc192423466"/>
      <w:bookmarkStart w:id="1776" w:name="_Toc192425008"/>
      <w:bookmarkStart w:id="1777" w:name="_Toc192442127"/>
      <w:bookmarkStart w:id="1778" w:name="_Toc192423467"/>
      <w:bookmarkStart w:id="1779" w:name="_Toc192425009"/>
      <w:bookmarkStart w:id="1780" w:name="_Toc192442128"/>
      <w:bookmarkStart w:id="1781" w:name="_Toc192423468"/>
      <w:bookmarkStart w:id="1782" w:name="_Toc192425010"/>
      <w:bookmarkStart w:id="1783" w:name="_Toc192442129"/>
      <w:bookmarkStart w:id="1784" w:name="_Toc192423469"/>
      <w:bookmarkStart w:id="1785" w:name="_Toc192425011"/>
      <w:bookmarkStart w:id="1786" w:name="_Toc192442130"/>
      <w:bookmarkStart w:id="1787" w:name="_Toc192423470"/>
      <w:bookmarkStart w:id="1788" w:name="_Toc192425012"/>
      <w:bookmarkStart w:id="1789" w:name="_Toc192442131"/>
      <w:bookmarkStart w:id="1790" w:name="_Toc192423471"/>
      <w:bookmarkStart w:id="1791" w:name="_Toc192425013"/>
      <w:bookmarkStart w:id="1792" w:name="_Toc192442132"/>
      <w:bookmarkStart w:id="1793" w:name="_Toc192423472"/>
      <w:bookmarkStart w:id="1794" w:name="_Toc192425014"/>
      <w:bookmarkStart w:id="1795" w:name="_Toc192442133"/>
      <w:bookmarkStart w:id="1796" w:name="_Toc192423473"/>
      <w:bookmarkStart w:id="1797" w:name="_Toc192425015"/>
      <w:bookmarkStart w:id="1798" w:name="_Toc192442134"/>
      <w:bookmarkStart w:id="1799" w:name="_Toc192423474"/>
      <w:bookmarkStart w:id="1800" w:name="_Toc192425016"/>
      <w:bookmarkStart w:id="1801" w:name="_Toc192442135"/>
      <w:bookmarkStart w:id="1802" w:name="_Toc192423475"/>
      <w:bookmarkStart w:id="1803" w:name="_Toc192425017"/>
      <w:bookmarkStart w:id="1804" w:name="_Toc192442136"/>
      <w:bookmarkStart w:id="1805" w:name="_Toc192423476"/>
      <w:bookmarkStart w:id="1806" w:name="_Toc192425018"/>
      <w:bookmarkStart w:id="1807" w:name="_Toc192442137"/>
      <w:bookmarkStart w:id="1808" w:name="_Toc192423477"/>
      <w:bookmarkStart w:id="1809" w:name="_Toc192425019"/>
      <w:bookmarkStart w:id="1810" w:name="_Toc192442138"/>
      <w:bookmarkStart w:id="1811" w:name="_Toc192423478"/>
      <w:bookmarkStart w:id="1812" w:name="_Toc192425020"/>
      <w:bookmarkStart w:id="1813" w:name="_Toc192442139"/>
      <w:bookmarkStart w:id="1814" w:name="_Toc192423479"/>
      <w:bookmarkStart w:id="1815" w:name="_Toc192425021"/>
      <w:bookmarkStart w:id="1816" w:name="_Toc192442140"/>
      <w:bookmarkStart w:id="1817" w:name="_Toc192423480"/>
      <w:bookmarkStart w:id="1818" w:name="_Toc192425022"/>
      <w:bookmarkStart w:id="1819" w:name="_Toc192442141"/>
      <w:bookmarkStart w:id="1820" w:name="_Toc192423481"/>
      <w:bookmarkStart w:id="1821" w:name="_Toc192425023"/>
      <w:bookmarkStart w:id="1822" w:name="_Toc192442142"/>
      <w:bookmarkStart w:id="1823" w:name="_Toc192423482"/>
      <w:bookmarkStart w:id="1824" w:name="_Toc192425024"/>
      <w:bookmarkStart w:id="1825" w:name="_Toc192442143"/>
      <w:bookmarkStart w:id="1826" w:name="_Toc192423483"/>
      <w:bookmarkStart w:id="1827" w:name="_Toc192425025"/>
      <w:bookmarkStart w:id="1828" w:name="_Toc192442144"/>
      <w:bookmarkStart w:id="1829" w:name="_Toc192423484"/>
      <w:bookmarkStart w:id="1830" w:name="_Toc192425026"/>
      <w:bookmarkStart w:id="1831" w:name="_Toc192442145"/>
      <w:bookmarkStart w:id="1832" w:name="_Toc192423485"/>
      <w:bookmarkStart w:id="1833" w:name="_Toc192425027"/>
      <w:bookmarkStart w:id="1834" w:name="_Toc192442146"/>
      <w:bookmarkStart w:id="1835" w:name="_Toc192423486"/>
      <w:bookmarkStart w:id="1836" w:name="_Toc192425028"/>
      <w:bookmarkStart w:id="1837" w:name="_Toc192442147"/>
      <w:bookmarkStart w:id="1838" w:name="_Toc192423487"/>
      <w:bookmarkStart w:id="1839" w:name="_Toc192425029"/>
      <w:bookmarkStart w:id="1840" w:name="_Toc192442148"/>
      <w:bookmarkStart w:id="1841" w:name="_Toc192423488"/>
      <w:bookmarkStart w:id="1842" w:name="_Toc192425030"/>
      <w:bookmarkStart w:id="1843" w:name="_Toc192442149"/>
      <w:bookmarkStart w:id="1844" w:name="_Toc192423489"/>
      <w:bookmarkStart w:id="1845" w:name="_Toc192425031"/>
      <w:bookmarkStart w:id="1846" w:name="_Toc192442150"/>
      <w:bookmarkStart w:id="1847" w:name="_Toc192423490"/>
      <w:bookmarkStart w:id="1848" w:name="_Toc192425032"/>
      <w:bookmarkStart w:id="1849" w:name="_Toc192442151"/>
      <w:bookmarkStart w:id="1850" w:name="_Toc192423491"/>
      <w:bookmarkStart w:id="1851" w:name="_Toc192425033"/>
      <w:bookmarkStart w:id="1852" w:name="_Toc192442152"/>
      <w:bookmarkStart w:id="1853" w:name="_Toc192423492"/>
      <w:bookmarkStart w:id="1854" w:name="_Toc192425034"/>
      <w:bookmarkStart w:id="1855" w:name="_Toc192442153"/>
      <w:bookmarkStart w:id="1856" w:name="_Toc192423493"/>
      <w:bookmarkStart w:id="1857" w:name="_Toc192425035"/>
      <w:bookmarkStart w:id="1858" w:name="_Toc192442154"/>
      <w:bookmarkStart w:id="1859" w:name="_Toc192423494"/>
      <w:bookmarkStart w:id="1860" w:name="_Toc192425036"/>
      <w:bookmarkStart w:id="1861" w:name="_Toc192442155"/>
      <w:bookmarkStart w:id="1862" w:name="_Toc192423495"/>
      <w:bookmarkStart w:id="1863" w:name="_Toc192425037"/>
      <w:bookmarkStart w:id="1864" w:name="_Toc192442156"/>
      <w:bookmarkStart w:id="1865" w:name="_Toc192423496"/>
      <w:bookmarkStart w:id="1866" w:name="_Toc192425038"/>
      <w:bookmarkStart w:id="1867" w:name="_Toc192442157"/>
      <w:bookmarkStart w:id="1868" w:name="_Toc192423497"/>
      <w:bookmarkStart w:id="1869" w:name="_Toc192425039"/>
      <w:bookmarkStart w:id="1870" w:name="_Toc192442158"/>
      <w:bookmarkStart w:id="1871" w:name="_Toc192423498"/>
      <w:bookmarkStart w:id="1872" w:name="_Toc192425040"/>
      <w:bookmarkStart w:id="1873" w:name="_Toc192442159"/>
      <w:bookmarkStart w:id="1874" w:name="_Toc192423499"/>
      <w:bookmarkStart w:id="1875" w:name="_Toc192425041"/>
      <w:bookmarkStart w:id="1876" w:name="_Toc192442160"/>
      <w:bookmarkStart w:id="1877" w:name="_Toc192423500"/>
      <w:bookmarkStart w:id="1878" w:name="_Toc192425042"/>
      <w:bookmarkStart w:id="1879" w:name="_Toc192442161"/>
      <w:bookmarkStart w:id="1880" w:name="_Toc192423501"/>
      <w:bookmarkStart w:id="1881" w:name="_Toc192425043"/>
      <w:bookmarkStart w:id="1882" w:name="_Toc192442162"/>
      <w:bookmarkStart w:id="1883" w:name="_Toc192423502"/>
      <w:bookmarkStart w:id="1884" w:name="_Toc192425044"/>
      <w:bookmarkStart w:id="1885" w:name="_Toc192442163"/>
      <w:bookmarkStart w:id="1886" w:name="_Toc192423503"/>
      <w:bookmarkStart w:id="1887" w:name="_Toc192425045"/>
      <w:bookmarkStart w:id="1888" w:name="_Toc192442164"/>
      <w:bookmarkStart w:id="1889" w:name="_Toc192423504"/>
      <w:bookmarkStart w:id="1890" w:name="_Toc192425046"/>
      <w:bookmarkStart w:id="1891" w:name="_Toc192442165"/>
      <w:bookmarkStart w:id="1892" w:name="_Toc192423505"/>
      <w:bookmarkStart w:id="1893" w:name="_Toc192425047"/>
      <w:bookmarkStart w:id="1894" w:name="_Toc192442166"/>
      <w:bookmarkStart w:id="1895" w:name="_Toc192423506"/>
      <w:bookmarkStart w:id="1896" w:name="_Toc192425048"/>
      <w:bookmarkStart w:id="1897" w:name="_Toc192442167"/>
      <w:bookmarkStart w:id="1898" w:name="_Toc192423507"/>
      <w:bookmarkStart w:id="1899" w:name="_Toc192425049"/>
      <w:bookmarkStart w:id="1900" w:name="_Toc192442168"/>
      <w:bookmarkStart w:id="1901" w:name="_Toc192423508"/>
      <w:bookmarkStart w:id="1902" w:name="_Toc192425050"/>
      <w:bookmarkStart w:id="1903" w:name="_Toc192442169"/>
      <w:bookmarkStart w:id="1904" w:name="_Toc192423509"/>
      <w:bookmarkStart w:id="1905" w:name="_Toc192425051"/>
      <w:bookmarkStart w:id="1906" w:name="_Toc192442170"/>
      <w:bookmarkStart w:id="1907" w:name="_Toc192423510"/>
      <w:bookmarkStart w:id="1908" w:name="_Toc192425052"/>
      <w:bookmarkStart w:id="1909" w:name="_Toc192442171"/>
      <w:bookmarkStart w:id="1910" w:name="_Toc192423511"/>
      <w:bookmarkStart w:id="1911" w:name="_Toc192425053"/>
      <w:bookmarkStart w:id="1912" w:name="_Toc192442172"/>
      <w:bookmarkStart w:id="1913" w:name="_Toc192423512"/>
      <w:bookmarkStart w:id="1914" w:name="_Toc192425054"/>
      <w:bookmarkStart w:id="1915" w:name="_Toc192442173"/>
      <w:bookmarkStart w:id="1916" w:name="_Toc192423513"/>
      <w:bookmarkStart w:id="1917" w:name="_Toc192425055"/>
      <w:bookmarkStart w:id="1918" w:name="_Toc192442174"/>
      <w:bookmarkStart w:id="1919" w:name="_Toc192423514"/>
      <w:bookmarkStart w:id="1920" w:name="_Toc192425056"/>
      <w:bookmarkStart w:id="1921" w:name="_Toc192442175"/>
      <w:bookmarkStart w:id="1922" w:name="_Toc192423515"/>
      <w:bookmarkStart w:id="1923" w:name="_Toc192425057"/>
      <w:bookmarkStart w:id="1924" w:name="_Toc192442176"/>
      <w:bookmarkStart w:id="1925" w:name="_Toc192423516"/>
      <w:bookmarkStart w:id="1926" w:name="_Toc192425058"/>
      <w:bookmarkStart w:id="1927" w:name="_Toc192442177"/>
      <w:bookmarkStart w:id="1928" w:name="_Toc192423517"/>
      <w:bookmarkStart w:id="1929" w:name="_Toc192425059"/>
      <w:bookmarkStart w:id="1930" w:name="_Toc192442178"/>
      <w:bookmarkStart w:id="1931" w:name="_Toc192423518"/>
      <w:bookmarkStart w:id="1932" w:name="_Toc192425060"/>
      <w:bookmarkStart w:id="1933" w:name="_Toc192442179"/>
      <w:bookmarkStart w:id="1934" w:name="_Toc192423519"/>
      <w:bookmarkStart w:id="1935" w:name="_Toc192425061"/>
      <w:bookmarkStart w:id="1936" w:name="_Toc192442180"/>
      <w:bookmarkStart w:id="1937" w:name="_Toc192423520"/>
      <w:bookmarkStart w:id="1938" w:name="_Toc192425062"/>
      <w:bookmarkStart w:id="1939" w:name="_Toc192442181"/>
      <w:bookmarkStart w:id="1940" w:name="_Toc192423521"/>
      <w:bookmarkStart w:id="1941" w:name="_Toc192425063"/>
      <w:bookmarkStart w:id="1942" w:name="_Toc192442182"/>
      <w:bookmarkStart w:id="1943" w:name="_Toc192423522"/>
      <w:bookmarkStart w:id="1944" w:name="_Toc192425064"/>
      <w:bookmarkStart w:id="1945" w:name="_Toc192442183"/>
      <w:bookmarkStart w:id="1946" w:name="_Toc192423523"/>
      <w:bookmarkStart w:id="1947" w:name="_Toc192425065"/>
      <w:bookmarkStart w:id="1948" w:name="_Toc192442184"/>
      <w:bookmarkStart w:id="1949" w:name="_Toc192423524"/>
      <w:bookmarkStart w:id="1950" w:name="_Toc192425066"/>
      <w:bookmarkStart w:id="1951" w:name="_Toc192442185"/>
      <w:bookmarkStart w:id="1952" w:name="_Toc192423525"/>
      <w:bookmarkStart w:id="1953" w:name="_Toc192425067"/>
      <w:bookmarkStart w:id="1954" w:name="_Toc192442186"/>
      <w:bookmarkStart w:id="1955" w:name="_Toc192423526"/>
      <w:bookmarkStart w:id="1956" w:name="_Toc192425068"/>
      <w:bookmarkStart w:id="1957" w:name="_Toc192442187"/>
      <w:bookmarkStart w:id="1958" w:name="_Toc192423527"/>
      <w:bookmarkStart w:id="1959" w:name="_Toc192425069"/>
      <w:bookmarkStart w:id="1960" w:name="_Toc192442188"/>
      <w:bookmarkStart w:id="1961" w:name="_Toc192423528"/>
      <w:bookmarkStart w:id="1962" w:name="_Toc192425070"/>
      <w:bookmarkStart w:id="1963" w:name="_Toc192442189"/>
      <w:bookmarkStart w:id="1964" w:name="_Toc192423529"/>
      <w:bookmarkStart w:id="1965" w:name="_Toc192425071"/>
      <w:bookmarkStart w:id="1966" w:name="_Toc192442190"/>
      <w:bookmarkStart w:id="1967" w:name="_Toc192423530"/>
      <w:bookmarkStart w:id="1968" w:name="_Toc192425072"/>
      <w:bookmarkStart w:id="1969" w:name="_Toc192442191"/>
      <w:bookmarkStart w:id="1970" w:name="_Toc192423531"/>
      <w:bookmarkStart w:id="1971" w:name="_Toc192425073"/>
      <w:bookmarkStart w:id="1972" w:name="_Toc192442192"/>
      <w:bookmarkStart w:id="1973" w:name="_Toc192423532"/>
      <w:bookmarkStart w:id="1974" w:name="_Toc192425074"/>
      <w:bookmarkStart w:id="1975" w:name="_Toc192442193"/>
      <w:bookmarkStart w:id="1976" w:name="_Toc192423533"/>
      <w:bookmarkStart w:id="1977" w:name="_Toc192425075"/>
      <w:bookmarkStart w:id="1978" w:name="_Toc192442194"/>
      <w:bookmarkStart w:id="1979" w:name="_Toc192423534"/>
      <w:bookmarkStart w:id="1980" w:name="_Toc192425076"/>
      <w:bookmarkStart w:id="1981" w:name="_Toc192442195"/>
      <w:bookmarkStart w:id="1982" w:name="_Toc192423535"/>
      <w:bookmarkStart w:id="1983" w:name="_Toc192425077"/>
      <w:bookmarkStart w:id="1984" w:name="_Toc192442196"/>
      <w:bookmarkStart w:id="1985" w:name="_Toc192423536"/>
      <w:bookmarkStart w:id="1986" w:name="_Toc192425078"/>
      <w:bookmarkStart w:id="1987" w:name="_Toc192442197"/>
      <w:bookmarkStart w:id="1988" w:name="_Toc192423537"/>
      <w:bookmarkStart w:id="1989" w:name="_Toc192425079"/>
      <w:bookmarkStart w:id="1990" w:name="_Toc192442198"/>
      <w:bookmarkStart w:id="1991" w:name="_Toc192423538"/>
      <w:bookmarkStart w:id="1992" w:name="_Toc192425080"/>
      <w:bookmarkStart w:id="1993" w:name="_Toc192442199"/>
      <w:bookmarkStart w:id="1994" w:name="_Toc192423539"/>
      <w:bookmarkStart w:id="1995" w:name="_Toc192425081"/>
      <w:bookmarkStart w:id="1996" w:name="_Toc192442200"/>
      <w:bookmarkStart w:id="1997" w:name="_Toc192423540"/>
      <w:bookmarkStart w:id="1998" w:name="_Toc192425082"/>
      <w:bookmarkStart w:id="1999" w:name="_Toc192442201"/>
      <w:bookmarkStart w:id="2000" w:name="_Toc192423541"/>
      <w:bookmarkStart w:id="2001" w:name="_Toc192425083"/>
      <w:bookmarkStart w:id="2002" w:name="_Toc192442202"/>
      <w:bookmarkStart w:id="2003" w:name="_Toc192423542"/>
      <w:bookmarkStart w:id="2004" w:name="_Toc192425084"/>
      <w:bookmarkStart w:id="2005" w:name="_Toc192442203"/>
      <w:bookmarkStart w:id="2006" w:name="_Toc192423543"/>
      <w:bookmarkStart w:id="2007" w:name="_Toc192425085"/>
      <w:bookmarkStart w:id="2008" w:name="_Toc192442204"/>
      <w:bookmarkStart w:id="2009" w:name="_Toc192423544"/>
      <w:bookmarkStart w:id="2010" w:name="_Toc192425086"/>
      <w:bookmarkStart w:id="2011" w:name="_Toc192442205"/>
      <w:bookmarkStart w:id="2012" w:name="_Toc192423545"/>
      <w:bookmarkStart w:id="2013" w:name="_Toc192425087"/>
      <w:bookmarkStart w:id="2014" w:name="_Toc192442206"/>
      <w:bookmarkStart w:id="2015" w:name="_Toc192423546"/>
      <w:bookmarkStart w:id="2016" w:name="_Toc192425088"/>
      <w:bookmarkStart w:id="2017" w:name="_Toc192442207"/>
      <w:bookmarkStart w:id="2018" w:name="_Toc192423547"/>
      <w:bookmarkStart w:id="2019" w:name="_Toc192425089"/>
      <w:bookmarkStart w:id="2020" w:name="_Toc192442208"/>
      <w:bookmarkStart w:id="2021" w:name="_Toc192423548"/>
      <w:bookmarkStart w:id="2022" w:name="_Toc192425090"/>
      <w:bookmarkStart w:id="2023" w:name="_Toc192442209"/>
      <w:bookmarkStart w:id="2024" w:name="_Toc192423549"/>
      <w:bookmarkStart w:id="2025" w:name="_Toc192425091"/>
      <w:bookmarkStart w:id="2026" w:name="_Toc192442210"/>
      <w:bookmarkStart w:id="2027" w:name="_Toc192423550"/>
      <w:bookmarkStart w:id="2028" w:name="_Toc192425092"/>
      <w:bookmarkStart w:id="2029" w:name="_Toc192442211"/>
      <w:bookmarkStart w:id="2030" w:name="_Toc192423551"/>
      <w:bookmarkStart w:id="2031" w:name="_Toc192425093"/>
      <w:bookmarkStart w:id="2032" w:name="_Toc192442212"/>
      <w:bookmarkStart w:id="2033" w:name="_Toc192423552"/>
      <w:bookmarkStart w:id="2034" w:name="_Toc192425094"/>
      <w:bookmarkStart w:id="2035" w:name="_Toc192442213"/>
      <w:bookmarkStart w:id="2036" w:name="_Toc192423553"/>
      <w:bookmarkStart w:id="2037" w:name="_Toc192425095"/>
      <w:bookmarkStart w:id="2038" w:name="_Toc192442214"/>
      <w:bookmarkStart w:id="2039" w:name="_Toc192423554"/>
      <w:bookmarkStart w:id="2040" w:name="_Toc192425096"/>
      <w:bookmarkStart w:id="2041" w:name="_Toc192442215"/>
      <w:bookmarkStart w:id="2042" w:name="_Toc192423555"/>
      <w:bookmarkStart w:id="2043" w:name="_Toc192425097"/>
      <w:bookmarkStart w:id="2044" w:name="_Toc192442216"/>
      <w:bookmarkStart w:id="2045" w:name="_Toc192423556"/>
      <w:bookmarkStart w:id="2046" w:name="_Toc192425098"/>
      <w:bookmarkStart w:id="2047" w:name="_Toc192442217"/>
      <w:bookmarkStart w:id="2048" w:name="_Toc192423557"/>
      <w:bookmarkStart w:id="2049" w:name="_Toc192425099"/>
      <w:bookmarkStart w:id="2050" w:name="_Toc192442218"/>
      <w:bookmarkStart w:id="2051" w:name="_Toc192423558"/>
      <w:bookmarkStart w:id="2052" w:name="_Toc192425100"/>
      <w:bookmarkStart w:id="2053" w:name="_Toc192442219"/>
      <w:bookmarkStart w:id="2054" w:name="_Toc192423559"/>
      <w:bookmarkStart w:id="2055" w:name="_Toc192425101"/>
      <w:bookmarkStart w:id="2056" w:name="_Toc192442220"/>
      <w:bookmarkStart w:id="2057" w:name="_Toc192423560"/>
      <w:bookmarkStart w:id="2058" w:name="_Toc192425102"/>
      <w:bookmarkStart w:id="2059" w:name="_Toc192442221"/>
      <w:bookmarkStart w:id="2060" w:name="_Toc192423562"/>
      <w:bookmarkStart w:id="2061" w:name="_Toc192425104"/>
      <w:bookmarkStart w:id="2062" w:name="_Toc192442223"/>
      <w:bookmarkStart w:id="2063" w:name="_Toc192423563"/>
      <w:bookmarkStart w:id="2064" w:name="_Toc192425105"/>
      <w:bookmarkStart w:id="2065" w:name="_Toc192442224"/>
      <w:bookmarkStart w:id="2066" w:name="_Toc192423564"/>
      <w:bookmarkStart w:id="2067" w:name="_Toc192425106"/>
      <w:bookmarkStart w:id="2068" w:name="_Toc192442225"/>
      <w:bookmarkStart w:id="2069" w:name="_Toc192423565"/>
      <w:bookmarkStart w:id="2070" w:name="_Toc192425107"/>
      <w:bookmarkStart w:id="2071" w:name="_Toc192442226"/>
      <w:bookmarkStart w:id="2072" w:name="_Toc192423566"/>
      <w:bookmarkStart w:id="2073" w:name="_Toc192425108"/>
      <w:bookmarkStart w:id="2074" w:name="_Toc192442227"/>
      <w:bookmarkStart w:id="2075" w:name="_Toc192423567"/>
      <w:bookmarkStart w:id="2076" w:name="_Toc192425109"/>
      <w:bookmarkStart w:id="2077" w:name="_Toc192442228"/>
      <w:bookmarkStart w:id="2078" w:name="_Toc192423568"/>
      <w:bookmarkStart w:id="2079" w:name="_Toc192425110"/>
      <w:bookmarkStart w:id="2080" w:name="_Toc192442229"/>
      <w:bookmarkStart w:id="2081" w:name="_Toc192423569"/>
      <w:bookmarkStart w:id="2082" w:name="_Toc192425111"/>
      <w:bookmarkStart w:id="2083" w:name="_Toc192442230"/>
      <w:bookmarkStart w:id="2084" w:name="_Toc192423570"/>
      <w:bookmarkStart w:id="2085" w:name="_Toc192425112"/>
      <w:bookmarkStart w:id="2086" w:name="_Toc192442231"/>
      <w:bookmarkStart w:id="2087" w:name="_Toc192423571"/>
      <w:bookmarkStart w:id="2088" w:name="_Toc192425113"/>
      <w:bookmarkStart w:id="2089" w:name="_Toc192442232"/>
      <w:bookmarkStart w:id="2090" w:name="_Toc192423572"/>
      <w:bookmarkStart w:id="2091" w:name="_Toc192425114"/>
      <w:bookmarkStart w:id="2092" w:name="_Toc192442233"/>
      <w:bookmarkStart w:id="2093" w:name="_Toc192423573"/>
      <w:bookmarkStart w:id="2094" w:name="_Toc192425115"/>
      <w:bookmarkStart w:id="2095" w:name="_Toc192442234"/>
      <w:bookmarkStart w:id="2096" w:name="_Toc192423574"/>
      <w:bookmarkStart w:id="2097" w:name="_Toc192425116"/>
      <w:bookmarkStart w:id="2098" w:name="_Toc192442235"/>
      <w:bookmarkStart w:id="2099" w:name="_Toc192423575"/>
      <w:bookmarkStart w:id="2100" w:name="_Toc192425117"/>
      <w:bookmarkStart w:id="2101" w:name="_Toc192442236"/>
      <w:bookmarkStart w:id="2102" w:name="_Toc192423576"/>
      <w:bookmarkStart w:id="2103" w:name="_Toc192425118"/>
      <w:bookmarkStart w:id="2104" w:name="_Toc192442237"/>
      <w:bookmarkStart w:id="2105" w:name="_Toc192423577"/>
      <w:bookmarkStart w:id="2106" w:name="_Toc192425119"/>
      <w:bookmarkStart w:id="2107" w:name="_Toc192442238"/>
      <w:bookmarkStart w:id="2108" w:name="_Toc192423578"/>
      <w:bookmarkStart w:id="2109" w:name="_Toc192425120"/>
      <w:bookmarkStart w:id="2110" w:name="_Toc192442239"/>
      <w:bookmarkStart w:id="2111" w:name="_Toc192423579"/>
      <w:bookmarkStart w:id="2112" w:name="_Toc192425121"/>
      <w:bookmarkStart w:id="2113" w:name="_Toc192442240"/>
      <w:bookmarkStart w:id="2114" w:name="_Toc192423580"/>
      <w:bookmarkStart w:id="2115" w:name="_Toc192425122"/>
      <w:bookmarkStart w:id="2116" w:name="_Toc192442241"/>
      <w:bookmarkStart w:id="2117" w:name="_Toc192423581"/>
      <w:bookmarkStart w:id="2118" w:name="_Toc192425123"/>
      <w:bookmarkStart w:id="2119" w:name="_Toc192442242"/>
      <w:bookmarkStart w:id="2120" w:name="_Toc192423582"/>
      <w:bookmarkStart w:id="2121" w:name="_Toc192425124"/>
      <w:bookmarkStart w:id="2122" w:name="_Toc192442243"/>
      <w:bookmarkStart w:id="2123" w:name="_Toc192423583"/>
      <w:bookmarkStart w:id="2124" w:name="_Toc192425125"/>
      <w:bookmarkStart w:id="2125" w:name="_Toc192442244"/>
      <w:bookmarkStart w:id="2126" w:name="_Toc192423584"/>
      <w:bookmarkStart w:id="2127" w:name="_Toc192425126"/>
      <w:bookmarkStart w:id="2128" w:name="_Toc192442245"/>
      <w:bookmarkStart w:id="2129" w:name="_Toc192423585"/>
      <w:bookmarkStart w:id="2130" w:name="_Toc192425127"/>
      <w:bookmarkStart w:id="2131" w:name="_Toc192442246"/>
      <w:bookmarkStart w:id="2132" w:name="_Toc192423586"/>
      <w:bookmarkStart w:id="2133" w:name="_Toc192425128"/>
      <w:bookmarkStart w:id="2134" w:name="_Toc192442247"/>
      <w:bookmarkStart w:id="2135" w:name="_Toc192423587"/>
      <w:bookmarkStart w:id="2136" w:name="_Toc192425129"/>
      <w:bookmarkStart w:id="2137" w:name="_Toc192442248"/>
      <w:bookmarkStart w:id="2138" w:name="_Toc192423588"/>
      <w:bookmarkStart w:id="2139" w:name="_Toc192425130"/>
      <w:bookmarkStart w:id="2140" w:name="_Toc192442249"/>
      <w:bookmarkStart w:id="2141" w:name="_Toc198730837"/>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t>Indian Mining Consultancy Overview</w:t>
      </w:r>
      <w:bookmarkEnd w:id="2141"/>
    </w:p>
    <w:p w14:paraId="07FA156F" w14:textId="77777777" w:rsidR="008A6BAD" w:rsidRDefault="008A6BAD" w:rsidP="008A6BAD">
      <w:pPr>
        <w:pStyle w:val="Heading2"/>
        <w:ind w:right="450"/>
      </w:pPr>
      <w:bookmarkStart w:id="2142" w:name="_Toc198730838"/>
      <w:r w:rsidRPr="00645842">
        <w:t>Overview</w:t>
      </w:r>
      <w:r>
        <w:t xml:space="preserve"> of the Indian Mining consulting services industry</w:t>
      </w:r>
      <w:bookmarkEnd w:id="2142"/>
    </w:p>
    <w:p w14:paraId="20150018" w14:textId="77777777" w:rsidR="008A6BAD" w:rsidRPr="004B4C2C" w:rsidRDefault="008A6BAD" w:rsidP="008A6BAD">
      <w:pPr>
        <w:pStyle w:val="Heading30"/>
        <w:ind w:right="450"/>
      </w:pPr>
      <w:r w:rsidRPr="004B4C2C">
        <w:t>Mining Consultancy Market Outlook</w:t>
      </w:r>
    </w:p>
    <w:p w14:paraId="0E8DF747" w14:textId="25D7F2FA" w:rsidR="008A6BAD" w:rsidRDefault="008A6BAD" w:rsidP="008A6BAD">
      <w:pPr>
        <w:ind w:right="450"/>
      </w:pPr>
      <w:r>
        <w:t xml:space="preserve">The Consultancy services are defined as independent specialist and strategic advice or provision of expertise to organizations across industries for consideration and informed decision making. These consulting services help to make strategic decisions about capital project management, corporate strategy and expansions, performance improvement, digital transformation etc. </w:t>
      </w:r>
      <w:r w:rsidRPr="006F1E30">
        <w:t xml:space="preserve">The global </w:t>
      </w:r>
      <w:r>
        <w:t>m</w:t>
      </w:r>
      <w:r w:rsidRPr="006F1E30">
        <w:t xml:space="preserve">ining </w:t>
      </w:r>
      <w:r>
        <w:t>c</w:t>
      </w:r>
      <w:r w:rsidRPr="006F1E30">
        <w:t>onsultancy market is projected to experience significant growth from 2024 to 2031</w:t>
      </w:r>
      <w:r>
        <w:t xml:space="preserve">. </w:t>
      </w:r>
      <w:r w:rsidRPr="00AA3256">
        <w:t>The mining consulting services are intricately linked to the mining sector, which has experienced a growth</w:t>
      </w:r>
      <w:r>
        <w:t xml:space="preserve"> (CAGR)</w:t>
      </w:r>
      <w:r w:rsidRPr="00AA3256">
        <w:t xml:space="preserve"> of </w:t>
      </w:r>
      <w:r w:rsidRPr="00D82C1C">
        <w:t>3.39%</w:t>
      </w:r>
      <w:r>
        <w:t xml:space="preserve"> from 2018 to 2023</w:t>
      </w:r>
      <w:r>
        <w:rPr>
          <w:rStyle w:val="FootnoteReference"/>
        </w:rPr>
        <w:footnoteReference w:id="47"/>
      </w:r>
      <w:r>
        <w:t xml:space="preserve">. </w:t>
      </w:r>
      <w:r w:rsidRPr="00F339D4">
        <w:t>The Indian mining consultancy sector is projected to witness significant growth, with revenues expected to reach Rs 40,071 million by fiscal 2030, representing a substantial increase from Rs 25,701 million in fiscal 2024.</w:t>
      </w:r>
      <w:r w:rsidRPr="006F1E30">
        <w:t>, driven by increasing demand</w:t>
      </w:r>
      <w:r>
        <w:t>,</w:t>
      </w:r>
      <w:r w:rsidRPr="006F1E30">
        <w:t xml:space="preserve"> favorable industry dynamics</w:t>
      </w:r>
      <w:r>
        <w:t xml:space="preserve"> and </w:t>
      </w:r>
      <w:r w:rsidRPr="006F1E30">
        <w:t xml:space="preserve">technological advancements. </w:t>
      </w:r>
    </w:p>
    <w:p w14:paraId="77540EBE" w14:textId="77777777" w:rsidR="008A6BAD" w:rsidRPr="00771B7F" w:rsidRDefault="008A6BAD" w:rsidP="008A6BAD">
      <w:pPr>
        <w:ind w:right="450"/>
      </w:pPr>
      <w:r w:rsidRPr="008357D9">
        <w:t>Th</w:t>
      </w:r>
      <w:r>
        <w:t xml:space="preserve">e </w:t>
      </w:r>
      <w:r w:rsidRPr="008357D9">
        <w:t>growth</w:t>
      </w:r>
      <w:r>
        <w:t xml:space="preserve"> in the mining consultancy market </w:t>
      </w:r>
      <w:r w:rsidRPr="008357D9">
        <w:t xml:space="preserve">is </w:t>
      </w:r>
      <w:r>
        <w:t xml:space="preserve">further fueled </w:t>
      </w:r>
      <w:r w:rsidRPr="008357D9">
        <w:t>by an increasing demand for sustainable mining practices, technological advancements, and heightened investment in mineral exploration and mining infrastructure. The integration of digital tools and data analytics in mining operations, alongside a rising emphasis on environmental compliance and sustainable resource management are pivotal factors fueling this market's expansion. As mining companies continue to face pressure to enhance operational efficiency while minimizing environmental impact, consulting services that provide innovative solutions and strategic insights have become indispensable.</w:t>
      </w:r>
      <w:r>
        <w:t xml:space="preserve"> </w:t>
      </w:r>
    </w:p>
    <w:p w14:paraId="6EC698D0" w14:textId="77777777" w:rsidR="008A6BAD" w:rsidRPr="00771B7F" w:rsidRDefault="008A6BAD" w:rsidP="008A6BAD">
      <w:pPr>
        <w:ind w:right="450"/>
      </w:pPr>
      <w:r w:rsidRPr="00771B7F">
        <w:t xml:space="preserve">In addition to environment consulting services, mining consulting firms play a significant role in data generation though geological, geophysical and geo-engineering exploration and thereafter preparation of various technical and commercial reports as well as project reports. To sustain the GDP growth and simultaneously meet the raw material demand from power, manufacturing and infrastructure sectors, it is crucial to augment the country's natural resource base. This can be achieved through exploration, which is essential for discovering new resources. Consulting firms play a vital role in establishing resource/ reserves of minerals through exploration.  </w:t>
      </w:r>
      <w:r>
        <w:t xml:space="preserve">Further, consulting firms help to access technical &amp; commercial feasibility of extracting resources and also prepare bankable reports to facilitate investment decisions. </w:t>
      </w:r>
    </w:p>
    <w:p w14:paraId="53E16543" w14:textId="77777777" w:rsidR="008A6BAD" w:rsidRPr="00771B7F" w:rsidRDefault="008A6BAD" w:rsidP="008A6BAD">
      <w:pPr>
        <w:ind w:right="450"/>
      </w:pPr>
      <w:r w:rsidRPr="00771B7F">
        <w:t xml:space="preserve">Technological advancements in the mining sector also play a crucial role in driving the consulting services market. The adoption of digital technologies such as artificial intelligence (AI), internet of things (IoT), and big data analytics is revolutionizing mining industry, allowing companies to optimize resource management, enhance safety protocols and increase productivity. As these technologies become integral to mining strategies, consulting firms that offer expertise in digital transformation and technology integration are experiencing robust demand. </w:t>
      </w:r>
    </w:p>
    <w:p w14:paraId="08F6A55E" w14:textId="77777777" w:rsidR="008A6BAD" w:rsidRDefault="008A6BAD" w:rsidP="008A6BAD">
      <w:pPr>
        <w:pStyle w:val="Heading30"/>
        <w:ind w:right="450"/>
        <w:rPr>
          <w:bCs/>
        </w:rPr>
      </w:pPr>
      <w:r w:rsidRPr="00F96371">
        <w:rPr>
          <w:bCs/>
        </w:rPr>
        <w:t>Service Type Analysis</w:t>
      </w:r>
    </w:p>
    <w:p w14:paraId="7932BB72" w14:textId="77777777" w:rsidR="008A6BAD" w:rsidRDefault="008A6BAD" w:rsidP="008A6BAD">
      <w:pPr>
        <w:ind w:right="450"/>
      </w:pPr>
      <w:r w:rsidRPr="00616C11">
        <w:t>The mining consulting service market can be segmented by service type into exploration, feasibility studies, environmental consulting, mine planning, and others.</w:t>
      </w:r>
    </w:p>
    <w:p w14:paraId="2A4DFC60" w14:textId="77777777" w:rsidR="008A6BAD" w:rsidRDefault="008A6BAD" w:rsidP="008A6BAD">
      <w:pPr>
        <w:pStyle w:val="Heading40"/>
        <w:ind w:right="450"/>
      </w:pPr>
      <w:r>
        <w:t>Exploration</w:t>
      </w:r>
    </w:p>
    <w:p w14:paraId="0CD7C160" w14:textId="38A0AC1B" w:rsidR="008A6BAD" w:rsidRDefault="008A6BAD" w:rsidP="008A6BAD">
      <w:pPr>
        <w:ind w:right="450"/>
      </w:pPr>
      <w:r w:rsidRPr="00616C11">
        <w:t>Exploration consulting services are critical in the early stages of mining projects, where the focus is on identifying</w:t>
      </w:r>
      <w:r>
        <w:t xml:space="preserve">, </w:t>
      </w:r>
      <w:r w:rsidRPr="00616C11">
        <w:t xml:space="preserve">evaluating </w:t>
      </w:r>
      <w:r>
        <w:t xml:space="preserve">and establishing </w:t>
      </w:r>
      <w:r w:rsidRPr="00616C11">
        <w:t xml:space="preserve">mineral resources. Consulting firms in this segment provide expertise in </w:t>
      </w:r>
      <w:r>
        <w:t xml:space="preserve">reconnaissance study involving </w:t>
      </w:r>
      <w:r w:rsidRPr="00616C11">
        <w:t xml:space="preserve">geological </w:t>
      </w:r>
      <w:r>
        <w:t>mapping, pitting</w:t>
      </w:r>
      <w:r w:rsidR="00204B79">
        <w:t>,</w:t>
      </w:r>
      <w:r>
        <w:t xml:space="preserve"> trenching</w:t>
      </w:r>
      <w:r w:rsidRPr="00616C11">
        <w:t>, geochemical analysis</w:t>
      </w:r>
      <w:r>
        <w:t xml:space="preserve"> thereafter</w:t>
      </w:r>
      <w:r w:rsidRPr="00616C11">
        <w:t xml:space="preserve"> geophysical data </w:t>
      </w:r>
      <w:r>
        <w:t xml:space="preserve">generation and </w:t>
      </w:r>
      <w:r w:rsidRPr="00616C11">
        <w:t xml:space="preserve">interpretation </w:t>
      </w:r>
      <w:r>
        <w:t xml:space="preserve">and finally drilling </w:t>
      </w:r>
      <w:r w:rsidRPr="00616C11">
        <w:t>to assess the potential</w:t>
      </w:r>
      <w:r>
        <w:t>ity</w:t>
      </w:r>
      <w:r w:rsidRPr="00616C11">
        <w:t xml:space="preserve"> of </w:t>
      </w:r>
      <w:r>
        <w:t xml:space="preserve">the </w:t>
      </w:r>
      <w:r w:rsidRPr="00616C11">
        <w:t xml:space="preserve">mining site. The demand for exploration services is expected to grow as mining companies intensify their efforts to discover new mineral deposits to meet </w:t>
      </w:r>
      <w:r>
        <w:t xml:space="preserve">the </w:t>
      </w:r>
      <w:r w:rsidRPr="00616C11">
        <w:t>rising global demand.</w:t>
      </w:r>
    </w:p>
    <w:p w14:paraId="4C2232D3" w14:textId="77777777" w:rsidR="008A6BAD" w:rsidRDefault="008A6BAD" w:rsidP="008A6BAD">
      <w:pPr>
        <w:pStyle w:val="Heading40"/>
        <w:ind w:right="450"/>
      </w:pPr>
      <w:r w:rsidRPr="00616C11">
        <w:t xml:space="preserve">Feasibility </w:t>
      </w:r>
      <w:r>
        <w:t>S</w:t>
      </w:r>
      <w:r w:rsidRPr="00616C11">
        <w:t>tudies</w:t>
      </w:r>
    </w:p>
    <w:p w14:paraId="5704B645" w14:textId="77777777" w:rsidR="008A6BAD" w:rsidRDefault="008A6BAD" w:rsidP="008A6BAD">
      <w:pPr>
        <w:ind w:right="450"/>
      </w:pPr>
      <w:r w:rsidRPr="00616C11">
        <w:t xml:space="preserve">Feasibility studies represent another significant segment within the mining consulting service market. These studies are essential for evaluating the technical and economic viability of a mining project </w:t>
      </w:r>
      <w:r>
        <w:t>prior to</w:t>
      </w:r>
      <w:r w:rsidRPr="00616C11">
        <w:t xml:space="preserve"> large-scale investment. Consulting firms conduct comprehensive assessments covering various aspects such as </w:t>
      </w:r>
      <w:r>
        <w:t xml:space="preserve">market assessment, </w:t>
      </w:r>
      <w:r w:rsidRPr="00616C11">
        <w:t>resource estimation, mine design, processing methods</w:t>
      </w:r>
      <w:r>
        <w:t xml:space="preserve">, </w:t>
      </w:r>
      <w:r w:rsidRPr="00616C11">
        <w:t>financial modeling</w:t>
      </w:r>
      <w:r>
        <w:t xml:space="preserve"> and risk analysis</w:t>
      </w:r>
      <w:r w:rsidRPr="00616C11">
        <w:t>. The increasing importance of risk management and investment security in the mining sector is driving the demand for detailed feasibility studies.</w:t>
      </w:r>
    </w:p>
    <w:p w14:paraId="6AD16B4D" w14:textId="77777777" w:rsidR="008A6BAD" w:rsidRDefault="008A6BAD" w:rsidP="008A6BAD">
      <w:pPr>
        <w:pStyle w:val="Heading40"/>
        <w:ind w:right="450"/>
      </w:pPr>
      <w:r w:rsidRPr="00616C11">
        <w:t xml:space="preserve">Mine </w:t>
      </w:r>
      <w:r>
        <w:t>P</w:t>
      </w:r>
      <w:r w:rsidRPr="00616C11">
        <w:t>lanning</w:t>
      </w:r>
      <w:r>
        <w:t xml:space="preserve"> and Design</w:t>
      </w:r>
    </w:p>
    <w:p w14:paraId="7F0E5AEF" w14:textId="77777777" w:rsidR="008A6BAD" w:rsidRDefault="008A6BAD" w:rsidP="008A6BAD">
      <w:pPr>
        <w:ind w:right="450"/>
      </w:pPr>
      <w:r w:rsidRPr="00616C11">
        <w:t>Mine planning services are integral to the efficient development and operation of mining projects. Consulting firms in this segment provide expertise in mine design, scheduling, and optimization to maximize resource extraction and minimize operational costs. The increasing complexity of modern mining operations, coupled with the need for technological integration, is driving demand for mine planning services.</w:t>
      </w:r>
    </w:p>
    <w:p w14:paraId="64C38DAA" w14:textId="77777777" w:rsidR="008A6BAD" w:rsidRDefault="008A6BAD" w:rsidP="008A6BAD">
      <w:pPr>
        <w:pStyle w:val="Heading40"/>
        <w:ind w:right="450"/>
      </w:pPr>
      <w:r w:rsidRPr="00616C11">
        <w:t xml:space="preserve">Environmental </w:t>
      </w:r>
      <w:r>
        <w:t>C</w:t>
      </w:r>
      <w:r w:rsidRPr="00616C11">
        <w:t>onsulting</w:t>
      </w:r>
    </w:p>
    <w:p w14:paraId="3D1EA2ED" w14:textId="77777777" w:rsidR="008A6BAD" w:rsidRPr="00616C11" w:rsidRDefault="008A6BAD" w:rsidP="008A6BAD">
      <w:pPr>
        <w:ind w:right="450"/>
      </w:pPr>
      <w:r w:rsidRPr="00616C11">
        <w:t>Environmental consulting services have gained prominence as sustainability becomes a central concern for the mining industry. Consulting firms specializing in environmental assessments help mining companies comply with regulatory requirements and implement sustainable practices. These services include environmental impact assessments, remediation planning, waste management and biodiversity conservation.</w:t>
      </w:r>
    </w:p>
    <w:p w14:paraId="5B5D34B7" w14:textId="77777777" w:rsidR="008A6BAD" w:rsidRDefault="008A6BAD" w:rsidP="008A6BAD">
      <w:pPr>
        <w:pStyle w:val="Heading40"/>
        <w:ind w:right="450"/>
      </w:pPr>
      <w:r>
        <w:t>Management services</w:t>
      </w:r>
    </w:p>
    <w:p w14:paraId="21BC296C" w14:textId="77777777" w:rsidR="008A6BAD" w:rsidRPr="006571A6" w:rsidRDefault="008A6BAD" w:rsidP="008A6BAD">
      <w:pPr>
        <w:tabs>
          <w:tab w:val="left" w:pos="10440"/>
        </w:tabs>
        <w:ind w:right="450"/>
      </w:pPr>
      <w:r w:rsidRPr="006571A6">
        <w:t>Consulting firms offer comprehensive management and engineering support services to facilitate the successful implementation of projects, from conceptualization to commissioning (C2C). Their services encompass a range of activities, including</w:t>
      </w:r>
      <w:r>
        <w:t>, techno-economic evaluation, detailed design and efficiency optimization, energy auditing, site supervision and establishment of infrastructure.</w:t>
      </w:r>
    </w:p>
    <w:p w14:paraId="4A8DDF03" w14:textId="77777777" w:rsidR="008A6BAD" w:rsidRDefault="008A6BAD" w:rsidP="008A6BAD">
      <w:pPr>
        <w:pStyle w:val="Heading40"/>
        <w:ind w:right="450"/>
      </w:pPr>
      <w:r>
        <w:t>Technology and other related services</w:t>
      </w:r>
    </w:p>
    <w:p w14:paraId="3FB15A92" w14:textId="77777777" w:rsidR="008A6BAD" w:rsidRDefault="008A6BAD" w:rsidP="00662938">
      <w:pPr>
        <w:ind w:right="450"/>
      </w:pPr>
      <w:r>
        <w:t>Additionally mining</w:t>
      </w:r>
      <w:r w:rsidRPr="00CA4D3A">
        <w:t xml:space="preserve"> consulting firms provide technical support for</w:t>
      </w:r>
      <w:r>
        <w:t xml:space="preserve"> development and </w:t>
      </w:r>
      <w:r w:rsidRPr="00CA4D3A">
        <w:t>maintenance of</w:t>
      </w:r>
      <w:r>
        <w:t xml:space="preserve"> data management systems for effective monitoring and tracking of progress such as </w:t>
      </w:r>
      <w:r w:rsidRPr="00CA4D3A">
        <w:t>the Mine Data Management System Portal (MDMS), which showcases key features of projects monitored by organizations such as CIL. This includes tracking the progress of coal projects, encompassing various aspects such as Environmental Clearance (EC), Forest Clearance (FC), Land Acquisition, Rehabilitation &amp; Resettlement (R&amp;R), financial metrics, HEMM procurement, production, and major infrastructure development, including Coal Handling Plants (CHP), silos, washeries, railway sidings, and more.</w:t>
      </w:r>
      <w:r>
        <w:t xml:space="preserve"> </w:t>
      </w:r>
      <w:r w:rsidRPr="00E60626">
        <w:t>CMPDIL's 5G Use Case Lab is a testing hub for 5G technology in the coal mining industry. It aims to develop and test 5G use cases to enhance mining operations, improving efficiency, safety, and sustainability.</w:t>
      </w:r>
      <w:r>
        <w:t xml:space="preserve">  </w:t>
      </w:r>
    </w:p>
    <w:p w14:paraId="6E07000E" w14:textId="1517791A" w:rsidR="00655204" w:rsidRDefault="00655204" w:rsidP="00662938">
      <w:pPr>
        <w:pStyle w:val="Heading40"/>
        <w:ind w:right="450"/>
      </w:pPr>
      <w:r>
        <w:t>Research and Development</w:t>
      </w:r>
    </w:p>
    <w:p w14:paraId="1D9A0848" w14:textId="77777777" w:rsidR="00655204" w:rsidRDefault="00655204" w:rsidP="00655204">
      <w:pPr>
        <w:ind w:right="450"/>
      </w:pPr>
      <w:r>
        <w:t xml:space="preserve">Research and development activities in mining consultancy sector involves extensive usage of technologies in exploration, development and production of conventional and non-conventional energy resources like Coal Bed Methane (CBM) for improvement of productivity, safety, protection of environment and ecology etc. Some key R&amp;D activities undertaken includes the following: </w:t>
      </w:r>
    </w:p>
    <w:p w14:paraId="393C7AEA" w14:textId="77777777" w:rsidR="00655204" w:rsidRDefault="00655204" w:rsidP="00655204">
      <w:pPr>
        <w:pStyle w:val="ListParagraph"/>
        <w:numPr>
          <w:ilvl w:val="0"/>
          <w:numId w:val="46"/>
        </w:numPr>
        <w:jc w:val="left"/>
      </w:pPr>
      <w:r>
        <w:t>Use of technology to analyze the performance of explosives in field conditions</w:t>
      </w:r>
    </w:p>
    <w:p w14:paraId="604424CB" w14:textId="77777777" w:rsidR="00655204" w:rsidRDefault="00655204" w:rsidP="00655204">
      <w:pPr>
        <w:pStyle w:val="ListParagraph"/>
        <w:numPr>
          <w:ilvl w:val="0"/>
          <w:numId w:val="46"/>
        </w:numPr>
        <w:jc w:val="left"/>
      </w:pPr>
      <w:r>
        <w:t>Effective design of barrier pillars for safety in underground mines</w:t>
      </w:r>
    </w:p>
    <w:p w14:paraId="31446C05" w14:textId="77777777" w:rsidR="00655204" w:rsidRDefault="00655204" w:rsidP="00655204">
      <w:pPr>
        <w:pStyle w:val="ListParagraph"/>
        <w:numPr>
          <w:ilvl w:val="0"/>
          <w:numId w:val="46"/>
        </w:numPr>
        <w:ind w:right="450"/>
      </w:pPr>
      <w:r>
        <w:t xml:space="preserve">Assessment of rare earth elements and other economic resources </w:t>
      </w:r>
    </w:p>
    <w:p w14:paraId="28F0C15A" w14:textId="77777777" w:rsidR="00655204" w:rsidRDefault="00655204" w:rsidP="00655204">
      <w:pPr>
        <w:pStyle w:val="ListParagraph"/>
        <w:numPr>
          <w:ilvl w:val="0"/>
          <w:numId w:val="46"/>
        </w:numPr>
        <w:ind w:right="450"/>
      </w:pPr>
      <w:r>
        <w:t>Development of indigenous IoT based technology for monitoring of mining activities in underground mines for improving safety and productivity</w:t>
      </w:r>
    </w:p>
    <w:p w14:paraId="373662C0" w14:textId="77777777" w:rsidR="00655204" w:rsidRPr="0051091C" w:rsidRDefault="00655204" w:rsidP="00655204">
      <w:pPr>
        <w:pStyle w:val="ListParagraph"/>
        <w:numPr>
          <w:ilvl w:val="0"/>
          <w:numId w:val="46"/>
        </w:numPr>
        <w:ind w:right="450"/>
      </w:pPr>
      <w:r>
        <w:t xml:space="preserve">Network for integrated voice, video and data communication in opencast coal mines </w:t>
      </w:r>
    </w:p>
    <w:p w14:paraId="38D559C8" w14:textId="77777777" w:rsidR="008A6BAD" w:rsidRDefault="008A6BAD" w:rsidP="008A6BAD">
      <w:pPr>
        <w:pStyle w:val="Heading2"/>
      </w:pPr>
      <w:bookmarkStart w:id="2143" w:name="_Toc198730839"/>
      <w:r w:rsidRPr="00366E38">
        <w:t>Market assessment of exploration and allied services related to coal/ consultancy</w:t>
      </w:r>
      <w:bookmarkEnd w:id="2143"/>
    </w:p>
    <w:p w14:paraId="6778D1F8" w14:textId="73DB417E" w:rsidR="00851C24" w:rsidRDefault="00D82D7A" w:rsidP="00851C24">
      <w:pPr>
        <w:pStyle w:val="Heading30"/>
        <w:ind w:right="450"/>
      </w:pPr>
      <w:r>
        <w:t xml:space="preserve">Key </w:t>
      </w:r>
      <w:r w:rsidR="00851C24">
        <w:t xml:space="preserve">Commodity </w:t>
      </w:r>
      <w:r>
        <w:t>Outlook</w:t>
      </w:r>
    </w:p>
    <w:p w14:paraId="211C034B" w14:textId="77777777" w:rsidR="00851C24" w:rsidRDefault="00851C24" w:rsidP="00851C24">
      <w:pPr>
        <w:ind w:right="450"/>
      </w:pPr>
      <w:r>
        <w:t>The commodity segment of the mining consulting service market is categorized into coal, ferrous, non- ferrous and others.</w:t>
      </w:r>
    </w:p>
    <w:p w14:paraId="4AB712D0" w14:textId="77777777" w:rsidR="00851C24" w:rsidRPr="00044273" w:rsidRDefault="00851C24" w:rsidP="00851C24">
      <w:pPr>
        <w:pStyle w:val="Heading40"/>
        <w:ind w:right="450"/>
      </w:pPr>
      <w:r w:rsidRPr="00044273">
        <w:t>Coal</w:t>
      </w:r>
    </w:p>
    <w:p w14:paraId="6C5982BC" w14:textId="77777777" w:rsidR="00851C24" w:rsidRDefault="00851C24" w:rsidP="00851C24">
      <w:pPr>
        <w:ind w:right="450"/>
      </w:pPr>
      <w:r>
        <w:t xml:space="preserve">Coal consulting services remain important due to the continued reliance on coal as a primary energy source in many regions. Despite a global shift towards cleaner energy, coal remains a critical commodity in several developing economies, necessitating consulting services for exploration, extraction, and environmental management. </w:t>
      </w:r>
    </w:p>
    <w:p w14:paraId="40F969F2" w14:textId="77777777" w:rsidR="00851C24" w:rsidRDefault="00851C24" w:rsidP="00851C24">
      <w:pPr>
        <w:pStyle w:val="Heading40"/>
        <w:ind w:right="450"/>
      </w:pPr>
      <w:r>
        <w:t xml:space="preserve">Ferrous </w:t>
      </w:r>
    </w:p>
    <w:p w14:paraId="3B62484C" w14:textId="77777777" w:rsidR="00851C24" w:rsidRDefault="00851C24" w:rsidP="00851C24">
      <w:pPr>
        <w:pStyle w:val="Nomal"/>
      </w:pPr>
      <w:r>
        <w:t>The ferrous metals segment is a major driver in the mining consulting service market, including iron and its products like steel, stainless steel, cast iron, wrought iron etc. are essential for various industries, including construction, automobiles, and manufacturing. The global demand for ferrous metals is expected to increase, driven by infrastructure development and technological advancements. Consulting services in this segment focus on exploration,</w:t>
      </w:r>
      <w:r w:rsidRPr="00C06B74">
        <w:t xml:space="preserve"> </w:t>
      </w:r>
      <w:r>
        <w:t xml:space="preserve">mine planning and feasibility studies to optimize the extraction and processing of minerals. </w:t>
      </w:r>
    </w:p>
    <w:p w14:paraId="447C6E37" w14:textId="77777777" w:rsidR="00851C24" w:rsidRDefault="00851C24" w:rsidP="00851C24">
      <w:pPr>
        <w:pStyle w:val="Heading40"/>
        <w:ind w:right="450"/>
      </w:pPr>
      <w:r>
        <w:t xml:space="preserve">Non-Ferrous </w:t>
      </w:r>
    </w:p>
    <w:p w14:paraId="749D0F51" w14:textId="77777777" w:rsidR="00851C24" w:rsidRDefault="00851C24" w:rsidP="00851C24">
      <w:pPr>
        <w:ind w:right="450"/>
      </w:pPr>
      <w:r>
        <w:t xml:space="preserve">Minerals consulting services cover a wide range of non-ferrous resources, including bauxite, copper, lead, zinc etc. The demand for these minerals is supported by their diverse applications in various end- used industries such as aluminum, ceramics, glass, and electronics. Consulting firms in this segment offer services related to exploration, reserve estimation, and processing technologies. </w:t>
      </w:r>
    </w:p>
    <w:p w14:paraId="48618060" w14:textId="77777777" w:rsidR="00851C24" w:rsidRPr="00C246BC" w:rsidRDefault="00851C24" w:rsidP="00851C24">
      <w:pPr>
        <w:pStyle w:val="Heading30"/>
        <w:ind w:right="450"/>
      </w:pPr>
      <w:r w:rsidRPr="00C246BC">
        <w:t>Regional Outlook</w:t>
      </w:r>
    </w:p>
    <w:p w14:paraId="5F86B6B8" w14:textId="77777777" w:rsidR="00851C24" w:rsidRDefault="00851C24" w:rsidP="00851C24">
      <w:pPr>
        <w:pStyle w:val="Heading40"/>
        <w:ind w:right="450"/>
      </w:pPr>
      <w:r>
        <w:t>Asia Pacific</w:t>
      </w:r>
    </w:p>
    <w:p w14:paraId="4E1C947F" w14:textId="77777777" w:rsidR="00851C24" w:rsidRDefault="00851C24" w:rsidP="00851C24">
      <w:pPr>
        <w:ind w:right="450"/>
      </w:pPr>
      <w:r>
        <w:t>Regional outlook shows that the Asia Pacific region is expected to dominate the mining consulting service market, owing to its abundant mineral resources and the presence of major mining companies along with rising demand from various end used industries. Rapid industrialization in countries like China and India is fueling demand for raw materials, subsequently increasing the need for consulting services.</w:t>
      </w:r>
    </w:p>
    <w:p w14:paraId="3979BC4E" w14:textId="77777777" w:rsidR="00851C24" w:rsidRDefault="00851C24" w:rsidP="00851C24">
      <w:pPr>
        <w:pStyle w:val="Heading40"/>
        <w:ind w:right="450"/>
      </w:pPr>
      <w:r w:rsidRPr="00E443ED">
        <w:t>Middle East &amp; Africa and Latin America</w:t>
      </w:r>
    </w:p>
    <w:p w14:paraId="0E39D2F5" w14:textId="77777777" w:rsidR="00851C24" w:rsidRDefault="00851C24" w:rsidP="00851C24">
      <w:pPr>
        <w:ind w:right="450"/>
      </w:pPr>
      <w:r w:rsidRPr="00E443ED">
        <w:t xml:space="preserve">The Middle East &amp; Africa and Latin America are poised for moderate growth in the mining consulting service market. In the Middle East &amp; Africa, ongoing exploration activities and investments in mining infrastructure are driving demand for consulting services. The region's rich mineral reserves and growing interest in resource diversification present opportunities for consulting firms specializing in exploration and feasibility studies. Latin America, with its abundant mineral resources, is also experiencing increased demand for consulting services. </w:t>
      </w:r>
    </w:p>
    <w:p w14:paraId="5B5EB394" w14:textId="77777777" w:rsidR="00851C24" w:rsidRDefault="00851C24" w:rsidP="00851C24">
      <w:pPr>
        <w:pStyle w:val="Heading40"/>
        <w:ind w:right="450"/>
      </w:pPr>
      <w:r>
        <w:t>North America and Europe</w:t>
      </w:r>
    </w:p>
    <w:p w14:paraId="5B1C25E8" w14:textId="77777777" w:rsidR="00851C24" w:rsidRDefault="00851C24" w:rsidP="00851C24">
      <w:pPr>
        <w:ind w:right="450"/>
      </w:pPr>
      <w:r w:rsidRPr="001E4EE5">
        <w:t>The North American and European mining consulting markets are significant due to strict environmental regulations and a focus on sustainable mining practices. Digital technology is increasingly being used to boost operational efficiency, with consulting firms supporting organizations in this effort. The market is driven by the need for miners to enhance efficiency, reduce their environmental impact, and ensure regulatory compliance.</w:t>
      </w:r>
    </w:p>
    <w:p w14:paraId="0DF3A52A" w14:textId="77777777" w:rsidR="008A6BAD" w:rsidRDefault="008A6BAD" w:rsidP="008A6BAD">
      <w:pPr>
        <w:pStyle w:val="Heading30"/>
        <w:ind w:hanging="862"/>
      </w:pPr>
      <w:r>
        <w:t xml:space="preserve">Market assessment of </w:t>
      </w:r>
      <w:r w:rsidRPr="004B4C2C">
        <w:t>Mining Consultancy</w:t>
      </w:r>
    </w:p>
    <w:p w14:paraId="2B38B34A" w14:textId="7FBD46C7" w:rsidR="001670B3" w:rsidRPr="001670B3" w:rsidRDefault="002326AD" w:rsidP="00662938">
      <w:pPr>
        <w:pStyle w:val="Heading40"/>
      </w:pPr>
      <w:r>
        <w:t>Overview of Min</w:t>
      </w:r>
      <w:r w:rsidR="00AF2577">
        <w:t>in</w:t>
      </w:r>
      <w:r>
        <w:t xml:space="preserve">g Consultancy Market </w:t>
      </w:r>
    </w:p>
    <w:p w14:paraId="1BD400FF" w14:textId="77777777" w:rsidR="004427B5" w:rsidRDefault="004427B5" w:rsidP="00662938">
      <w:pPr>
        <w:ind w:right="450"/>
      </w:pPr>
      <w:r w:rsidRPr="00EE5E1E">
        <w:t xml:space="preserve">The mining industry is expected to grow significantly in the coming years, driven by the increasing </w:t>
      </w:r>
      <w:r>
        <w:t>GDP of India</w:t>
      </w:r>
      <w:r w:rsidRPr="00EE5E1E">
        <w:t>. The Indian government has also introduced several initiatives to boost the mining sector, such as the National Mineral Policy, 2019, and the Mines and Minerals (Development and Regulation) Amendment Act, 20</w:t>
      </w:r>
      <w:r>
        <w:t>20</w:t>
      </w:r>
      <w:r w:rsidRPr="00EE5E1E">
        <w:t>.</w:t>
      </w:r>
      <w:r>
        <w:t xml:space="preserve"> CMPDIL</w:t>
      </w:r>
      <w:r w:rsidRPr="00592266">
        <w:t xml:space="preserve"> has significant market opportunities in the areas of planning and design, geological exploration, environmental assessment, and digitalization and technology.</w:t>
      </w:r>
    </w:p>
    <w:p w14:paraId="5713E205" w14:textId="3BA1E30A" w:rsidR="008A6BAD" w:rsidRDefault="004427B5" w:rsidP="00662938">
      <w:pPr>
        <w:ind w:right="450"/>
        <w:rPr>
          <w:szCs w:val="20"/>
        </w:rPr>
      </w:pPr>
      <w:r w:rsidRPr="00453684">
        <w:t>Mining consultin</w:t>
      </w:r>
      <w:r>
        <w:t xml:space="preserve">g agencies with </w:t>
      </w:r>
      <w:r w:rsidRPr="00453684">
        <w:t>expert</w:t>
      </w:r>
      <w:r>
        <w:t xml:space="preserve">ized in </w:t>
      </w:r>
      <w:r w:rsidRPr="00453684">
        <w:t>provid</w:t>
      </w:r>
      <w:r>
        <w:t>ing</w:t>
      </w:r>
      <w:r w:rsidRPr="00453684">
        <w:t xml:space="preserve"> specialized services to support existing or prospective mining projects. Their primary goal is to add value to the project by optimizing operations, increasing efficiency, and mitigating risks.</w:t>
      </w:r>
      <w:r>
        <w:t xml:space="preserve"> </w:t>
      </w:r>
      <w:r w:rsidRPr="00943FF5">
        <w:t>The Indian mining consultancy sector plays a pivotal role in the nation's mining industry, offering expertise in exploration, feasibility studies, environmental compliance, and technological integration.</w:t>
      </w:r>
      <w:r>
        <w:t xml:space="preserve"> </w:t>
      </w:r>
      <w:r w:rsidR="008A6BAD">
        <w:rPr>
          <w:szCs w:val="20"/>
        </w:rPr>
        <w:t xml:space="preserve">There are various stages </w:t>
      </w:r>
      <w:r w:rsidR="008A6BAD" w:rsidRPr="006F0471">
        <w:rPr>
          <w:szCs w:val="20"/>
        </w:rPr>
        <w:t xml:space="preserve">involved in a mining </w:t>
      </w:r>
      <w:r w:rsidR="008A6BAD" w:rsidRPr="00301AFF">
        <w:rPr>
          <w:szCs w:val="20"/>
        </w:rPr>
        <w:t>project</w:t>
      </w:r>
      <w:r w:rsidR="008A6BAD">
        <w:rPr>
          <w:szCs w:val="20"/>
        </w:rPr>
        <w:t xml:space="preserve"> where mining consultancy is involved across the mining value chain. In India mining consultancy can be classified under the following key verticals:</w:t>
      </w:r>
    </w:p>
    <w:p w14:paraId="30D2C8A3" w14:textId="77777777" w:rsidR="008A6BAD" w:rsidRDefault="008A6BAD" w:rsidP="00662938">
      <w:pPr>
        <w:pStyle w:val="ListParagraph"/>
        <w:numPr>
          <w:ilvl w:val="0"/>
          <w:numId w:val="45"/>
        </w:numPr>
        <w:ind w:right="450"/>
        <w:rPr>
          <w:szCs w:val="20"/>
        </w:rPr>
      </w:pPr>
      <w:r>
        <w:rPr>
          <w:szCs w:val="20"/>
        </w:rPr>
        <w:t>Exploration</w:t>
      </w:r>
    </w:p>
    <w:p w14:paraId="2167E17E" w14:textId="77777777" w:rsidR="008A6BAD" w:rsidRDefault="008A6BAD" w:rsidP="00662938">
      <w:pPr>
        <w:pStyle w:val="ListParagraph"/>
        <w:numPr>
          <w:ilvl w:val="0"/>
          <w:numId w:val="45"/>
        </w:numPr>
        <w:ind w:right="450"/>
        <w:rPr>
          <w:szCs w:val="20"/>
        </w:rPr>
      </w:pPr>
      <w:r>
        <w:rPr>
          <w:szCs w:val="20"/>
        </w:rPr>
        <w:t>Mine Planning and Design</w:t>
      </w:r>
    </w:p>
    <w:p w14:paraId="2942752B" w14:textId="77777777" w:rsidR="008A6BAD" w:rsidRDefault="008A6BAD" w:rsidP="00662938">
      <w:pPr>
        <w:pStyle w:val="ListParagraph"/>
        <w:numPr>
          <w:ilvl w:val="0"/>
          <w:numId w:val="45"/>
        </w:numPr>
        <w:ind w:right="450"/>
        <w:rPr>
          <w:szCs w:val="20"/>
        </w:rPr>
      </w:pPr>
      <w:r>
        <w:rPr>
          <w:szCs w:val="20"/>
        </w:rPr>
        <w:t>Infrastructure Engineering</w:t>
      </w:r>
    </w:p>
    <w:p w14:paraId="7595B6A7" w14:textId="77777777" w:rsidR="008A6BAD" w:rsidRDefault="008A6BAD" w:rsidP="00662938">
      <w:pPr>
        <w:pStyle w:val="ListParagraph"/>
        <w:numPr>
          <w:ilvl w:val="0"/>
          <w:numId w:val="45"/>
        </w:numPr>
        <w:ind w:right="450"/>
        <w:rPr>
          <w:szCs w:val="20"/>
        </w:rPr>
      </w:pPr>
      <w:r>
        <w:rPr>
          <w:szCs w:val="20"/>
        </w:rPr>
        <w:t>Geomatics and Survey</w:t>
      </w:r>
    </w:p>
    <w:p w14:paraId="0B8D222D" w14:textId="77777777" w:rsidR="008A6BAD" w:rsidRDefault="008A6BAD" w:rsidP="00662938">
      <w:pPr>
        <w:pStyle w:val="ListParagraph"/>
        <w:numPr>
          <w:ilvl w:val="0"/>
          <w:numId w:val="45"/>
        </w:numPr>
        <w:ind w:right="450"/>
        <w:rPr>
          <w:szCs w:val="20"/>
        </w:rPr>
      </w:pPr>
      <w:r>
        <w:rPr>
          <w:szCs w:val="20"/>
        </w:rPr>
        <w:t>Environment</w:t>
      </w:r>
    </w:p>
    <w:p w14:paraId="4064D56A" w14:textId="77777777" w:rsidR="008A6BAD" w:rsidRDefault="008A6BAD" w:rsidP="00662938">
      <w:pPr>
        <w:pStyle w:val="ListParagraph"/>
        <w:numPr>
          <w:ilvl w:val="0"/>
          <w:numId w:val="45"/>
        </w:numPr>
        <w:ind w:right="450"/>
        <w:rPr>
          <w:szCs w:val="20"/>
        </w:rPr>
      </w:pPr>
      <w:r>
        <w:rPr>
          <w:szCs w:val="20"/>
        </w:rPr>
        <w:t>Beneficiation</w:t>
      </w:r>
    </w:p>
    <w:p w14:paraId="775C1EC4" w14:textId="77777777" w:rsidR="008A6BAD" w:rsidRDefault="008A6BAD" w:rsidP="00662938">
      <w:pPr>
        <w:pStyle w:val="ListParagraph"/>
        <w:numPr>
          <w:ilvl w:val="0"/>
          <w:numId w:val="45"/>
        </w:numPr>
        <w:ind w:right="450"/>
        <w:rPr>
          <w:szCs w:val="20"/>
        </w:rPr>
      </w:pPr>
      <w:r>
        <w:rPr>
          <w:szCs w:val="20"/>
        </w:rPr>
        <w:t>Contract Management</w:t>
      </w:r>
    </w:p>
    <w:p w14:paraId="24154E8C" w14:textId="0F8953BF" w:rsidR="008A6BAD" w:rsidRPr="00301AFF" w:rsidRDefault="008A6BAD" w:rsidP="00662938">
      <w:pPr>
        <w:ind w:right="450"/>
        <w:rPr>
          <w:szCs w:val="20"/>
        </w:rPr>
      </w:pPr>
      <w:r w:rsidRPr="00301AFF">
        <w:rPr>
          <w:szCs w:val="20"/>
        </w:rPr>
        <w:t xml:space="preserve">Out of the above verticals, Mine Planning and Design Services and Exploration Services constitute the major portion of the mining consultancy market, contributing </w:t>
      </w:r>
      <w:r w:rsidR="00201C5A">
        <w:t xml:space="preserve">approximately </w:t>
      </w:r>
      <w:r w:rsidRPr="00301AFF">
        <w:rPr>
          <w:szCs w:val="20"/>
        </w:rPr>
        <w:t>70% of the total mining consultancy market revenue</w:t>
      </w:r>
      <w:r>
        <w:rPr>
          <w:szCs w:val="20"/>
        </w:rPr>
        <w:t xml:space="preserve"> considering the fact that in India major mining players are requiring consultancy services for establishing resource/ reserve in the mining block and thereafter preparing various reports and plans for undertaking strategic decisions. Post operationalization major mining projects are being undertaken through outsourcing mode. </w:t>
      </w:r>
    </w:p>
    <w:p w14:paraId="607328C0" w14:textId="3670911C" w:rsidR="008A6BAD" w:rsidRPr="00DF177E" w:rsidRDefault="008A6BAD" w:rsidP="008A6BAD">
      <w:pPr>
        <w:pStyle w:val="Caption"/>
        <w:rPr>
          <w:szCs w:val="20"/>
        </w:rPr>
      </w:pPr>
      <w:bookmarkStart w:id="2144" w:name="_Toc198731512"/>
      <w:r w:rsidRPr="00DF177E">
        <w:rPr>
          <w:szCs w:val="20"/>
        </w:rPr>
        <w:t xml:space="preserve">Figure </w:t>
      </w:r>
      <w:r w:rsidRPr="00DF177E">
        <w:rPr>
          <w:szCs w:val="20"/>
        </w:rPr>
        <w:fldChar w:fldCharType="begin"/>
      </w:r>
      <w:r w:rsidRPr="00DF177E">
        <w:rPr>
          <w:szCs w:val="20"/>
        </w:rPr>
        <w:instrText xml:space="preserve"> STYLEREF 1 \s </w:instrText>
      </w:r>
      <w:r w:rsidRPr="00DF177E">
        <w:rPr>
          <w:szCs w:val="20"/>
        </w:rPr>
        <w:fldChar w:fldCharType="separate"/>
      </w:r>
      <w:r w:rsidR="002142B9">
        <w:rPr>
          <w:noProof/>
          <w:szCs w:val="20"/>
        </w:rPr>
        <w:t>3</w:t>
      </w:r>
      <w:r w:rsidRPr="00DF177E">
        <w:rPr>
          <w:szCs w:val="20"/>
        </w:rPr>
        <w:fldChar w:fldCharType="end"/>
      </w:r>
      <w:r w:rsidRPr="00DF177E">
        <w:rPr>
          <w:szCs w:val="20"/>
        </w:rPr>
        <w:t>.</w:t>
      </w:r>
      <w:r w:rsidRPr="00DF177E">
        <w:rPr>
          <w:szCs w:val="20"/>
        </w:rPr>
        <w:fldChar w:fldCharType="begin"/>
      </w:r>
      <w:r w:rsidRPr="00DF177E">
        <w:rPr>
          <w:szCs w:val="20"/>
        </w:rPr>
        <w:instrText xml:space="preserve"> SEQ Figure \* ARABIC \s 1 </w:instrText>
      </w:r>
      <w:r w:rsidRPr="00DF177E">
        <w:rPr>
          <w:szCs w:val="20"/>
        </w:rPr>
        <w:fldChar w:fldCharType="separate"/>
      </w:r>
      <w:r w:rsidR="002142B9">
        <w:rPr>
          <w:noProof/>
          <w:szCs w:val="20"/>
        </w:rPr>
        <w:t>1</w:t>
      </w:r>
      <w:r w:rsidRPr="00DF177E">
        <w:rPr>
          <w:szCs w:val="20"/>
        </w:rPr>
        <w:fldChar w:fldCharType="end"/>
      </w:r>
      <w:r w:rsidRPr="00DF177E">
        <w:rPr>
          <w:szCs w:val="20"/>
        </w:rPr>
        <w:t>: Value chain of mining process showing scope of consultancy services</w:t>
      </w:r>
      <w:bookmarkEnd w:id="2144"/>
    </w:p>
    <w:p w14:paraId="3CEF2A10" w14:textId="77777777" w:rsidR="008A6BAD" w:rsidRDefault="008A6BAD" w:rsidP="008A6BAD">
      <w:pPr>
        <w:spacing w:before="0" w:after="0" w:line="276" w:lineRule="auto"/>
      </w:pPr>
      <w:r>
        <w:rPr>
          <w:noProof/>
        </w:rPr>
        <w:drawing>
          <wp:inline distT="0" distB="0" distL="0" distR="0" wp14:anchorId="1B11367E" wp14:editId="1604DED2">
            <wp:extent cx="6681414" cy="2066925"/>
            <wp:effectExtent l="0" t="0" r="0" b="0"/>
            <wp:docPr id="92684153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3357" name="Picture 1" descr="A diagram of a diagram&#10;&#10;AI-generated content may be incorrec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272"/>
                    <a:stretch/>
                  </pic:blipFill>
                  <pic:spPr bwMode="auto">
                    <a:xfrm>
                      <a:off x="0" y="0"/>
                      <a:ext cx="6760341" cy="2091341"/>
                    </a:xfrm>
                    <a:prstGeom prst="rect">
                      <a:avLst/>
                    </a:prstGeom>
                    <a:noFill/>
                    <a:ln>
                      <a:noFill/>
                    </a:ln>
                    <a:extLst>
                      <a:ext uri="{53640926-AAD7-44D8-BBD7-CCE9431645EC}">
                        <a14:shadowObscured xmlns:a14="http://schemas.microsoft.com/office/drawing/2010/main"/>
                      </a:ext>
                    </a:extLst>
                  </pic:spPr>
                </pic:pic>
              </a:graphicData>
            </a:graphic>
          </wp:inline>
        </w:drawing>
      </w:r>
    </w:p>
    <w:p w14:paraId="3E2D7943" w14:textId="77777777" w:rsidR="008A6BAD" w:rsidRPr="00C431DC" w:rsidRDefault="008A6BAD" w:rsidP="008A6BAD">
      <w:pPr>
        <w:pStyle w:val="BodyText"/>
        <w:spacing w:after="240"/>
        <w:rPr>
          <w:i/>
          <w:iCs/>
          <w:sz w:val="16"/>
          <w:szCs w:val="16"/>
        </w:rPr>
      </w:pPr>
      <w:r w:rsidRPr="00C431DC">
        <w:rPr>
          <w:i/>
          <w:iCs/>
          <w:sz w:val="16"/>
          <w:szCs w:val="16"/>
        </w:rPr>
        <w:t xml:space="preserve">Source: </w:t>
      </w:r>
      <w:r>
        <w:rPr>
          <w:i/>
          <w:iCs/>
          <w:sz w:val="16"/>
          <w:szCs w:val="16"/>
        </w:rPr>
        <w:t>Crisil Intelligence</w:t>
      </w:r>
      <w:r w:rsidRPr="00C431DC">
        <w:rPr>
          <w:i/>
          <w:iCs/>
          <w:sz w:val="16"/>
          <w:szCs w:val="16"/>
        </w:rPr>
        <w:t xml:space="preserve"> </w:t>
      </w:r>
      <w:r>
        <w:rPr>
          <w:i/>
          <w:iCs/>
          <w:sz w:val="16"/>
          <w:szCs w:val="16"/>
        </w:rPr>
        <w:t>Analysis</w:t>
      </w:r>
    </w:p>
    <w:p w14:paraId="7191C3D2" w14:textId="77777777" w:rsidR="008A6BAD" w:rsidRDefault="008A6BAD" w:rsidP="00662938">
      <w:pPr>
        <w:ind w:right="450"/>
        <w:rPr>
          <w:szCs w:val="20"/>
        </w:rPr>
      </w:pPr>
      <w:r>
        <w:rPr>
          <w:szCs w:val="20"/>
        </w:rPr>
        <w:t>I</w:t>
      </w:r>
      <w:r w:rsidRPr="00301AFF">
        <w:rPr>
          <w:szCs w:val="20"/>
        </w:rPr>
        <w:t xml:space="preserve">n fiscal 2024, India produced 997 </w:t>
      </w:r>
      <w:r>
        <w:rPr>
          <w:szCs w:val="20"/>
        </w:rPr>
        <w:t>M</w:t>
      </w:r>
      <w:r w:rsidRPr="00301AFF">
        <w:rPr>
          <w:szCs w:val="20"/>
        </w:rPr>
        <w:t>MT of raw coal. Coal supply ha</w:t>
      </w:r>
      <w:r>
        <w:rPr>
          <w:szCs w:val="20"/>
        </w:rPr>
        <w:t xml:space="preserve">s been </w:t>
      </w:r>
      <w:r w:rsidRPr="00301AFF">
        <w:rPr>
          <w:szCs w:val="20"/>
        </w:rPr>
        <w:t xml:space="preserve">growing </w:t>
      </w:r>
      <w:r>
        <w:rPr>
          <w:szCs w:val="20"/>
        </w:rPr>
        <w:t xml:space="preserve">at a 9-year CAGR of </w:t>
      </w:r>
      <w:r w:rsidRPr="00301AFF">
        <w:rPr>
          <w:szCs w:val="20"/>
        </w:rPr>
        <w:t>6.7% since fiscal 2015</w:t>
      </w:r>
      <w:r>
        <w:rPr>
          <w:szCs w:val="20"/>
        </w:rPr>
        <w:t xml:space="preserve"> till fiscal 2024</w:t>
      </w:r>
      <w:r w:rsidRPr="00301AFF">
        <w:rPr>
          <w:szCs w:val="20"/>
        </w:rPr>
        <w:t xml:space="preserve">. Further, the raw </w:t>
      </w:r>
      <w:r>
        <w:rPr>
          <w:szCs w:val="20"/>
        </w:rPr>
        <w:t xml:space="preserve">coal </w:t>
      </w:r>
      <w:r w:rsidRPr="00301AFF">
        <w:rPr>
          <w:szCs w:val="20"/>
        </w:rPr>
        <w:t xml:space="preserve">production is expected to grow </w:t>
      </w:r>
      <w:r>
        <w:rPr>
          <w:szCs w:val="20"/>
        </w:rPr>
        <w:t xml:space="preserve">at 6-year CAGR of </w:t>
      </w:r>
      <w:r w:rsidRPr="00301AFF">
        <w:rPr>
          <w:szCs w:val="20"/>
        </w:rPr>
        <w:t xml:space="preserve">7.5% </w:t>
      </w:r>
      <w:r>
        <w:rPr>
          <w:szCs w:val="20"/>
        </w:rPr>
        <w:t>over</w:t>
      </w:r>
      <w:r w:rsidRPr="00301AFF">
        <w:rPr>
          <w:szCs w:val="20"/>
        </w:rPr>
        <w:t xml:space="preserve"> fiscals 2024-2030 to reach 1,5</w:t>
      </w:r>
      <w:r>
        <w:rPr>
          <w:szCs w:val="20"/>
        </w:rPr>
        <w:t>14</w:t>
      </w:r>
      <w:r w:rsidRPr="00301AFF">
        <w:rPr>
          <w:szCs w:val="20"/>
        </w:rPr>
        <w:t xml:space="preserve"> </w:t>
      </w:r>
      <w:r>
        <w:rPr>
          <w:szCs w:val="20"/>
        </w:rPr>
        <w:t>M</w:t>
      </w:r>
      <w:r w:rsidRPr="00301AFF">
        <w:rPr>
          <w:szCs w:val="20"/>
        </w:rPr>
        <w:t xml:space="preserve">MT. </w:t>
      </w:r>
      <w:r>
        <w:rPr>
          <w:szCs w:val="20"/>
        </w:rPr>
        <w:t xml:space="preserve">By fiscal 2030, </w:t>
      </w:r>
      <w:r w:rsidRPr="00301AFF">
        <w:rPr>
          <w:szCs w:val="20"/>
        </w:rPr>
        <w:t xml:space="preserve">CIL </w:t>
      </w:r>
      <w:r>
        <w:rPr>
          <w:szCs w:val="20"/>
        </w:rPr>
        <w:t xml:space="preserve">will continue to </w:t>
      </w:r>
      <w:r w:rsidRPr="00301AFF">
        <w:rPr>
          <w:szCs w:val="20"/>
        </w:rPr>
        <w:t xml:space="preserve">enjoy the largest share </w:t>
      </w:r>
      <w:r>
        <w:rPr>
          <w:szCs w:val="20"/>
        </w:rPr>
        <w:t>by</w:t>
      </w:r>
      <w:r w:rsidRPr="00301AFF">
        <w:rPr>
          <w:szCs w:val="20"/>
        </w:rPr>
        <w:t xml:space="preserve"> 7</w:t>
      </w:r>
      <w:r>
        <w:rPr>
          <w:szCs w:val="20"/>
        </w:rPr>
        <w:t>3</w:t>
      </w:r>
      <w:r w:rsidRPr="00301AFF">
        <w:rPr>
          <w:szCs w:val="20"/>
        </w:rPr>
        <w:t xml:space="preserve">% </w:t>
      </w:r>
      <w:r>
        <w:rPr>
          <w:szCs w:val="20"/>
        </w:rPr>
        <w:t xml:space="preserve">followed by PSUs 12%, private players 9% and the remaining </w:t>
      </w:r>
      <w:r w:rsidRPr="00301AFF">
        <w:rPr>
          <w:szCs w:val="20"/>
        </w:rPr>
        <w:t>SCCL 5%.</w:t>
      </w:r>
    </w:p>
    <w:p w14:paraId="0012503F" w14:textId="4546FC6D" w:rsidR="008A6BAD" w:rsidRDefault="008A6BAD" w:rsidP="008A6BAD">
      <w:pPr>
        <w:pStyle w:val="Caption"/>
      </w:pPr>
      <w:bookmarkStart w:id="2145" w:name="_Toc198731460"/>
      <w:r>
        <w:t xml:space="preserve">Table </w:t>
      </w:r>
      <w:r>
        <w:fldChar w:fldCharType="begin"/>
      </w:r>
      <w:r>
        <w:instrText xml:space="preserve"> STYLEREF 1 \s </w:instrText>
      </w:r>
      <w:r>
        <w:fldChar w:fldCharType="separate"/>
      </w:r>
      <w:r w:rsidR="002142B9">
        <w:rPr>
          <w:noProof/>
        </w:rPr>
        <w:t>3</w:t>
      </w:r>
      <w:r>
        <w:fldChar w:fldCharType="end"/>
      </w:r>
      <w:r>
        <w:t>.</w:t>
      </w:r>
      <w:r>
        <w:fldChar w:fldCharType="begin"/>
      </w:r>
      <w:r>
        <w:instrText xml:space="preserve"> SEQ Table \* ARABIC \s 1 </w:instrText>
      </w:r>
      <w:r>
        <w:fldChar w:fldCharType="separate"/>
      </w:r>
      <w:r w:rsidR="002142B9">
        <w:rPr>
          <w:noProof/>
        </w:rPr>
        <w:t>1</w:t>
      </w:r>
      <w:r>
        <w:fldChar w:fldCharType="end"/>
      </w:r>
      <w:r>
        <w:t xml:space="preserve">: </w:t>
      </w:r>
      <w:r w:rsidRPr="00F27F76">
        <w:t>Estimated total coal production</w:t>
      </w:r>
      <w:r>
        <w:t xml:space="preserve"> (MMT)</w:t>
      </w:r>
      <w:bookmarkEnd w:id="2145"/>
    </w:p>
    <w:tbl>
      <w:tblPr>
        <w:tblStyle w:val="TableGrid"/>
        <w:tblW w:w="5000" w:type="pct"/>
        <w:tblLook w:val="04A0" w:firstRow="1" w:lastRow="0" w:firstColumn="1" w:lastColumn="0" w:noHBand="0" w:noVBand="1"/>
      </w:tblPr>
      <w:tblGrid>
        <w:gridCol w:w="1745"/>
        <w:gridCol w:w="737"/>
        <w:gridCol w:w="737"/>
        <w:gridCol w:w="737"/>
        <w:gridCol w:w="736"/>
        <w:gridCol w:w="736"/>
        <w:gridCol w:w="850"/>
        <w:gridCol w:w="850"/>
        <w:gridCol w:w="848"/>
        <w:gridCol w:w="848"/>
        <w:gridCol w:w="848"/>
        <w:gridCol w:w="848"/>
      </w:tblGrid>
      <w:tr w:rsidR="008A6BAD" w:rsidRPr="008D5FF4" w14:paraId="370E450F" w14:textId="77777777" w:rsidTr="001106FC">
        <w:trPr>
          <w:trHeight w:val="432"/>
          <w:tblHeader/>
        </w:trPr>
        <w:tc>
          <w:tcPr>
            <w:tcW w:w="829" w:type="pct"/>
            <w:shd w:val="clear" w:color="auto" w:fill="156082" w:themeFill="accent1"/>
            <w:vAlign w:val="center"/>
          </w:tcPr>
          <w:p w14:paraId="599D253A" w14:textId="77777777" w:rsidR="008A6BAD" w:rsidRPr="008D5FF4" w:rsidRDefault="008A6BAD" w:rsidP="001106FC">
            <w:pPr>
              <w:spacing w:before="0" w:after="0" w:line="240" w:lineRule="auto"/>
              <w:rPr>
                <w:b/>
                <w:bCs/>
                <w:color w:val="FFFFFF" w:themeColor="background1"/>
                <w:szCs w:val="20"/>
              </w:rPr>
            </w:pPr>
            <w:r w:rsidRPr="008D5FF4">
              <w:rPr>
                <w:b/>
                <w:bCs/>
                <w:color w:val="FFFFFF" w:themeColor="background1"/>
                <w:szCs w:val="20"/>
              </w:rPr>
              <w:t>Particulars</w:t>
            </w:r>
          </w:p>
        </w:tc>
        <w:tc>
          <w:tcPr>
            <w:tcW w:w="350" w:type="pct"/>
            <w:shd w:val="clear" w:color="auto" w:fill="156082" w:themeFill="accent1"/>
            <w:vAlign w:val="center"/>
          </w:tcPr>
          <w:p w14:paraId="7CA9FF94"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2020</w:t>
            </w:r>
          </w:p>
        </w:tc>
        <w:tc>
          <w:tcPr>
            <w:tcW w:w="350" w:type="pct"/>
            <w:shd w:val="clear" w:color="auto" w:fill="156082" w:themeFill="accent1"/>
            <w:vAlign w:val="center"/>
          </w:tcPr>
          <w:p w14:paraId="20BED29E"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2021</w:t>
            </w:r>
          </w:p>
        </w:tc>
        <w:tc>
          <w:tcPr>
            <w:tcW w:w="350" w:type="pct"/>
            <w:shd w:val="clear" w:color="auto" w:fill="156082" w:themeFill="accent1"/>
            <w:vAlign w:val="center"/>
          </w:tcPr>
          <w:p w14:paraId="53A2C8FF"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2022</w:t>
            </w:r>
          </w:p>
        </w:tc>
        <w:tc>
          <w:tcPr>
            <w:tcW w:w="350" w:type="pct"/>
            <w:shd w:val="clear" w:color="auto" w:fill="156082" w:themeFill="accent1"/>
            <w:vAlign w:val="center"/>
          </w:tcPr>
          <w:p w14:paraId="2705B10F"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2023</w:t>
            </w:r>
          </w:p>
        </w:tc>
        <w:tc>
          <w:tcPr>
            <w:tcW w:w="350" w:type="pct"/>
            <w:shd w:val="clear" w:color="auto" w:fill="156082" w:themeFill="accent1"/>
            <w:vAlign w:val="center"/>
          </w:tcPr>
          <w:p w14:paraId="20665ECC"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2024</w:t>
            </w:r>
          </w:p>
        </w:tc>
        <w:tc>
          <w:tcPr>
            <w:tcW w:w="404" w:type="pct"/>
            <w:shd w:val="clear" w:color="auto" w:fill="156082" w:themeFill="accent1"/>
            <w:vAlign w:val="center"/>
          </w:tcPr>
          <w:p w14:paraId="124F837E"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2025P</w:t>
            </w:r>
          </w:p>
        </w:tc>
        <w:tc>
          <w:tcPr>
            <w:tcW w:w="404" w:type="pct"/>
            <w:shd w:val="clear" w:color="auto" w:fill="156082" w:themeFill="accent1"/>
            <w:vAlign w:val="center"/>
          </w:tcPr>
          <w:p w14:paraId="0F7421EA"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2026P</w:t>
            </w:r>
          </w:p>
        </w:tc>
        <w:tc>
          <w:tcPr>
            <w:tcW w:w="403" w:type="pct"/>
            <w:shd w:val="clear" w:color="auto" w:fill="156082" w:themeFill="accent1"/>
            <w:vAlign w:val="center"/>
          </w:tcPr>
          <w:p w14:paraId="7545B6C4"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2027P</w:t>
            </w:r>
          </w:p>
        </w:tc>
        <w:tc>
          <w:tcPr>
            <w:tcW w:w="403" w:type="pct"/>
            <w:shd w:val="clear" w:color="auto" w:fill="156082" w:themeFill="accent1"/>
            <w:vAlign w:val="center"/>
          </w:tcPr>
          <w:p w14:paraId="0E817637"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2028P</w:t>
            </w:r>
          </w:p>
        </w:tc>
        <w:tc>
          <w:tcPr>
            <w:tcW w:w="403" w:type="pct"/>
            <w:shd w:val="clear" w:color="auto" w:fill="156082" w:themeFill="accent1"/>
            <w:vAlign w:val="center"/>
          </w:tcPr>
          <w:p w14:paraId="17A0DCF2"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2029P</w:t>
            </w:r>
          </w:p>
        </w:tc>
        <w:tc>
          <w:tcPr>
            <w:tcW w:w="403" w:type="pct"/>
            <w:shd w:val="clear" w:color="auto" w:fill="156082" w:themeFill="accent1"/>
            <w:vAlign w:val="center"/>
          </w:tcPr>
          <w:p w14:paraId="1148F5E6"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2030P</w:t>
            </w:r>
          </w:p>
        </w:tc>
      </w:tr>
      <w:tr w:rsidR="008A6BAD" w:rsidRPr="008D5FF4" w14:paraId="6B87F83F" w14:textId="77777777" w:rsidTr="001106FC">
        <w:trPr>
          <w:trHeight w:val="432"/>
        </w:trPr>
        <w:tc>
          <w:tcPr>
            <w:tcW w:w="829" w:type="pct"/>
            <w:vAlign w:val="center"/>
          </w:tcPr>
          <w:p w14:paraId="397C1562" w14:textId="77777777" w:rsidR="008A6BAD" w:rsidRPr="008D5FF4" w:rsidRDefault="008A6BAD" w:rsidP="001106FC">
            <w:pPr>
              <w:spacing w:before="0" w:after="0" w:line="240" w:lineRule="auto"/>
              <w:rPr>
                <w:b/>
                <w:bCs/>
                <w:szCs w:val="20"/>
              </w:rPr>
            </w:pPr>
            <w:r w:rsidRPr="008D5FF4">
              <w:rPr>
                <w:b/>
                <w:bCs/>
                <w:szCs w:val="20"/>
              </w:rPr>
              <w:t>CIL</w:t>
            </w:r>
          </w:p>
        </w:tc>
        <w:tc>
          <w:tcPr>
            <w:tcW w:w="350" w:type="pct"/>
            <w:vAlign w:val="center"/>
          </w:tcPr>
          <w:p w14:paraId="684D2EA2" w14:textId="77777777" w:rsidR="008A6BAD" w:rsidRPr="008D5FF4" w:rsidRDefault="008A6BAD" w:rsidP="001106FC">
            <w:pPr>
              <w:spacing w:before="0" w:after="0" w:line="240" w:lineRule="auto"/>
              <w:jc w:val="center"/>
              <w:rPr>
                <w:szCs w:val="20"/>
              </w:rPr>
            </w:pPr>
            <w:r w:rsidRPr="008D5FF4">
              <w:rPr>
                <w:color w:val="000000"/>
                <w:szCs w:val="20"/>
              </w:rPr>
              <w:t>609</w:t>
            </w:r>
          </w:p>
        </w:tc>
        <w:tc>
          <w:tcPr>
            <w:tcW w:w="350" w:type="pct"/>
            <w:vAlign w:val="center"/>
          </w:tcPr>
          <w:p w14:paraId="7402FB7A" w14:textId="77777777" w:rsidR="008A6BAD" w:rsidRPr="008D5FF4" w:rsidRDefault="008A6BAD" w:rsidP="001106FC">
            <w:pPr>
              <w:spacing w:before="0" w:after="0" w:line="240" w:lineRule="auto"/>
              <w:jc w:val="center"/>
              <w:rPr>
                <w:szCs w:val="20"/>
              </w:rPr>
            </w:pPr>
            <w:r w:rsidRPr="008D5FF4">
              <w:rPr>
                <w:color w:val="000000"/>
                <w:szCs w:val="20"/>
              </w:rPr>
              <w:t>585</w:t>
            </w:r>
          </w:p>
        </w:tc>
        <w:tc>
          <w:tcPr>
            <w:tcW w:w="350" w:type="pct"/>
            <w:vAlign w:val="center"/>
          </w:tcPr>
          <w:p w14:paraId="3176767A" w14:textId="77777777" w:rsidR="008A6BAD" w:rsidRPr="008D5FF4" w:rsidRDefault="008A6BAD" w:rsidP="001106FC">
            <w:pPr>
              <w:spacing w:before="0" w:after="0" w:line="240" w:lineRule="auto"/>
              <w:jc w:val="center"/>
              <w:rPr>
                <w:szCs w:val="20"/>
              </w:rPr>
            </w:pPr>
            <w:r w:rsidRPr="008D5FF4">
              <w:rPr>
                <w:color w:val="000000"/>
                <w:szCs w:val="20"/>
              </w:rPr>
              <w:t>623</w:t>
            </w:r>
          </w:p>
        </w:tc>
        <w:tc>
          <w:tcPr>
            <w:tcW w:w="350" w:type="pct"/>
            <w:vAlign w:val="center"/>
          </w:tcPr>
          <w:p w14:paraId="28ABE33D" w14:textId="77777777" w:rsidR="008A6BAD" w:rsidRPr="008D5FF4" w:rsidRDefault="008A6BAD" w:rsidP="001106FC">
            <w:pPr>
              <w:spacing w:before="0" w:after="0" w:line="240" w:lineRule="auto"/>
              <w:jc w:val="center"/>
              <w:rPr>
                <w:szCs w:val="20"/>
              </w:rPr>
            </w:pPr>
            <w:r w:rsidRPr="008D5FF4">
              <w:rPr>
                <w:color w:val="000000"/>
                <w:szCs w:val="20"/>
              </w:rPr>
              <w:t>703</w:t>
            </w:r>
          </w:p>
        </w:tc>
        <w:tc>
          <w:tcPr>
            <w:tcW w:w="350" w:type="pct"/>
            <w:vAlign w:val="center"/>
          </w:tcPr>
          <w:p w14:paraId="6539687C" w14:textId="77777777" w:rsidR="008A6BAD" w:rsidRPr="008D5FF4" w:rsidRDefault="008A6BAD" w:rsidP="001106FC">
            <w:pPr>
              <w:spacing w:before="0" w:after="0" w:line="240" w:lineRule="auto"/>
              <w:jc w:val="center"/>
              <w:rPr>
                <w:szCs w:val="20"/>
              </w:rPr>
            </w:pPr>
            <w:r w:rsidRPr="008D5FF4">
              <w:rPr>
                <w:color w:val="000000"/>
                <w:szCs w:val="20"/>
              </w:rPr>
              <w:t>774</w:t>
            </w:r>
          </w:p>
        </w:tc>
        <w:tc>
          <w:tcPr>
            <w:tcW w:w="404" w:type="pct"/>
            <w:vAlign w:val="center"/>
          </w:tcPr>
          <w:p w14:paraId="666A4844" w14:textId="77777777" w:rsidR="008A6BAD" w:rsidRPr="008D5FF4" w:rsidRDefault="008A6BAD" w:rsidP="001106FC">
            <w:pPr>
              <w:spacing w:before="0" w:after="0" w:line="240" w:lineRule="auto"/>
              <w:jc w:val="center"/>
              <w:rPr>
                <w:szCs w:val="20"/>
              </w:rPr>
            </w:pPr>
            <w:r w:rsidRPr="008D5FF4">
              <w:rPr>
                <w:color w:val="000000"/>
                <w:szCs w:val="20"/>
              </w:rPr>
              <w:t>828</w:t>
            </w:r>
          </w:p>
        </w:tc>
        <w:tc>
          <w:tcPr>
            <w:tcW w:w="404" w:type="pct"/>
            <w:vAlign w:val="center"/>
          </w:tcPr>
          <w:p w14:paraId="16635623" w14:textId="77777777" w:rsidR="008A6BAD" w:rsidRPr="008D5FF4" w:rsidRDefault="008A6BAD" w:rsidP="001106FC">
            <w:pPr>
              <w:spacing w:before="0" w:after="0" w:line="240" w:lineRule="auto"/>
              <w:jc w:val="center"/>
              <w:rPr>
                <w:szCs w:val="20"/>
              </w:rPr>
            </w:pPr>
            <w:r w:rsidRPr="008D5FF4">
              <w:rPr>
                <w:color w:val="000000"/>
                <w:szCs w:val="20"/>
              </w:rPr>
              <w:t>853</w:t>
            </w:r>
          </w:p>
        </w:tc>
        <w:tc>
          <w:tcPr>
            <w:tcW w:w="403" w:type="pct"/>
            <w:vAlign w:val="center"/>
          </w:tcPr>
          <w:p w14:paraId="7BEC32BC" w14:textId="77777777" w:rsidR="008A6BAD" w:rsidRPr="008D5FF4" w:rsidRDefault="008A6BAD" w:rsidP="001106FC">
            <w:pPr>
              <w:spacing w:before="0" w:after="0" w:line="240" w:lineRule="auto"/>
              <w:jc w:val="center"/>
              <w:rPr>
                <w:szCs w:val="20"/>
              </w:rPr>
            </w:pPr>
            <w:r w:rsidRPr="008D5FF4">
              <w:rPr>
                <w:color w:val="000000"/>
                <w:szCs w:val="20"/>
              </w:rPr>
              <w:t>881</w:t>
            </w:r>
          </w:p>
        </w:tc>
        <w:tc>
          <w:tcPr>
            <w:tcW w:w="403" w:type="pct"/>
            <w:vAlign w:val="center"/>
          </w:tcPr>
          <w:p w14:paraId="2F635514" w14:textId="77777777" w:rsidR="008A6BAD" w:rsidRPr="008D5FF4" w:rsidRDefault="008A6BAD" w:rsidP="001106FC">
            <w:pPr>
              <w:spacing w:before="0" w:after="0" w:line="240" w:lineRule="auto"/>
              <w:jc w:val="center"/>
              <w:rPr>
                <w:szCs w:val="20"/>
              </w:rPr>
            </w:pPr>
            <w:r w:rsidRPr="008D5FF4">
              <w:rPr>
                <w:color w:val="000000"/>
                <w:szCs w:val="20"/>
              </w:rPr>
              <w:t>953</w:t>
            </w:r>
          </w:p>
        </w:tc>
        <w:tc>
          <w:tcPr>
            <w:tcW w:w="403" w:type="pct"/>
            <w:vAlign w:val="center"/>
          </w:tcPr>
          <w:p w14:paraId="10C3A0A2" w14:textId="77777777" w:rsidR="008A6BAD" w:rsidRPr="008D5FF4" w:rsidRDefault="008A6BAD" w:rsidP="001106FC">
            <w:pPr>
              <w:spacing w:before="0" w:after="0" w:line="240" w:lineRule="auto"/>
              <w:jc w:val="center"/>
              <w:rPr>
                <w:szCs w:val="20"/>
              </w:rPr>
            </w:pPr>
            <w:r w:rsidRPr="008D5FF4">
              <w:rPr>
                <w:color w:val="000000"/>
                <w:szCs w:val="20"/>
              </w:rPr>
              <w:t>1,048</w:t>
            </w:r>
          </w:p>
        </w:tc>
        <w:tc>
          <w:tcPr>
            <w:tcW w:w="403" w:type="pct"/>
            <w:vAlign w:val="center"/>
          </w:tcPr>
          <w:p w14:paraId="3BF61B74" w14:textId="77777777" w:rsidR="008A6BAD" w:rsidRPr="008D5FF4" w:rsidRDefault="008A6BAD" w:rsidP="001106FC">
            <w:pPr>
              <w:spacing w:before="0" w:after="0" w:line="240" w:lineRule="auto"/>
              <w:jc w:val="center"/>
              <w:rPr>
                <w:szCs w:val="20"/>
              </w:rPr>
            </w:pPr>
            <w:r w:rsidRPr="008D5FF4">
              <w:rPr>
                <w:color w:val="000000"/>
                <w:szCs w:val="20"/>
              </w:rPr>
              <w:t>1,105</w:t>
            </w:r>
          </w:p>
        </w:tc>
      </w:tr>
      <w:tr w:rsidR="008A6BAD" w:rsidRPr="008D5FF4" w14:paraId="5C71C13B" w14:textId="77777777" w:rsidTr="001106FC">
        <w:trPr>
          <w:trHeight w:val="432"/>
        </w:trPr>
        <w:tc>
          <w:tcPr>
            <w:tcW w:w="829" w:type="pct"/>
            <w:vAlign w:val="center"/>
          </w:tcPr>
          <w:p w14:paraId="5A4B7130" w14:textId="77777777" w:rsidR="008A6BAD" w:rsidRPr="008D5FF4" w:rsidRDefault="008A6BAD" w:rsidP="001106FC">
            <w:pPr>
              <w:spacing w:before="0" w:after="0" w:line="240" w:lineRule="auto"/>
              <w:rPr>
                <w:b/>
                <w:bCs/>
                <w:szCs w:val="20"/>
              </w:rPr>
            </w:pPr>
            <w:r w:rsidRPr="008D5FF4">
              <w:rPr>
                <w:b/>
                <w:bCs/>
                <w:szCs w:val="20"/>
              </w:rPr>
              <w:t>SCCL</w:t>
            </w:r>
          </w:p>
        </w:tc>
        <w:tc>
          <w:tcPr>
            <w:tcW w:w="350" w:type="pct"/>
            <w:vAlign w:val="center"/>
          </w:tcPr>
          <w:p w14:paraId="1B421249" w14:textId="77777777" w:rsidR="008A6BAD" w:rsidRPr="008D5FF4" w:rsidRDefault="008A6BAD" w:rsidP="001106FC">
            <w:pPr>
              <w:spacing w:before="0" w:after="0" w:line="240" w:lineRule="auto"/>
              <w:jc w:val="center"/>
              <w:rPr>
                <w:szCs w:val="20"/>
              </w:rPr>
            </w:pPr>
            <w:r w:rsidRPr="008D5FF4">
              <w:rPr>
                <w:color w:val="000000"/>
                <w:szCs w:val="20"/>
              </w:rPr>
              <w:t>64</w:t>
            </w:r>
          </w:p>
        </w:tc>
        <w:tc>
          <w:tcPr>
            <w:tcW w:w="350" w:type="pct"/>
            <w:vAlign w:val="center"/>
          </w:tcPr>
          <w:p w14:paraId="50C437CF" w14:textId="77777777" w:rsidR="008A6BAD" w:rsidRPr="008D5FF4" w:rsidRDefault="008A6BAD" w:rsidP="001106FC">
            <w:pPr>
              <w:spacing w:before="0" w:after="0" w:line="240" w:lineRule="auto"/>
              <w:jc w:val="center"/>
              <w:rPr>
                <w:szCs w:val="20"/>
              </w:rPr>
            </w:pPr>
            <w:r w:rsidRPr="008D5FF4">
              <w:rPr>
                <w:color w:val="000000"/>
                <w:szCs w:val="20"/>
              </w:rPr>
              <w:t>51</w:t>
            </w:r>
          </w:p>
        </w:tc>
        <w:tc>
          <w:tcPr>
            <w:tcW w:w="350" w:type="pct"/>
            <w:vAlign w:val="center"/>
          </w:tcPr>
          <w:p w14:paraId="129DF05F" w14:textId="77777777" w:rsidR="008A6BAD" w:rsidRPr="008D5FF4" w:rsidRDefault="008A6BAD" w:rsidP="001106FC">
            <w:pPr>
              <w:spacing w:before="0" w:after="0" w:line="240" w:lineRule="auto"/>
              <w:jc w:val="center"/>
              <w:rPr>
                <w:szCs w:val="20"/>
              </w:rPr>
            </w:pPr>
            <w:r w:rsidRPr="008D5FF4">
              <w:rPr>
                <w:color w:val="000000"/>
                <w:szCs w:val="20"/>
              </w:rPr>
              <w:t>65</w:t>
            </w:r>
          </w:p>
        </w:tc>
        <w:tc>
          <w:tcPr>
            <w:tcW w:w="350" w:type="pct"/>
            <w:vAlign w:val="center"/>
          </w:tcPr>
          <w:p w14:paraId="501B1CC4" w14:textId="77777777" w:rsidR="008A6BAD" w:rsidRPr="008D5FF4" w:rsidRDefault="008A6BAD" w:rsidP="001106FC">
            <w:pPr>
              <w:spacing w:before="0" w:after="0" w:line="240" w:lineRule="auto"/>
              <w:jc w:val="center"/>
              <w:rPr>
                <w:szCs w:val="20"/>
              </w:rPr>
            </w:pPr>
            <w:r w:rsidRPr="008D5FF4">
              <w:rPr>
                <w:color w:val="000000"/>
                <w:szCs w:val="20"/>
              </w:rPr>
              <w:t>67</w:t>
            </w:r>
          </w:p>
        </w:tc>
        <w:tc>
          <w:tcPr>
            <w:tcW w:w="350" w:type="pct"/>
            <w:vAlign w:val="center"/>
          </w:tcPr>
          <w:p w14:paraId="3B2B6425" w14:textId="77777777" w:rsidR="008A6BAD" w:rsidRPr="008D5FF4" w:rsidRDefault="008A6BAD" w:rsidP="001106FC">
            <w:pPr>
              <w:spacing w:before="0" w:after="0" w:line="240" w:lineRule="auto"/>
              <w:jc w:val="center"/>
              <w:rPr>
                <w:szCs w:val="20"/>
              </w:rPr>
            </w:pPr>
            <w:r w:rsidRPr="008D5FF4">
              <w:rPr>
                <w:color w:val="000000"/>
                <w:szCs w:val="20"/>
              </w:rPr>
              <w:t>70</w:t>
            </w:r>
          </w:p>
        </w:tc>
        <w:tc>
          <w:tcPr>
            <w:tcW w:w="404" w:type="pct"/>
            <w:vAlign w:val="center"/>
          </w:tcPr>
          <w:p w14:paraId="0AADAA39" w14:textId="77777777" w:rsidR="008A6BAD" w:rsidRPr="008D5FF4" w:rsidRDefault="008A6BAD" w:rsidP="001106FC">
            <w:pPr>
              <w:spacing w:before="0" w:after="0" w:line="240" w:lineRule="auto"/>
              <w:jc w:val="center"/>
              <w:rPr>
                <w:szCs w:val="20"/>
              </w:rPr>
            </w:pPr>
            <w:r w:rsidRPr="008D5FF4">
              <w:rPr>
                <w:color w:val="000000"/>
                <w:szCs w:val="20"/>
              </w:rPr>
              <w:t>68</w:t>
            </w:r>
          </w:p>
        </w:tc>
        <w:tc>
          <w:tcPr>
            <w:tcW w:w="404" w:type="pct"/>
            <w:vAlign w:val="center"/>
          </w:tcPr>
          <w:p w14:paraId="43680AD3" w14:textId="77777777" w:rsidR="008A6BAD" w:rsidRPr="008D5FF4" w:rsidRDefault="008A6BAD" w:rsidP="001106FC">
            <w:pPr>
              <w:spacing w:before="0" w:after="0" w:line="240" w:lineRule="auto"/>
              <w:jc w:val="center"/>
              <w:rPr>
                <w:szCs w:val="20"/>
              </w:rPr>
            </w:pPr>
            <w:r w:rsidRPr="008D5FF4">
              <w:rPr>
                <w:color w:val="000000"/>
                <w:szCs w:val="20"/>
              </w:rPr>
              <w:t>68</w:t>
            </w:r>
          </w:p>
        </w:tc>
        <w:tc>
          <w:tcPr>
            <w:tcW w:w="403" w:type="pct"/>
            <w:vAlign w:val="center"/>
          </w:tcPr>
          <w:p w14:paraId="09740A63" w14:textId="77777777" w:rsidR="008A6BAD" w:rsidRPr="008D5FF4" w:rsidRDefault="008A6BAD" w:rsidP="001106FC">
            <w:pPr>
              <w:spacing w:before="0" w:after="0" w:line="240" w:lineRule="auto"/>
              <w:jc w:val="center"/>
              <w:rPr>
                <w:szCs w:val="20"/>
              </w:rPr>
            </w:pPr>
            <w:r w:rsidRPr="008D5FF4">
              <w:rPr>
                <w:color w:val="000000"/>
                <w:szCs w:val="20"/>
              </w:rPr>
              <w:t>68</w:t>
            </w:r>
          </w:p>
        </w:tc>
        <w:tc>
          <w:tcPr>
            <w:tcW w:w="403" w:type="pct"/>
            <w:vAlign w:val="center"/>
          </w:tcPr>
          <w:p w14:paraId="43BF2140" w14:textId="77777777" w:rsidR="008A6BAD" w:rsidRPr="008D5FF4" w:rsidRDefault="008A6BAD" w:rsidP="001106FC">
            <w:pPr>
              <w:spacing w:before="0" w:after="0" w:line="240" w:lineRule="auto"/>
              <w:jc w:val="center"/>
              <w:rPr>
                <w:szCs w:val="20"/>
              </w:rPr>
            </w:pPr>
            <w:r w:rsidRPr="008D5FF4">
              <w:rPr>
                <w:color w:val="000000"/>
                <w:szCs w:val="20"/>
              </w:rPr>
              <w:t>74</w:t>
            </w:r>
          </w:p>
        </w:tc>
        <w:tc>
          <w:tcPr>
            <w:tcW w:w="403" w:type="pct"/>
            <w:vAlign w:val="center"/>
          </w:tcPr>
          <w:p w14:paraId="166B7150" w14:textId="77777777" w:rsidR="008A6BAD" w:rsidRPr="008D5FF4" w:rsidRDefault="008A6BAD" w:rsidP="001106FC">
            <w:pPr>
              <w:spacing w:before="0" w:after="0" w:line="240" w:lineRule="auto"/>
              <w:jc w:val="center"/>
              <w:rPr>
                <w:szCs w:val="20"/>
              </w:rPr>
            </w:pPr>
            <w:r w:rsidRPr="008D5FF4">
              <w:rPr>
                <w:color w:val="000000"/>
                <w:szCs w:val="20"/>
              </w:rPr>
              <w:t>78</w:t>
            </w:r>
          </w:p>
        </w:tc>
        <w:tc>
          <w:tcPr>
            <w:tcW w:w="403" w:type="pct"/>
            <w:vAlign w:val="center"/>
          </w:tcPr>
          <w:p w14:paraId="32E6D478" w14:textId="77777777" w:rsidR="008A6BAD" w:rsidRPr="008D5FF4" w:rsidRDefault="008A6BAD" w:rsidP="001106FC">
            <w:pPr>
              <w:spacing w:before="0" w:after="0" w:line="240" w:lineRule="auto"/>
              <w:jc w:val="center"/>
              <w:rPr>
                <w:szCs w:val="20"/>
              </w:rPr>
            </w:pPr>
            <w:r w:rsidRPr="008D5FF4">
              <w:rPr>
                <w:color w:val="000000"/>
                <w:szCs w:val="20"/>
              </w:rPr>
              <w:t>82</w:t>
            </w:r>
          </w:p>
        </w:tc>
      </w:tr>
      <w:tr w:rsidR="008A6BAD" w:rsidRPr="008D5FF4" w14:paraId="7C6B7393" w14:textId="77777777" w:rsidTr="001106FC">
        <w:trPr>
          <w:trHeight w:val="432"/>
        </w:trPr>
        <w:tc>
          <w:tcPr>
            <w:tcW w:w="829" w:type="pct"/>
            <w:vAlign w:val="center"/>
          </w:tcPr>
          <w:p w14:paraId="130ED2C5" w14:textId="77777777" w:rsidR="008A6BAD" w:rsidRPr="008D5FF4" w:rsidRDefault="008A6BAD" w:rsidP="001106FC">
            <w:pPr>
              <w:spacing w:before="0" w:after="0" w:line="240" w:lineRule="auto"/>
              <w:rPr>
                <w:b/>
                <w:bCs/>
                <w:szCs w:val="20"/>
              </w:rPr>
            </w:pPr>
            <w:r w:rsidRPr="008D5FF4">
              <w:rPr>
                <w:b/>
                <w:bCs/>
                <w:szCs w:val="20"/>
              </w:rPr>
              <w:t>PSU blocks</w:t>
            </w:r>
          </w:p>
        </w:tc>
        <w:tc>
          <w:tcPr>
            <w:tcW w:w="350" w:type="pct"/>
            <w:vAlign w:val="center"/>
          </w:tcPr>
          <w:p w14:paraId="3AB89D58" w14:textId="77777777" w:rsidR="008A6BAD" w:rsidRPr="008D5FF4" w:rsidRDefault="008A6BAD" w:rsidP="001106FC">
            <w:pPr>
              <w:spacing w:before="0" w:after="0" w:line="240" w:lineRule="auto"/>
              <w:jc w:val="center"/>
              <w:rPr>
                <w:szCs w:val="20"/>
              </w:rPr>
            </w:pPr>
            <w:r w:rsidRPr="008D5FF4">
              <w:rPr>
                <w:color w:val="000000"/>
                <w:szCs w:val="20"/>
              </w:rPr>
              <w:t>58</w:t>
            </w:r>
          </w:p>
        </w:tc>
        <w:tc>
          <w:tcPr>
            <w:tcW w:w="350" w:type="pct"/>
            <w:vAlign w:val="center"/>
          </w:tcPr>
          <w:p w14:paraId="57790146" w14:textId="77777777" w:rsidR="008A6BAD" w:rsidRPr="008D5FF4" w:rsidRDefault="008A6BAD" w:rsidP="001106FC">
            <w:pPr>
              <w:spacing w:before="0" w:after="0" w:line="240" w:lineRule="auto"/>
              <w:jc w:val="center"/>
              <w:rPr>
                <w:szCs w:val="20"/>
              </w:rPr>
            </w:pPr>
            <w:r w:rsidRPr="008D5FF4">
              <w:rPr>
                <w:color w:val="000000"/>
                <w:szCs w:val="20"/>
              </w:rPr>
              <w:t>64</w:t>
            </w:r>
          </w:p>
        </w:tc>
        <w:tc>
          <w:tcPr>
            <w:tcW w:w="350" w:type="pct"/>
            <w:vAlign w:val="center"/>
          </w:tcPr>
          <w:p w14:paraId="5832BF22" w14:textId="77777777" w:rsidR="008A6BAD" w:rsidRPr="008D5FF4" w:rsidRDefault="008A6BAD" w:rsidP="001106FC">
            <w:pPr>
              <w:spacing w:before="0" w:after="0" w:line="240" w:lineRule="auto"/>
              <w:jc w:val="center"/>
              <w:rPr>
                <w:szCs w:val="20"/>
              </w:rPr>
            </w:pPr>
            <w:r w:rsidRPr="008D5FF4">
              <w:rPr>
                <w:color w:val="000000"/>
                <w:szCs w:val="20"/>
              </w:rPr>
              <w:t>81</w:t>
            </w:r>
          </w:p>
        </w:tc>
        <w:tc>
          <w:tcPr>
            <w:tcW w:w="350" w:type="pct"/>
            <w:vAlign w:val="center"/>
          </w:tcPr>
          <w:p w14:paraId="2DDB59FD" w14:textId="77777777" w:rsidR="008A6BAD" w:rsidRPr="008D5FF4" w:rsidRDefault="008A6BAD" w:rsidP="001106FC">
            <w:pPr>
              <w:spacing w:before="0" w:after="0" w:line="240" w:lineRule="auto"/>
              <w:jc w:val="center"/>
              <w:rPr>
                <w:szCs w:val="20"/>
              </w:rPr>
            </w:pPr>
            <w:r w:rsidRPr="008D5FF4">
              <w:rPr>
                <w:color w:val="000000"/>
                <w:szCs w:val="20"/>
              </w:rPr>
              <w:t>105</w:t>
            </w:r>
          </w:p>
        </w:tc>
        <w:tc>
          <w:tcPr>
            <w:tcW w:w="350" w:type="pct"/>
            <w:vAlign w:val="center"/>
          </w:tcPr>
          <w:p w14:paraId="53180232" w14:textId="77777777" w:rsidR="008A6BAD" w:rsidRPr="008D5FF4" w:rsidRDefault="008A6BAD" w:rsidP="001106FC">
            <w:pPr>
              <w:spacing w:before="0" w:after="0" w:line="240" w:lineRule="auto"/>
              <w:jc w:val="center"/>
              <w:rPr>
                <w:szCs w:val="20"/>
              </w:rPr>
            </w:pPr>
            <w:r w:rsidRPr="008D5FF4">
              <w:rPr>
                <w:color w:val="000000"/>
                <w:szCs w:val="20"/>
              </w:rPr>
              <w:t>118</w:t>
            </w:r>
          </w:p>
        </w:tc>
        <w:tc>
          <w:tcPr>
            <w:tcW w:w="404" w:type="pct"/>
            <w:vAlign w:val="center"/>
          </w:tcPr>
          <w:p w14:paraId="5B191659" w14:textId="77777777" w:rsidR="008A6BAD" w:rsidRPr="008D5FF4" w:rsidRDefault="008A6BAD" w:rsidP="001106FC">
            <w:pPr>
              <w:spacing w:before="0" w:after="0" w:line="240" w:lineRule="auto"/>
              <w:jc w:val="center"/>
              <w:rPr>
                <w:szCs w:val="20"/>
              </w:rPr>
            </w:pPr>
            <w:r w:rsidRPr="008D5FF4">
              <w:rPr>
                <w:color w:val="000000"/>
                <w:szCs w:val="20"/>
              </w:rPr>
              <w:t>129</w:t>
            </w:r>
          </w:p>
        </w:tc>
        <w:tc>
          <w:tcPr>
            <w:tcW w:w="404" w:type="pct"/>
            <w:vAlign w:val="center"/>
          </w:tcPr>
          <w:p w14:paraId="6C7B3A88" w14:textId="77777777" w:rsidR="008A6BAD" w:rsidRPr="008D5FF4" w:rsidRDefault="008A6BAD" w:rsidP="001106FC">
            <w:pPr>
              <w:spacing w:before="0" w:after="0" w:line="240" w:lineRule="auto"/>
              <w:jc w:val="center"/>
              <w:rPr>
                <w:szCs w:val="20"/>
              </w:rPr>
            </w:pPr>
            <w:r w:rsidRPr="008D5FF4">
              <w:rPr>
                <w:color w:val="000000"/>
                <w:szCs w:val="20"/>
              </w:rPr>
              <w:t>139</w:t>
            </w:r>
          </w:p>
        </w:tc>
        <w:tc>
          <w:tcPr>
            <w:tcW w:w="403" w:type="pct"/>
            <w:vAlign w:val="center"/>
          </w:tcPr>
          <w:p w14:paraId="4E816A51" w14:textId="77777777" w:rsidR="008A6BAD" w:rsidRPr="008D5FF4" w:rsidRDefault="008A6BAD" w:rsidP="001106FC">
            <w:pPr>
              <w:spacing w:before="0" w:after="0" w:line="240" w:lineRule="auto"/>
              <w:jc w:val="center"/>
              <w:rPr>
                <w:szCs w:val="20"/>
              </w:rPr>
            </w:pPr>
            <w:r w:rsidRPr="008D5FF4">
              <w:rPr>
                <w:color w:val="000000"/>
                <w:szCs w:val="20"/>
              </w:rPr>
              <w:t>151</w:t>
            </w:r>
          </w:p>
        </w:tc>
        <w:tc>
          <w:tcPr>
            <w:tcW w:w="403" w:type="pct"/>
            <w:vAlign w:val="center"/>
          </w:tcPr>
          <w:p w14:paraId="55D88974" w14:textId="77777777" w:rsidR="008A6BAD" w:rsidRPr="008D5FF4" w:rsidRDefault="008A6BAD" w:rsidP="001106FC">
            <w:pPr>
              <w:spacing w:before="0" w:after="0" w:line="240" w:lineRule="auto"/>
              <w:jc w:val="center"/>
              <w:rPr>
                <w:szCs w:val="20"/>
              </w:rPr>
            </w:pPr>
            <w:r w:rsidRPr="008D5FF4">
              <w:rPr>
                <w:color w:val="000000"/>
                <w:szCs w:val="20"/>
              </w:rPr>
              <w:t>165</w:t>
            </w:r>
          </w:p>
        </w:tc>
        <w:tc>
          <w:tcPr>
            <w:tcW w:w="403" w:type="pct"/>
            <w:vAlign w:val="center"/>
          </w:tcPr>
          <w:p w14:paraId="6F1E13C9" w14:textId="77777777" w:rsidR="008A6BAD" w:rsidRPr="008D5FF4" w:rsidRDefault="008A6BAD" w:rsidP="001106FC">
            <w:pPr>
              <w:spacing w:before="0" w:after="0" w:line="240" w:lineRule="auto"/>
              <w:jc w:val="center"/>
              <w:rPr>
                <w:szCs w:val="20"/>
              </w:rPr>
            </w:pPr>
            <w:r w:rsidRPr="008D5FF4">
              <w:rPr>
                <w:color w:val="000000"/>
                <w:szCs w:val="20"/>
              </w:rPr>
              <w:t>175</w:t>
            </w:r>
          </w:p>
        </w:tc>
        <w:tc>
          <w:tcPr>
            <w:tcW w:w="403" w:type="pct"/>
            <w:vAlign w:val="center"/>
          </w:tcPr>
          <w:p w14:paraId="6FE9EE64" w14:textId="77777777" w:rsidR="008A6BAD" w:rsidRPr="008D5FF4" w:rsidRDefault="008A6BAD" w:rsidP="001106FC">
            <w:pPr>
              <w:spacing w:before="0" w:after="0" w:line="240" w:lineRule="auto"/>
              <w:jc w:val="center"/>
              <w:rPr>
                <w:szCs w:val="20"/>
              </w:rPr>
            </w:pPr>
            <w:r w:rsidRPr="008D5FF4">
              <w:rPr>
                <w:color w:val="000000"/>
                <w:szCs w:val="20"/>
              </w:rPr>
              <w:t>186</w:t>
            </w:r>
          </w:p>
        </w:tc>
      </w:tr>
      <w:tr w:rsidR="008A6BAD" w:rsidRPr="008D5FF4" w14:paraId="600AD668" w14:textId="77777777" w:rsidTr="001106FC">
        <w:trPr>
          <w:trHeight w:val="432"/>
        </w:trPr>
        <w:tc>
          <w:tcPr>
            <w:tcW w:w="829" w:type="pct"/>
            <w:vAlign w:val="center"/>
          </w:tcPr>
          <w:p w14:paraId="413DDB58" w14:textId="77777777" w:rsidR="008A6BAD" w:rsidRPr="008D5FF4" w:rsidRDefault="008A6BAD" w:rsidP="001106FC">
            <w:pPr>
              <w:spacing w:before="0" w:after="0" w:line="240" w:lineRule="auto"/>
              <w:rPr>
                <w:b/>
                <w:bCs/>
                <w:szCs w:val="20"/>
              </w:rPr>
            </w:pPr>
            <w:r w:rsidRPr="008D5FF4">
              <w:rPr>
                <w:b/>
                <w:bCs/>
                <w:szCs w:val="20"/>
              </w:rPr>
              <w:t>Private blocks</w:t>
            </w:r>
          </w:p>
        </w:tc>
        <w:tc>
          <w:tcPr>
            <w:tcW w:w="350" w:type="pct"/>
            <w:vAlign w:val="center"/>
          </w:tcPr>
          <w:p w14:paraId="7D148C11" w14:textId="77777777" w:rsidR="008A6BAD" w:rsidRPr="008D5FF4" w:rsidRDefault="008A6BAD" w:rsidP="001106FC">
            <w:pPr>
              <w:spacing w:before="0" w:after="0" w:line="240" w:lineRule="auto"/>
              <w:jc w:val="center"/>
              <w:rPr>
                <w:szCs w:val="20"/>
              </w:rPr>
            </w:pPr>
            <w:r w:rsidRPr="008D5FF4">
              <w:rPr>
                <w:color w:val="000000"/>
                <w:szCs w:val="20"/>
              </w:rPr>
              <w:t>8</w:t>
            </w:r>
          </w:p>
        </w:tc>
        <w:tc>
          <w:tcPr>
            <w:tcW w:w="350" w:type="pct"/>
            <w:vAlign w:val="center"/>
          </w:tcPr>
          <w:p w14:paraId="184E64DC" w14:textId="77777777" w:rsidR="008A6BAD" w:rsidRPr="008D5FF4" w:rsidRDefault="008A6BAD" w:rsidP="001106FC">
            <w:pPr>
              <w:spacing w:before="0" w:after="0" w:line="240" w:lineRule="auto"/>
              <w:jc w:val="center"/>
              <w:rPr>
                <w:szCs w:val="20"/>
              </w:rPr>
            </w:pPr>
            <w:r w:rsidRPr="008D5FF4">
              <w:rPr>
                <w:color w:val="000000"/>
                <w:szCs w:val="20"/>
              </w:rPr>
              <w:t>6</w:t>
            </w:r>
          </w:p>
        </w:tc>
        <w:tc>
          <w:tcPr>
            <w:tcW w:w="350" w:type="pct"/>
            <w:vAlign w:val="center"/>
          </w:tcPr>
          <w:p w14:paraId="128008FE" w14:textId="77777777" w:rsidR="008A6BAD" w:rsidRPr="008D5FF4" w:rsidRDefault="008A6BAD" w:rsidP="001106FC">
            <w:pPr>
              <w:spacing w:before="0" w:after="0" w:line="240" w:lineRule="auto"/>
              <w:jc w:val="center"/>
              <w:rPr>
                <w:szCs w:val="20"/>
              </w:rPr>
            </w:pPr>
            <w:r w:rsidRPr="008D5FF4">
              <w:rPr>
                <w:color w:val="000000"/>
                <w:szCs w:val="20"/>
              </w:rPr>
              <w:t>8</w:t>
            </w:r>
          </w:p>
        </w:tc>
        <w:tc>
          <w:tcPr>
            <w:tcW w:w="350" w:type="pct"/>
            <w:vAlign w:val="center"/>
          </w:tcPr>
          <w:p w14:paraId="54E5AD2C" w14:textId="77777777" w:rsidR="008A6BAD" w:rsidRPr="008D5FF4" w:rsidRDefault="008A6BAD" w:rsidP="001106FC">
            <w:pPr>
              <w:spacing w:before="0" w:after="0" w:line="240" w:lineRule="auto"/>
              <w:jc w:val="center"/>
              <w:rPr>
                <w:szCs w:val="20"/>
              </w:rPr>
            </w:pPr>
            <w:r w:rsidRPr="008D5FF4">
              <w:rPr>
                <w:color w:val="000000"/>
                <w:szCs w:val="20"/>
              </w:rPr>
              <w:t>18</w:t>
            </w:r>
          </w:p>
        </w:tc>
        <w:tc>
          <w:tcPr>
            <w:tcW w:w="350" w:type="pct"/>
            <w:vAlign w:val="center"/>
          </w:tcPr>
          <w:p w14:paraId="0A3153F8" w14:textId="77777777" w:rsidR="008A6BAD" w:rsidRPr="008D5FF4" w:rsidRDefault="008A6BAD" w:rsidP="001106FC">
            <w:pPr>
              <w:spacing w:before="0" w:after="0" w:line="240" w:lineRule="auto"/>
              <w:jc w:val="center"/>
              <w:rPr>
                <w:szCs w:val="20"/>
              </w:rPr>
            </w:pPr>
            <w:r w:rsidRPr="008D5FF4">
              <w:rPr>
                <w:color w:val="000000"/>
                <w:szCs w:val="20"/>
              </w:rPr>
              <w:t>36</w:t>
            </w:r>
          </w:p>
        </w:tc>
        <w:tc>
          <w:tcPr>
            <w:tcW w:w="404" w:type="pct"/>
            <w:vAlign w:val="center"/>
          </w:tcPr>
          <w:p w14:paraId="216F028C" w14:textId="77777777" w:rsidR="008A6BAD" w:rsidRPr="008D5FF4" w:rsidRDefault="008A6BAD" w:rsidP="001106FC">
            <w:pPr>
              <w:spacing w:before="0" w:after="0" w:line="240" w:lineRule="auto"/>
              <w:jc w:val="center"/>
              <w:rPr>
                <w:szCs w:val="20"/>
              </w:rPr>
            </w:pPr>
            <w:r w:rsidRPr="008D5FF4">
              <w:rPr>
                <w:color w:val="000000"/>
                <w:szCs w:val="20"/>
              </w:rPr>
              <w:t>50</w:t>
            </w:r>
          </w:p>
        </w:tc>
        <w:tc>
          <w:tcPr>
            <w:tcW w:w="404" w:type="pct"/>
            <w:vAlign w:val="center"/>
          </w:tcPr>
          <w:p w14:paraId="3AC18A34" w14:textId="77777777" w:rsidR="008A6BAD" w:rsidRPr="008D5FF4" w:rsidRDefault="008A6BAD" w:rsidP="001106FC">
            <w:pPr>
              <w:spacing w:before="0" w:after="0" w:line="240" w:lineRule="auto"/>
              <w:jc w:val="center"/>
              <w:rPr>
                <w:szCs w:val="20"/>
              </w:rPr>
            </w:pPr>
            <w:r w:rsidRPr="008D5FF4">
              <w:rPr>
                <w:color w:val="000000"/>
                <w:szCs w:val="20"/>
              </w:rPr>
              <w:t>62</w:t>
            </w:r>
          </w:p>
        </w:tc>
        <w:tc>
          <w:tcPr>
            <w:tcW w:w="403" w:type="pct"/>
            <w:vAlign w:val="center"/>
          </w:tcPr>
          <w:p w14:paraId="2DDFC276" w14:textId="77777777" w:rsidR="008A6BAD" w:rsidRPr="008D5FF4" w:rsidRDefault="008A6BAD" w:rsidP="001106FC">
            <w:pPr>
              <w:spacing w:before="0" w:after="0" w:line="240" w:lineRule="auto"/>
              <w:jc w:val="center"/>
              <w:rPr>
                <w:szCs w:val="20"/>
              </w:rPr>
            </w:pPr>
            <w:r w:rsidRPr="008D5FF4">
              <w:rPr>
                <w:color w:val="000000"/>
                <w:szCs w:val="20"/>
              </w:rPr>
              <w:t>85</w:t>
            </w:r>
          </w:p>
        </w:tc>
        <w:tc>
          <w:tcPr>
            <w:tcW w:w="403" w:type="pct"/>
            <w:vAlign w:val="center"/>
          </w:tcPr>
          <w:p w14:paraId="7C33ECF9" w14:textId="77777777" w:rsidR="008A6BAD" w:rsidRPr="008D5FF4" w:rsidRDefault="008A6BAD" w:rsidP="001106FC">
            <w:pPr>
              <w:spacing w:before="0" w:after="0" w:line="240" w:lineRule="auto"/>
              <w:jc w:val="center"/>
              <w:rPr>
                <w:szCs w:val="20"/>
              </w:rPr>
            </w:pPr>
            <w:r w:rsidRPr="008D5FF4">
              <w:rPr>
                <w:color w:val="000000"/>
                <w:szCs w:val="20"/>
              </w:rPr>
              <w:t>100</w:t>
            </w:r>
          </w:p>
        </w:tc>
        <w:tc>
          <w:tcPr>
            <w:tcW w:w="403" w:type="pct"/>
            <w:vAlign w:val="center"/>
          </w:tcPr>
          <w:p w14:paraId="6F1710ED" w14:textId="77777777" w:rsidR="008A6BAD" w:rsidRPr="008D5FF4" w:rsidRDefault="008A6BAD" w:rsidP="001106FC">
            <w:pPr>
              <w:spacing w:before="0" w:after="0" w:line="240" w:lineRule="auto"/>
              <w:jc w:val="center"/>
              <w:rPr>
                <w:szCs w:val="20"/>
              </w:rPr>
            </w:pPr>
            <w:r w:rsidRPr="008D5FF4">
              <w:rPr>
                <w:color w:val="000000"/>
                <w:szCs w:val="20"/>
              </w:rPr>
              <w:t>115</w:t>
            </w:r>
          </w:p>
        </w:tc>
        <w:tc>
          <w:tcPr>
            <w:tcW w:w="403" w:type="pct"/>
            <w:vAlign w:val="center"/>
          </w:tcPr>
          <w:p w14:paraId="62F159B1" w14:textId="77777777" w:rsidR="008A6BAD" w:rsidRPr="008D5FF4" w:rsidRDefault="008A6BAD" w:rsidP="001106FC">
            <w:pPr>
              <w:spacing w:before="0" w:after="0" w:line="240" w:lineRule="auto"/>
              <w:jc w:val="center"/>
              <w:rPr>
                <w:szCs w:val="20"/>
              </w:rPr>
            </w:pPr>
            <w:r w:rsidRPr="008D5FF4">
              <w:rPr>
                <w:color w:val="000000"/>
                <w:szCs w:val="20"/>
              </w:rPr>
              <w:t>141</w:t>
            </w:r>
          </w:p>
        </w:tc>
      </w:tr>
      <w:tr w:rsidR="008A6BAD" w:rsidRPr="008D5FF4" w14:paraId="6BEDBF3E" w14:textId="77777777" w:rsidTr="001106FC">
        <w:trPr>
          <w:trHeight w:val="432"/>
        </w:trPr>
        <w:tc>
          <w:tcPr>
            <w:tcW w:w="829" w:type="pct"/>
            <w:shd w:val="clear" w:color="auto" w:fill="C9D8E1"/>
            <w:vAlign w:val="center"/>
          </w:tcPr>
          <w:p w14:paraId="1AD03E55" w14:textId="77777777" w:rsidR="008A6BAD" w:rsidRPr="008D5FF4" w:rsidRDefault="008A6BAD" w:rsidP="001106FC">
            <w:pPr>
              <w:spacing w:before="0" w:after="0" w:line="240" w:lineRule="auto"/>
              <w:rPr>
                <w:b/>
                <w:bCs/>
                <w:szCs w:val="20"/>
              </w:rPr>
            </w:pPr>
            <w:r w:rsidRPr="008D5FF4">
              <w:rPr>
                <w:b/>
                <w:bCs/>
                <w:szCs w:val="20"/>
              </w:rPr>
              <w:t>Total Coal (MMT)</w:t>
            </w:r>
          </w:p>
        </w:tc>
        <w:tc>
          <w:tcPr>
            <w:tcW w:w="350" w:type="pct"/>
            <w:shd w:val="clear" w:color="auto" w:fill="C9D8E1"/>
            <w:vAlign w:val="center"/>
          </w:tcPr>
          <w:p w14:paraId="41F40198" w14:textId="77777777" w:rsidR="008A6BAD" w:rsidRPr="008D5FF4" w:rsidRDefault="008A6BAD" w:rsidP="001106FC">
            <w:pPr>
              <w:spacing w:before="0" w:after="0" w:line="240" w:lineRule="auto"/>
              <w:jc w:val="center"/>
              <w:rPr>
                <w:b/>
                <w:bCs/>
                <w:szCs w:val="20"/>
              </w:rPr>
            </w:pPr>
            <w:r w:rsidRPr="008D5FF4">
              <w:rPr>
                <w:b/>
                <w:bCs/>
                <w:color w:val="000000"/>
                <w:szCs w:val="20"/>
              </w:rPr>
              <w:t>738</w:t>
            </w:r>
          </w:p>
        </w:tc>
        <w:tc>
          <w:tcPr>
            <w:tcW w:w="350" w:type="pct"/>
            <w:shd w:val="clear" w:color="auto" w:fill="C9D8E1"/>
            <w:vAlign w:val="center"/>
          </w:tcPr>
          <w:p w14:paraId="48EDFF55" w14:textId="77777777" w:rsidR="008A6BAD" w:rsidRPr="008D5FF4" w:rsidRDefault="008A6BAD" w:rsidP="001106FC">
            <w:pPr>
              <w:spacing w:before="0" w:after="0" w:line="240" w:lineRule="auto"/>
              <w:jc w:val="center"/>
              <w:rPr>
                <w:b/>
                <w:bCs/>
                <w:szCs w:val="20"/>
              </w:rPr>
            </w:pPr>
            <w:r w:rsidRPr="008D5FF4">
              <w:rPr>
                <w:b/>
                <w:bCs/>
                <w:color w:val="000000"/>
                <w:szCs w:val="20"/>
              </w:rPr>
              <w:t>705</w:t>
            </w:r>
          </w:p>
        </w:tc>
        <w:tc>
          <w:tcPr>
            <w:tcW w:w="350" w:type="pct"/>
            <w:shd w:val="clear" w:color="auto" w:fill="C9D8E1"/>
            <w:vAlign w:val="center"/>
          </w:tcPr>
          <w:p w14:paraId="6D6934EC" w14:textId="77777777" w:rsidR="008A6BAD" w:rsidRPr="008D5FF4" w:rsidRDefault="008A6BAD" w:rsidP="001106FC">
            <w:pPr>
              <w:spacing w:before="0" w:after="0" w:line="240" w:lineRule="auto"/>
              <w:jc w:val="center"/>
              <w:rPr>
                <w:b/>
                <w:bCs/>
                <w:szCs w:val="20"/>
              </w:rPr>
            </w:pPr>
            <w:r w:rsidRPr="008D5FF4">
              <w:rPr>
                <w:b/>
                <w:bCs/>
                <w:color w:val="000000"/>
                <w:szCs w:val="20"/>
              </w:rPr>
              <w:t>777</w:t>
            </w:r>
          </w:p>
        </w:tc>
        <w:tc>
          <w:tcPr>
            <w:tcW w:w="350" w:type="pct"/>
            <w:shd w:val="clear" w:color="auto" w:fill="C9D8E1"/>
            <w:vAlign w:val="center"/>
          </w:tcPr>
          <w:p w14:paraId="782021CA" w14:textId="77777777" w:rsidR="008A6BAD" w:rsidRPr="008D5FF4" w:rsidRDefault="008A6BAD" w:rsidP="001106FC">
            <w:pPr>
              <w:spacing w:before="0" w:after="0" w:line="240" w:lineRule="auto"/>
              <w:jc w:val="center"/>
              <w:rPr>
                <w:b/>
                <w:bCs/>
                <w:szCs w:val="20"/>
              </w:rPr>
            </w:pPr>
            <w:r w:rsidRPr="008D5FF4">
              <w:rPr>
                <w:b/>
                <w:bCs/>
                <w:color w:val="000000"/>
                <w:szCs w:val="20"/>
              </w:rPr>
              <w:t>893</w:t>
            </w:r>
          </w:p>
        </w:tc>
        <w:tc>
          <w:tcPr>
            <w:tcW w:w="350" w:type="pct"/>
            <w:shd w:val="clear" w:color="auto" w:fill="C9D8E1"/>
            <w:vAlign w:val="center"/>
          </w:tcPr>
          <w:p w14:paraId="03BD3D7E" w14:textId="77777777" w:rsidR="008A6BAD" w:rsidRPr="008D5FF4" w:rsidRDefault="008A6BAD" w:rsidP="001106FC">
            <w:pPr>
              <w:spacing w:before="0" w:after="0" w:line="240" w:lineRule="auto"/>
              <w:jc w:val="center"/>
              <w:rPr>
                <w:b/>
                <w:bCs/>
                <w:szCs w:val="20"/>
              </w:rPr>
            </w:pPr>
            <w:r w:rsidRPr="008D5FF4">
              <w:rPr>
                <w:b/>
                <w:bCs/>
                <w:color w:val="000000"/>
                <w:szCs w:val="20"/>
              </w:rPr>
              <w:t>997</w:t>
            </w:r>
          </w:p>
        </w:tc>
        <w:tc>
          <w:tcPr>
            <w:tcW w:w="404" w:type="pct"/>
            <w:shd w:val="clear" w:color="auto" w:fill="C9D8E1"/>
            <w:vAlign w:val="center"/>
          </w:tcPr>
          <w:p w14:paraId="0DECCF09" w14:textId="77777777" w:rsidR="008A6BAD" w:rsidRPr="008D5FF4" w:rsidRDefault="008A6BAD" w:rsidP="001106FC">
            <w:pPr>
              <w:spacing w:before="0" w:after="0" w:line="240" w:lineRule="auto"/>
              <w:jc w:val="center"/>
              <w:rPr>
                <w:b/>
                <w:bCs/>
                <w:szCs w:val="20"/>
              </w:rPr>
            </w:pPr>
            <w:r w:rsidRPr="008D5FF4">
              <w:rPr>
                <w:b/>
                <w:bCs/>
                <w:color w:val="000000"/>
                <w:szCs w:val="20"/>
              </w:rPr>
              <w:t>1,074</w:t>
            </w:r>
          </w:p>
        </w:tc>
        <w:tc>
          <w:tcPr>
            <w:tcW w:w="404" w:type="pct"/>
            <w:shd w:val="clear" w:color="auto" w:fill="C9D8E1"/>
            <w:vAlign w:val="center"/>
          </w:tcPr>
          <w:p w14:paraId="50CF51F4" w14:textId="77777777" w:rsidR="008A6BAD" w:rsidRPr="008D5FF4" w:rsidRDefault="008A6BAD" w:rsidP="001106FC">
            <w:pPr>
              <w:spacing w:before="0" w:after="0" w:line="240" w:lineRule="auto"/>
              <w:jc w:val="center"/>
              <w:rPr>
                <w:b/>
                <w:bCs/>
                <w:szCs w:val="20"/>
              </w:rPr>
            </w:pPr>
            <w:r w:rsidRPr="008D5FF4">
              <w:rPr>
                <w:b/>
                <w:bCs/>
                <w:color w:val="000000"/>
                <w:szCs w:val="20"/>
              </w:rPr>
              <w:t>1,122</w:t>
            </w:r>
          </w:p>
        </w:tc>
        <w:tc>
          <w:tcPr>
            <w:tcW w:w="403" w:type="pct"/>
            <w:shd w:val="clear" w:color="auto" w:fill="C9D8E1"/>
            <w:vAlign w:val="center"/>
          </w:tcPr>
          <w:p w14:paraId="3C87D4A2" w14:textId="77777777" w:rsidR="008A6BAD" w:rsidRPr="008D5FF4" w:rsidRDefault="008A6BAD" w:rsidP="001106FC">
            <w:pPr>
              <w:spacing w:before="0" w:after="0" w:line="240" w:lineRule="auto"/>
              <w:jc w:val="center"/>
              <w:rPr>
                <w:b/>
                <w:bCs/>
                <w:szCs w:val="20"/>
              </w:rPr>
            </w:pPr>
            <w:r w:rsidRPr="008D5FF4">
              <w:rPr>
                <w:b/>
                <w:bCs/>
                <w:color w:val="000000"/>
                <w:szCs w:val="20"/>
              </w:rPr>
              <w:t>1,185</w:t>
            </w:r>
          </w:p>
        </w:tc>
        <w:tc>
          <w:tcPr>
            <w:tcW w:w="403" w:type="pct"/>
            <w:shd w:val="clear" w:color="auto" w:fill="C9D8E1"/>
            <w:vAlign w:val="center"/>
          </w:tcPr>
          <w:p w14:paraId="41F52045" w14:textId="77777777" w:rsidR="008A6BAD" w:rsidRPr="008D5FF4" w:rsidRDefault="008A6BAD" w:rsidP="001106FC">
            <w:pPr>
              <w:spacing w:before="0" w:after="0" w:line="240" w:lineRule="auto"/>
              <w:jc w:val="center"/>
              <w:rPr>
                <w:b/>
                <w:bCs/>
                <w:szCs w:val="20"/>
              </w:rPr>
            </w:pPr>
            <w:r w:rsidRPr="008D5FF4">
              <w:rPr>
                <w:b/>
                <w:bCs/>
                <w:color w:val="000000"/>
                <w:szCs w:val="20"/>
              </w:rPr>
              <w:t>1,292</w:t>
            </w:r>
          </w:p>
        </w:tc>
        <w:tc>
          <w:tcPr>
            <w:tcW w:w="403" w:type="pct"/>
            <w:shd w:val="clear" w:color="auto" w:fill="C9D8E1"/>
            <w:vAlign w:val="center"/>
          </w:tcPr>
          <w:p w14:paraId="73E3D39A" w14:textId="77777777" w:rsidR="008A6BAD" w:rsidRPr="008D5FF4" w:rsidRDefault="008A6BAD" w:rsidP="001106FC">
            <w:pPr>
              <w:spacing w:before="0" w:after="0" w:line="240" w:lineRule="auto"/>
              <w:jc w:val="center"/>
              <w:rPr>
                <w:b/>
                <w:bCs/>
                <w:szCs w:val="20"/>
              </w:rPr>
            </w:pPr>
            <w:r w:rsidRPr="008D5FF4">
              <w:rPr>
                <w:b/>
                <w:bCs/>
                <w:color w:val="000000"/>
                <w:szCs w:val="20"/>
              </w:rPr>
              <w:t>1,416</w:t>
            </w:r>
          </w:p>
        </w:tc>
        <w:tc>
          <w:tcPr>
            <w:tcW w:w="403" w:type="pct"/>
            <w:shd w:val="clear" w:color="auto" w:fill="C9D8E1"/>
            <w:vAlign w:val="center"/>
          </w:tcPr>
          <w:p w14:paraId="0639A14D" w14:textId="77777777" w:rsidR="008A6BAD" w:rsidRPr="008D5FF4" w:rsidRDefault="008A6BAD" w:rsidP="001106FC">
            <w:pPr>
              <w:spacing w:before="0" w:after="0" w:line="240" w:lineRule="auto"/>
              <w:jc w:val="center"/>
              <w:rPr>
                <w:b/>
                <w:bCs/>
                <w:szCs w:val="20"/>
              </w:rPr>
            </w:pPr>
            <w:r w:rsidRPr="008D5FF4">
              <w:rPr>
                <w:b/>
                <w:bCs/>
                <w:color w:val="000000"/>
                <w:szCs w:val="20"/>
              </w:rPr>
              <w:t>1,514</w:t>
            </w:r>
          </w:p>
        </w:tc>
      </w:tr>
    </w:tbl>
    <w:p w14:paraId="1ACE972D" w14:textId="77777777" w:rsidR="008A6BAD" w:rsidRDefault="008A6BAD" w:rsidP="008A6BAD">
      <w:pPr>
        <w:pStyle w:val="BodyText"/>
        <w:spacing w:after="240"/>
        <w:rPr>
          <w:i/>
          <w:iCs/>
          <w:sz w:val="16"/>
          <w:szCs w:val="16"/>
        </w:rPr>
      </w:pPr>
      <w:r w:rsidRPr="00C431DC">
        <w:rPr>
          <w:i/>
          <w:iCs/>
          <w:sz w:val="16"/>
          <w:szCs w:val="16"/>
        </w:rPr>
        <w:t xml:space="preserve">Source: </w:t>
      </w:r>
      <w:r>
        <w:rPr>
          <w:i/>
          <w:iCs/>
          <w:sz w:val="16"/>
          <w:szCs w:val="16"/>
        </w:rPr>
        <w:t>Crisil Intelligence</w:t>
      </w:r>
      <w:r w:rsidRPr="00C431DC">
        <w:rPr>
          <w:i/>
          <w:iCs/>
          <w:sz w:val="16"/>
          <w:szCs w:val="16"/>
        </w:rPr>
        <w:t xml:space="preserve"> </w:t>
      </w:r>
      <w:r>
        <w:rPr>
          <w:i/>
          <w:iCs/>
          <w:sz w:val="16"/>
          <w:szCs w:val="16"/>
        </w:rPr>
        <w:t>Analysis; P: Projected; Year is fiscal year</w:t>
      </w:r>
    </w:p>
    <w:p w14:paraId="028A5153" w14:textId="7955CFA0" w:rsidR="008A6BAD" w:rsidRDefault="008A6BAD" w:rsidP="008A6BAD">
      <w:pPr>
        <w:pStyle w:val="Caption"/>
      </w:pPr>
      <w:bookmarkStart w:id="2146" w:name="_Toc198731461"/>
      <w:r>
        <w:t xml:space="preserve">Table </w:t>
      </w:r>
      <w:r>
        <w:fldChar w:fldCharType="begin"/>
      </w:r>
      <w:r>
        <w:instrText xml:space="preserve"> STYLEREF 1 \s </w:instrText>
      </w:r>
      <w:r>
        <w:fldChar w:fldCharType="separate"/>
      </w:r>
      <w:r w:rsidR="002142B9">
        <w:rPr>
          <w:noProof/>
        </w:rPr>
        <w:t>3</w:t>
      </w:r>
      <w:r>
        <w:fldChar w:fldCharType="end"/>
      </w:r>
      <w:r>
        <w:t>.</w:t>
      </w:r>
      <w:r>
        <w:fldChar w:fldCharType="begin"/>
      </w:r>
      <w:r>
        <w:instrText xml:space="preserve"> SEQ Table \* ARABIC \s 1 </w:instrText>
      </w:r>
      <w:r>
        <w:fldChar w:fldCharType="separate"/>
      </w:r>
      <w:r w:rsidR="002142B9">
        <w:rPr>
          <w:noProof/>
        </w:rPr>
        <w:t>2</w:t>
      </w:r>
      <w:r>
        <w:fldChar w:fldCharType="end"/>
      </w:r>
      <w:r>
        <w:t>: CIL year wise upcoming mines including expansion</w:t>
      </w:r>
      <w:bookmarkEnd w:id="2146"/>
    </w:p>
    <w:tbl>
      <w:tblPr>
        <w:tblStyle w:val="TableGrid"/>
        <w:tblW w:w="5000" w:type="pct"/>
        <w:tblLook w:val="04A0" w:firstRow="1" w:lastRow="0" w:firstColumn="1" w:lastColumn="0" w:noHBand="0" w:noVBand="1"/>
      </w:tblPr>
      <w:tblGrid>
        <w:gridCol w:w="1796"/>
        <w:gridCol w:w="1245"/>
        <w:gridCol w:w="1245"/>
        <w:gridCol w:w="1246"/>
        <w:gridCol w:w="1248"/>
        <w:gridCol w:w="1246"/>
        <w:gridCol w:w="1246"/>
        <w:gridCol w:w="1248"/>
      </w:tblGrid>
      <w:tr w:rsidR="008A6BAD" w:rsidRPr="008D5FF4" w14:paraId="70FA7BCB" w14:textId="77777777" w:rsidTr="00662938">
        <w:trPr>
          <w:trHeight w:val="432"/>
          <w:tblHeader/>
        </w:trPr>
        <w:tc>
          <w:tcPr>
            <w:tcW w:w="854" w:type="pct"/>
            <w:shd w:val="clear" w:color="auto" w:fill="156082" w:themeFill="accent1"/>
            <w:vAlign w:val="center"/>
          </w:tcPr>
          <w:p w14:paraId="0F5E8491" w14:textId="77777777" w:rsidR="008A6BAD" w:rsidRPr="008D5FF4" w:rsidRDefault="008A6BAD" w:rsidP="001106FC">
            <w:pPr>
              <w:spacing w:before="0" w:after="0" w:line="240" w:lineRule="auto"/>
              <w:rPr>
                <w:b/>
                <w:bCs/>
                <w:color w:val="FFFFFF" w:themeColor="background1"/>
                <w:szCs w:val="20"/>
              </w:rPr>
            </w:pPr>
            <w:r w:rsidRPr="008D5FF4">
              <w:rPr>
                <w:b/>
                <w:bCs/>
                <w:color w:val="FFFFFF" w:themeColor="background1"/>
                <w:szCs w:val="20"/>
              </w:rPr>
              <w:t>Particulars</w:t>
            </w:r>
          </w:p>
        </w:tc>
        <w:tc>
          <w:tcPr>
            <w:tcW w:w="592" w:type="pct"/>
            <w:shd w:val="clear" w:color="auto" w:fill="156082" w:themeFill="accent1"/>
            <w:vAlign w:val="center"/>
          </w:tcPr>
          <w:p w14:paraId="381076FC"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2025</w:t>
            </w:r>
          </w:p>
        </w:tc>
        <w:tc>
          <w:tcPr>
            <w:tcW w:w="592" w:type="pct"/>
            <w:shd w:val="clear" w:color="auto" w:fill="156082" w:themeFill="accent1"/>
            <w:vAlign w:val="center"/>
          </w:tcPr>
          <w:p w14:paraId="6AB176E3"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2026</w:t>
            </w:r>
          </w:p>
        </w:tc>
        <w:tc>
          <w:tcPr>
            <w:tcW w:w="592" w:type="pct"/>
            <w:shd w:val="clear" w:color="auto" w:fill="156082" w:themeFill="accent1"/>
            <w:vAlign w:val="center"/>
          </w:tcPr>
          <w:p w14:paraId="352ADE66"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2027</w:t>
            </w:r>
          </w:p>
        </w:tc>
        <w:tc>
          <w:tcPr>
            <w:tcW w:w="593" w:type="pct"/>
            <w:shd w:val="clear" w:color="auto" w:fill="156082" w:themeFill="accent1"/>
            <w:vAlign w:val="center"/>
          </w:tcPr>
          <w:p w14:paraId="48A2B32A"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2028</w:t>
            </w:r>
          </w:p>
        </w:tc>
        <w:tc>
          <w:tcPr>
            <w:tcW w:w="592" w:type="pct"/>
            <w:shd w:val="clear" w:color="auto" w:fill="156082" w:themeFill="accent1"/>
            <w:vAlign w:val="center"/>
          </w:tcPr>
          <w:p w14:paraId="24C0305F"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2029</w:t>
            </w:r>
          </w:p>
        </w:tc>
        <w:tc>
          <w:tcPr>
            <w:tcW w:w="592" w:type="pct"/>
            <w:shd w:val="clear" w:color="auto" w:fill="156082" w:themeFill="accent1"/>
            <w:vAlign w:val="center"/>
          </w:tcPr>
          <w:p w14:paraId="7C0C6561"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2030</w:t>
            </w:r>
          </w:p>
        </w:tc>
        <w:tc>
          <w:tcPr>
            <w:tcW w:w="593" w:type="pct"/>
            <w:shd w:val="clear" w:color="auto" w:fill="156082" w:themeFill="accent1"/>
            <w:vAlign w:val="center"/>
          </w:tcPr>
          <w:p w14:paraId="029A3546" w14:textId="77777777" w:rsidR="008A6BAD" w:rsidRPr="008D5FF4" w:rsidRDefault="008A6BAD" w:rsidP="001106FC">
            <w:pPr>
              <w:spacing w:before="0" w:after="0" w:line="240" w:lineRule="auto"/>
              <w:jc w:val="center"/>
              <w:rPr>
                <w:b/>
                <w:bCs/>
                <w:color w:val="FFFFFF" w:themeColor="background1"/>
                <w:szCs w:val="20"/>
              </w:rPr>
            </w:pPr>
            <w:r w:rsidRPr="008D5FF4">
              <w:rPr>
                <w:b/>
                <w:bCs/>
                <w:color w:val="FFFFFF" w:themeColor="background1"/>
                <w:szCs w:val="20"/>
              </w:rPr>
              <w:t>Total</w:t>
            </w:r>
          </w:p>
        </w:tc>
      </w:tr>
      <w:tr w:rsidR="008A6BAD" w:rsidRPr="008D5FF4" w14:paraId="54EC6A36" w14:textId="77777777" w:rsidTr="001106FC">
        <w:trPr>
          <w:trHeight w:val="432"/>
        </w:trPr>
        <w:tc>
          <w:tcPr>
            <w:tcW w:w="854" w:type="pct"/>
            <w:vAlign w:val="center"/>
          </w:tcPr>
          <w:p w14:paraId="546C11E2" w14:textId="77777777" w:rsidR="008A6BAD" w:rsidRPr="008D5FF4" w:rsidRDefault="008A6BAD" w:rsidP="001106FC">
            <w:pPr>
              <w:spacing w:before="0" w:after="0" w:line="240" w:lineRule="auto"/>
              <w:rPr>
                <w:b/>
                <w:bCs/>
                <w:szCs w:val="20"/>
              </w:rPr>
            </w:pPr>
            <w:r w:rsidRPr="008D5FF4">
              <w:rPr>
                <w:b/>
                <w:bCs/>
                <w:szCs w:val="20"/>
              </w:rPr>
              <w:t>ECL</w:t>
            </w:r>
          </w:p>
        </w:tc>
        <w:tc>
          <w:tcPr>
            <w:tcW w:w="592" w:type="pct"/>
            <w:vAlign w:val="center"/>
          </w:tcPr>
          <w:p w14:paraId="50F6F4AD"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2D156811" w14:textId="27C18D4A" w:rsidR="008A6BAD" w:rsidRPr="008D5FF4" w:rsidRDefault="003241B8" w:rsidP="001106FC">
            <w:pPr>
              <w:spacing w:before="0" w:after="0" w:line="240" w:lineRule="auto"/>
              <w:jc w:val="center"/>
              <w:rPr>
                <w:szCs w:val="20"/>
              </w:rPr>
            </w:pPr>
            <w:r>
              <w:rPr>
                <w:szCs w:val="20"/>
              </w:rPr>
              <w:t>3</w:t>
            </w:r>
          </w:p>
        </w:tc>
        <w:tc>
          <w:tcPr>
            <w:tcW w:w="592" w:type="pct"/>
            <w:vAlign w:val="center"/>
          </w:tcPr>
          <w:p w14:paraId="29461823" w14:textId="0F595F44" w:rsidR="008A6BAD" w:rsidRPr="008D5FF4" w:rsidRDefault="003241B8" w:rsidP="001106FC">
            <w:pPr>
              <w:spacing w:before="0" w:after="0" w:line="240" w:lineRule="auto"/>
              <w:jc w:val="center"/>
              <w:rPr>
                <w:szCs w:val="20"/>
              </w:rPr>
            </w:pPr>
            <w:r>
              <w:rPr>
                <w:szCs w:val="20"/>
              </w:rPr>
              <w:t>1</w:t>
            </w:r>
          </w:p>
        </w:tc>
        <w:tc>
          <w:tcPr>
            <w:tcW w:w="593" w:type="pct"/>
            <w:vAlign w:val="center"/>
          </w:tcPr>
          <w:p w14:paraId="0118C6E4"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2E92D9F1" w14:textId="77777777" w:rsidR="008A6BAD" w:rsidRPr="008D5FF4" w:rsidRDefault="008A6BAD" w:rsidP="001106FC">
            <w:pPr>
              <w:spacing w:before="0" w:after="0" w:line="240" w:lineRule="auto"/>
              <w:jc w:val="center"/>
              <w:rPr>
                <w:szCs w:val="20"/>
              </w:rPr>
            </w:pPr>
            <w:r w:rsidRPr="008D5FF4">
              <w:rPr>
                <w:szCs w:val="20"/>
              </w:rPr>
              <w:t>5</w:t>
            </w:r>
          </w:p>
        </w:tc>
        <w:tc>
          <w:tcPr>
            <w:tcW w:w="592" w:type="pct"/>
            <w:vAlign w:val="center"/>
          </w:tcPr>
          <w:p w14:paraId="52BFC679" w14:textId="77777777" w:rsidR="008A6BAD" w:rsidRPr="008D5FF4" w:rsidRDefault="008A6BAD" w:rsidP="001106FC">
            <w:pPr>
              <w:spacing w:before="0" w:after="0" w:line="240" w:lineRule="auto"/>
              <w:jc w:val="center"/>
              <w:rPr>
                <w:szCs w:val="20"/>
              </w:rPr>
            </w:pPr>
            <w:r w:rsidRPr="008D5FF4">
              <w:rPr>
                <w:szCs w:val="20"/>
              </w:rPr>
              <w:t>1</w:t>
            </w:r>
          </w:p>
        </w:tc>
        <w:tc>
          <w:tcPr>
            <w:tcW w:w="593" w:type="pct"/>
            <w:vAlign w:val="center"/>
          </w:tcPr>
          <w:p w14:paraId="222DDFB8" w14:textId="77777777" w:rsidR="008A6BAD" w:rsidRPr="008D5FF4" w:rsidRDefault="008A6BAD" w:rsidP="001106FC">
            <w:pPr>
              <w:spacing w:before="0" w:after="0" w:line="240" w:lineRule="auto"/>
              <w:jc w:val="center"/>
              <w:rPr>
                <w:b/>
                <w:bCs/>
                <w:szCs w:val="20"/>
              </w:rPr>
            </w:pPr>
            <w:r w:rsidRPr="008D5FF4">
              <w:rPr>
                <w:b/>
                <w:bCs/>
                <w:szCs w:val="20"/>
              </w:rPr>
              <w:t>10</w:t>
            </w:r>
          </w:p>
        </w:tc>
      </w:tr>
      <w:tr w:rsidR="008A6BAD" w:rsidRPr="008D5FF4" w14:paraId="54FB564A" w14:textId="77777777" w:rsidTr="001106FC">
        <w:trPr>
          <w:trHeight w:val="432"/>
        </w:trPr>
        <w:tc>
          <w:tcPr>
            <w:tcW w:w="854" w:type="pct"/>
            <w:vAlign w:val="center"/>
          </w:tcPr>
          <w:p w14:paraId="0CB387B1" w14:textId="77777777" w:rsidR="008A6BAD" w:rsidRPr="008D5FF4" w:rsidRDefault="008A6BAD" w:rsidP="001106FC">
            <w:pPr>
              <w:spacing w:before="0" w:after="0" w:line="240" w:lineRule="auto"/>
              <w:rPr>
                <w:b/>
                <w:bCs/>
                <w:szCs w:val="20"/>
              </w:rPr>
            </w:pPr>
            <w:r w:rsidRPr="008D5FF4">
              <w:rPr>
                <w:b/>
                <w:bCs/>
                <w:szCs w:val="20"/>
              </w:rPr>
              <w:t>BCCL</w:t>
            </w:r>
          </w:p>
        </w:tc>
        <w:tc>
          <w:tcPr>
            <w:tcW w:w="592" w:type="pct"/>
            <w:vAlign w:val="center"/>
          </w:tcPr>
          <w:p w14:paraId="5E693E42"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06864338" w14:textId="77777777" w:rsidR="008A6BAD" w:rsidRPr="008D5FF4" w:rsidRDefault="008A6BAD" w:rsidP="001106FC">
            <w:pPr>
              <w:spacing w:before="0" w:after="0" w:line="240" w:lineRule="auto"/>
              <w:jc w:val="center"/>
              <w:rPr>
                <w:szCs w:val="20"/>
              </w:rPr>
            </w:pPr>
            <w:r w:rsidRPr="008D5FF4">
              <w:rPr>
                <w:szCs w:val="20"/>
              </w:rPr>
              <w:t>1</w:t>
            </w:r>
          </w:p>
        </w:tc>
        <w:tc>
          <w:tcPr>
            <w:tcW w:w="592" w:type="pct"/>
            <w:vAlign w:val="center"/>
          </w:tcPr>
          <w:p w14:paraId="67CD7BA1" w14:textId="77777777" w:rsidR="008A6BAD" w:rsidRPr="008D5FF4" w:rsidRDefault="008A6BAD" w:rsidP="001106FC">
            <w:pPr>
              <w:spacing w:before="0" w:after="0" w:line="240" w:lineRule="auto"/>
              <w:jc w:val="center"/>
              <w:rPr>
                <w:szCs w:val="20"/>
              </w:rPr>
            </w:pPr>
            <w:r w:rsidRPr="008D5FF4">
              <w:rPr>
                <w:szCs w:val="20"/>
              </w:rPr>
              <w:t>-</w:t>
            </w:r>
          </w:p>
        </w:tc>
        <w:tc>
          <w:tcPr>
            <w:tcW w:w="593" w:type="pct"/>
            <w:vAlign w:val="center"/>
          </w:tcPr>
          <w:p w14:paraId="510CC9D8"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72A8550F"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3ED40860" w14:textId="18C31FEF" w:rsidR="008A6BAD" w:rsidRPr="008D5FF4" w:rsidRDefault="00A9631A" w:rsidP="001106FC">
            <w:pPr>
              <w:spacing w:before="0" w:after="0" w:line="240" w:lineRule="auto"/>
              <w:jc w:val="center"/>
              <w:rPr>
                <w:szCs w:val="20"/>
              </w:rPr>
            </w:pPr>
            <w:r>
              <w:rPr>
                <w:szCs w:val="20"/>
              </w:rPr>
              <w:t>2</w:t>
            </w:r>
          </w:p>
        </w:tc>
        <w:tc>
          <w:tcPr>
            <w:tcW w:w="593" w:type="pct"/>
            <w:vAlign w:val="center"/>
          </w:tcPr>
          <w:p w14:paraId="67522250" w14:textId="7CF0D64E" w:rsidR="008A6BAD" w:rsidRPr="008D5FF4" w:rsidRDefault="00A9631A" w:rsidP="001106FC">
            <w:pPr>
              <w:spacing w:before="0" w:after="0" w:line="240" w:lineRule="auto"/>
              <w:jc w:val="center"/>
              <w:rPr>
                <w:b/>
                <w:bCs/>
                <w:szCs w:val="20"/>
              </w:rPr>
            </w:pPr>
            <w:r>
              <w:rPr>
                <w:b/>
                <w:bCs/>
                <w:szCs w:val="20"/>
              </w:rPr>
              <w:t>3</w:t>
            </w:r>
          </w:p>
        </w:tc>
      </w:tr>
      <w:tr w:rsidR="008A6BAD" w:rsidRPr="008D5FF4" w14:paraId="35D1319B" w14:textId="77777777" w:rsidTr="001106FC">
        <w:trPr>
          <w:trHeight w:val="432"/>
        </w:trPr>
        <w:tc>
          <w:tcPr>
            <w:tcW w:w="854" w:type="pct"/>
            <w:vAlign w:val="center"/>
          </w:tcPr>
          <w:p w14:paraId="492A3F0E" w14:textId="77777777" w:rsidR="008A6BAD" w:rsidRPr="008D5FF4" w:rsidRDefault="008A6BAD" w:rsidP="001106FC">
            <w:pPr>
              <w:spacing w:before="0" w:after="0" w:line="240" w:lineRule="auto"/>
              <w:rPr>
                <w:b/>
                <w:bCs/>
                <w:szCs w:val="20"/>
              </w:rPr>
            </w:pPr>
            <w:r w:rsidRPr="008D5FF4">
              <w:rPr>
                <w:b/>
                <w:bCs/>
                <w:szCs w:val="20"/>
              </w:rPr>
              <w:t>CCL</w:t>
            </w:r>
          </w:p>
        </w:tc>
        <w:tc>
          <w:tcPr>
            <w:tcW w:w="592" w:type="pct"/>
            <w:vAlign w:val="center"/>
          </w:tcPr>
          <w:p w14:paraId="74C1E4AF" w14:textId="64BE4A31" w:rsidR="008A6BAD" w:rsidRPr="008D5FF4" w:rsidRDefault="00A9631A" w:rsidP="001106FC">
            <w:pPr>
              <w:spacing w:before="0" w:after="0" w:line="240" w:lineRule="auto"/>
              <w:jc w:val="center"/>
              <w:rPr>
                <w:szCs w:val="20"/>
              </w:rPr>
            </w:pPr>
            <w:r>
              <w:rPr>
                <w:szCs w:val="20"/>
              </w:rPr>
              <w:t>-</w:t>
            </w:r>
          </w:p>
        </w:tc>
        <w:tc>
          <w:tcPr>
            <w:tcW w:w="592" w:type="pct"/>
            <w:vAlign w:val="center"/>
          </w:tcPr>
          <w:p w14:paraId="4D6EFD4B" w14:textId="77777777" w:rsidR="008A6BAD" w:rsidRPr="008D5FF4" w:rsidRDefault="008A6BAD" w:rsidP="001106FC">
            <w:pPr>
              <w:spacing w:before="0" w:after="0" w:line="240" w:lineRule="auto"/>
              <w:jc w:val="center"/>
              <w:rPr>
                <w:szCs w:val="20"/>
              </w:rPr>
            </w:pPr>
            <w:r w:rsidRPr="008D5FF4">
              <w:rPr>
                <w:szCs w:val="20"/>
              </w:rPr>
              <w:t>2</w:t>
            </w:r>
          </w:p>
        </w:tc>
        <w:tc>
          <w:tcPr>
            <w:tcW w:w="592" w:type="pct"/>
            <w:vAlign w:val="center"/>
          </w:tcPr>
          <w:p w14:paraId="35F7F97E" w14:textId="65888DD0" w:rsidR="008A6BAD" w:rsidRPr="008D5FF4" w:rsidRDefault="00974A26" w:rsidP="001106FC">
            <w:pPr>
              <w:spacing w:before="0" w:after="0" w:line="240" w:lineRule="auto"/>
              <w:jc w:val="center"/>
              <w:rPr>
                <w:szCs w:val="20"/>
              </w:rPr>
            </w:pPr>
            <w:r>
              <w:rPr>
                <w:szCs w:val="20"/>
              </w:rPr>
              <w:t>1</w:t>
            </w:r>
          </w:p>
        </w:tc>
        <w:tc>
          <w:tcPr>
            <w:tcW w:w="593" w:type="pct"/>
            <w:vAlign w:val="center"/>
          </w:tcPr>
          <w:p w14:paraId="052B290C" w14:textId="496D70EA" w:rsidR="008A6BAD" w:rsidRPr="008D5FF4" w:rsidRDefault="0096389B" w:rsidP="001106FC">
            <w:pPr>
              <w:spacing w:before="0" w:after="0" w:line="240" w:lineRule="auto"/>
              <w:jc w:val="center"/>
              <w:rPr>
                <w:szCs w:val="20"/>
              </w:rPr>
            </w:pPr>
            <w:r>
              <w:rPr>
                <w:szCs w:val="20"/>
              </w:rPr>
              <w:t>5</w:t>
            </w:r>
          </w:p>
        </w:tc>
        <w:tc>
          <w:tcPr>
            <w:tcW w:w="592" w:type="pct"/>
            <w:vAlign w:val="center"/>
          </w:tcPr>
          <w:p w14:paraId="63D275C4"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1BFCDA30" w14:textId="77777777" w:rsidR="008A6BAD" w:rsidRPr="008D5FF4" w:rsidRDefault="008A6BAD" w:rsidP="001106FC">
            <w:pPr>
              <w:spacing w:before="0" w:after="0" w:line="240" w:lineRule="auto"/>
              <w:jc w:val="center"/>
              <w:rPr>
                <w:szCs w:val="20"/>
              </w:rPr>
            </w:pPr>
            <w:r w:rsidRPr="008D5FF4">
              <w:rPr>
                <w:szCs w:val="20"/>
              </w:rPr>
              <w:t>-</w:t>
            </w:r>
          </w:p>
        </w:tc>
        <w:tc>
          <w:tcPr>
            <w:tcW w:w="593" w:type="pct"/>
            <w:vAlign w:val="center"/>
          </w:tcPr>
          <w:p w14:paraId="4E4B3230" w14:textId="77777777" w:rsidR="008A6BAD" w:rsidRPr="008D5FF4" w:rsidRDefault="008A6BAD" w:rsidP="001106FC">
            <w:pPr>
              <w:spacing w:before="0" w:after="0" w:line="240" w:lineRule="auto"/>
              <w:jc w:val="center"/>
              <w:rPr>
                <w:b/>
                <w:bCs/>
                <w:szCs w:val="20"/>
              </w:rPr>
            </w:pPr>
            <w:r w:rsidRPr="008D5FF4">
              <w:rPr>
                <w:b/>
                <w:bCs/>
                <w:szCs w:val="20"/>
              </w:rPr>
              <w:t>8</w:t>
            </w:r>
          </w:p>
        </w:tc>
      </w:tr>
      <w:tr w:rsidR="008A6BAD" w:rsidRPr="008D5FF4" w14:paraId="6EB05BFD" w14:textId="77777777" w:rsidTr="001106FC">
        <w:trPr>
          <w:trHeight w:val="432"/>
        </w:trPr>
        <w:tc>
          <w:tcPr>
            <w:tcW w:w="854" w:type="pct"/>
            <w:vAlign w:val="center"/>
          </w:tcPr>
          <w:p w14:paraId="3568DCCE" w14:textId="77777777" w:rsidR="008A6BAD" w:rsidRPr="008D5FF4" w:rsidRDefault="008A6BAD" w:rsidP="001106FC">
            <w:pPr>
              <w:spacing w:before="0" w:after="0" w:line="240" w:lineRule="auto"/>
              <w:rPr>
                <w:b/>
                <w:bCs/>
                <w:szCs w:val="20"/>
              </w:rPr>
            </w:pPr>
            <w:r w:rsidRPr="008D5FF4">
              <w:rPr>
                <w:b/>
                <w:bCs/>
                <w:szCs w:val="20"/>
              </w:rPr>
              <w:t>NCL</w:t>
            </w:r>
          </w:p>
        </w:tc>
        <w:tc>
          <w:tcPr>
            <w:tcW w:w="592" w:type="pct"/>
            <w:vAlign w:val="center"/>
          </w:tcPr>
          <w:p w14:paraId="12EB87FB" w14:textId="4CEDFB89" w:rsidR="008A6BAD" w:rsidRPr="008D5FF4" w:rsidRDefault="000A1220" w:rsidP="001106FC">
            <w:pPr>
              <w:spacing w:before="0" w:after="0" w:line="240" w:lineRule="auto"/>
              <w:jc w:val="center"/>
              <w:rPr>
                <w:szCs w:val="20"/>
              </w:rPr>
            </w:pPr>
            <w:r>
              <w:rPr>
                <w:szCs w:val="20"/>
              </w:rPr>
              <w:t>-</w:t>
            </w:r>
          </w:p>
        </w:tc>
        <w:tc>
          <w:tcPr>
            <w:tcW w:w="592" w:type="pct"/>
            <w:vAlign w:val="center"/>
          </w:tcPr>
          <w:p w14:paraId="70CC640C"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6C272594" w14:textId="69F5A879" w:rsidR="008A6BAD" w:rsidRPr="008D5FF4" w:rsidRDefault="000A1220" w:rsidP="001106FC">
            <w:pPr>
              <w:spacing w:before="0" w:after="0" w:line="240" w:lineRule="auto"/>
              <w:jc w:val="center"/>
              <w:rPr>
                <w:szCs w:val="20"/>
              </w:rPr>
            </w:pPr>
            <w:r>
              <w:rPr>
                <w:szCs w:val="20"/>
              </w:rPr>
              <w:t>2</w:t>
            </w:r>
          </w:p>
        </w:tc>
        <w:tc>
          <w:tcPr>
            <w:tcW w:w="593" w:type="pct"/>
            <w:vAlign w:val="center"/>
          </w:tcPr>
          <w:p w14:paraId="34D99D78" w14:textId="77FB5234" w:rsidR="008A6BAD" w:rsidRPr="008D5FF4" w:rsidRDefault="000A1220" w:rsidP="001106FC">
            <w:pPr>
              <w:spacing w:before="0" w:after="0" w:line="240" w:lineRule="auto"/>
              <w:jc w:val="center"/>
              <w:rPr>
                <w:szCs w:val="20"/>
              </w:rPr>
            </w:pPr>
            <w:r>
              <w:rPr>
                <w:szCs w:val="20"/>
              </w:rPr>
              <w:t>1</w:t>
            </w:r>
          </w:p>
        </w:tc>
        <w:tc>
          <w:tcPr>
            <w:tcW w:w="592" w:type="pct"/>
            <w:vAlign w:val="center"/>
          </w:tcPr>
          <w:p w14:paraId="1B7AE46E"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549A0FA6" w14:textId="77777777" w:rsidR="008A6BAD" w:rsidRPr="008D5FF4" w:rsidRDefault="008A6BAD" w:rsidP="001106FC">
            <w:pPr>
              <w:spacing w:before="0" w:after="0" w:line="240" w:lineRule="auto"/>
              <w:jc w:val="center"/>
              <w:rPr>
                <w:szCs w:val="20"/>
              </w:rPr>
            </w:pPr>
            <w:r w:rsidRPr="008D5FF4">
              <w:rPr>
                <w:szCs w:val="20"/>
              </w:rPr>
              <w:t>-</w:t>
            </w:r>
          </w:p>
        </w:tc>
        <w:tc>
          <w:tcPr>
            <w:tcW w:w="593" w:type="pct"/>
            <w:vAlign w:val="center"/>
          </w:tcPr>
          <w:p w14:paraId="35573C48" w14:textId="77777777" w:rsidR="008A6BAD" w:rsidRPr="008D5FF4" w:rsidRDefault="008A6BAD" w:rsidP="001106FC">
            <w:pPr>
              <w:spacing w:before="0" w:after="0" w:line="240" w:lineRule="auto"/>
              <w:jc w:val="center"/>
              <w:rPr>
                <w:b/>
                <w:bCs/>
                <w:szCs w:val="20"/>
              </w:rPr>
            </w:pPr>
            <w:r w:rsidRPr="008D5FF4">
              <w:rPr>
                <w:b/>
                <w:bCs/>
                <w:szCs w:val="20"/>
              </w:rPr>
              <w:t>3</w:t>
            </w:r>
          </w:p>
        </w:tc>
      </w:tr>
      <w:tr w:rsidR="008A6BAD" w:rsidRPr="008D5FF4" w14:paraId="72DF9654" w14:textId="77777777" w:rsidTr="001106FC">
        <w:trPr>
          <w:trHeight w:val="432"/>
        </w:trPr>
        <w:tc>
          <w:tcPr>
            <w:tcW w:w="854" w:type="pct"/>
            <w:vAlign w:val="center"/>
          </w:tcPr>
          <w:p w14:paraId="7EC5DDD6" w14:textId="77777777" w:rsidR="008A6BAD" w:rsidRPr="008D5FF4" w:rsidRDefault="008A6BAD" w:rsidP="001106FC">
            <w:pPr>
              <w:spacing w:before="0" w:after="0" w:line="240" w:lineRule="auto"/>
              <w:rPr>
                <w:b/>
                <w:bCs/>
                <w:szCs w:val="20"/>
              </w:rPr>
            </w:pPr>
            <w:r w:rsidRPr="008D5FF4">
              <w:rPr>
                <w:b/>
                <w:bCs/>
                <w:szCs w:val="20"/>
              </w:rPr>
              <w:t>WCL</w:t>
            </w:r>
          </w:p>
        </w:tc>
        <w:tc>
          <w:tcPr>
            <w:tcW w:w="592" w:type="pct"/>
            <w:vAlign w:val="center"/>
          </w:tcPr>
          <w:p w14:paraId="07DC4E5C" w14:textId="02A71BBF" w:rsidR="008A6BAD" w:rsidRPr="008D5FF4" w:rsidRDefault="000A1220" w:rsidP="001106FC">
            <w:pPr>
              <w:spacing w:before="0" w:after="0" w:line="240" w:lineRule="auto"/>
              <w:jc w:val="center"/>
              <w:rPr>
                <w:szCs w:val="20"/>
              </w:rPr>
            </w:pPr>
            <w:r>
              <w:rPr>
                <w:szCs w:val="20"/>
              </w:rPr>
              <w:t>-</w:t>
            </w:r>
          </w:p>
        </w:tc>
        <w:tc>
          <w:tcPr>
            <w:tcW w:w="592" w:type="pct"/>
            <w:vAlign w:val="center"/>
          </w:tcPr>
          <w:p w14:paraId="29B6DD64" w14:textId="38BAA164" w:rsidR="008A6BAD" w:rsidRPr="008D5FF4" w:rsidRDefault="00F873B3" w:rsidP="001106FC">
            <w:pPr>
              <w:spacing w:before="0" w:after="0" w:line="240" w:lineRule="auto"/>
              <w:jc w:val="center"/>
              <w:rPr>
                <w:szCs w:val="20"/>
              </w:rPr>
            </w:pPr>
            <w:r>
              <w:rPr>
                <w:szCs w:val="20"/>
              </w:rPr>
              <w:t>1</w:t>
            </w:r>
          </w:p>
        </w:tc>
        <w:tc>
          <w:tcPr>
            <w:tcW w:w="592" w:type="pct"/>
            <w:vAlign w:val="center"/>
          </w:tcPr>
          <w:p w14:paraId="6758011E" w14:textId="77777777" w:rsidR="008A6BAD" w:rsidRPr="008D5FF4" w:rsidRDefault="008A6BAD" w:rsidP="001106FC">
            <w:pPr>
              <w:spacing w:before="0" w:after="0" w:line="240" w:lineRule="auto"/>
              <w:jc w:val="center"/>
              <w:rPr>
                <w:szCs w:val="20"/>
              </w:rPr>
            </w:pPr>
            <w:r w:rsidRPr="008D5FF4">
              <w:rPr>
                <w:szCs w:val="20"/>
              </w:rPr>
              <w:t>1</w:t>
            </w:r>
          </w:p>
        </w:tc>
        <w:tc>
          <w:tcPr>
            <w:tcW w:w="593" w:type="pct"/>
            <w:vAlign w:val="center"/>
          </w:tcPr>
          <w:p w14:paraId="362FDA27" w14:textId="5F7EE25A" w:rsidR="008A6BAD" w:rsidRPr="008D5FF4" w:rsidRDefault="007B258A" w:rsidP="001106FC">
            <w:pPr>
              <w:spacing w:before="0" w:after="0" w:line="240" w:lineRule="auto"/>
              <w:jc w:val="center"/>
              <w:rPr>
                <w:szCs w:val="20"/>
              </w:rPr>
            </w:pPr>
            <w:r>
              <w:rPr>
                <w:szCs w:val="20"/>
              </w:rPr>
              <w:t>1</w:t>
            </w:r>
          </w:p>
        </w:tc>
        <w:tc>
          <w:tcPr>
            <w:tcW w:w="592" w:type="pct"/>
            <w:vAlign w:val="center"/>
          </w:tcPr>
          <w:p w14:paraId="64D0E67A" w14:textId="1CDC821F" w:rsidR="008A6BAD" w:rsidRPr="008D5FF4" w:rsidRDefault="007B258A" w:rsidP="001106FC">
            <w:pPr>
              <w:spacing w:before="0" w:after="0" w:line="240" w:lineRule="auto"/>
              <w:jc w:val="center"/>
              <w:rPr>
                <w:szCs w:val="20"/>
              </w:rPr>
            </w:pPr>
            <w:r>
              <w:rPr>
                <w:szCs w:val="20"/>
              </w:rPr>
              <w:t>1</w:t>
            </w:r>
          </w:p>
        </w:tc>
        <w:tc>
          <w:tcPr>
            <w:tcW w:w="592" w:type="pct"/>
            <w:vAlign w:val="center"/>
          </w:tcPr>
          <w:p w14:paraId="3D26CE22" w14:textId="58AC3832" w:rsidR="008A6BAD" w:rsidRPr="008D5FF4" w:rsidRDefault="00F873B3" w:rsidP="001106FC">
            <w:pPr>
              <w:spacing w:before="0" w:after="0" w:line="240" w:lineRule="auto"/>
              <w:jc w:val="center"/>
              <w:rPr>
                <w:szCs w:val="20"/>
              </w:rPr>
            </w:pPr>
            <w:r>
              <w:rPr>
                <w:szCs w:val="20"/>
              </w:rPr>
              <w:t>4</w:t>
            </w:r>
          </w:p>
        </w:tc>
        <w:tc>
          <w:tcPr>
            <w:tcW w:w="593" w:type="pct"/>
            <w:vAlign w:val="center"/>
          </w:tcPr>
          <w:p w14:paraId="14BEB2D7" w14:textId="6C6B57A4" w:rsidR="008A6BAD" w:rsidRPr="008D5FF4" w:rsidRDefault="00F873B3" w:rsidP="001106FC">
            <w:pPr>
              <w:spacing w:before="0" w:after="0" w:line="240" w:lineRule="auto"/>
              <w:jc w:val="center"/>
              <w:rPr>
                <w:b/>
                <w:bCs/>
                <w:szCs w:val="20"/>
              </w:rPr>
            </w:pPr>
            <w:r>
              <w:rPr>
                <w:b/>
                <w:bCs/>
                <w:szCs w:val="20"/>
              </w:rPr>
              <w:t>8</w:t>
            </w:r>
          </w:p>
        </w:tc>
      </w:tr>
      <w:tr w:rsidR="008A6BAD" w:rsidRPr="008D5FF4" w14:paraId="36D7D32F" w14:textId="77777777" w:rsidTr="001106FC">
        <w:trPr>
          <w:trHeight w:val="432"/>
        </w:trPr>
        <w:tc>
          <w:tcPr>
            <w:tcW w:w="854" w:type="pct"/>
            <w:vAlign w:val="center"/>
          </w:tcPr>
          <w:p w14:paraId="06970583" w14:textId="77777777" w:rsidR="008A6BAD" w:rsidRPr="008D5FF4" w:rsidRDefault="008A6BAD" w:rsidP="001106FC">
            <w:pPr>
              <w:spacing w:before="0" w:after="0" w:line="240" w:lineRule="auto"/>
              <w:rPr>
                <w:b/>
                <w:bCs/>
                <w:szCs w:val="20"/>
              </w:rPr>
            </w:pPr>
            <w:r w:rsidRPr="008D5FF4">
              <w:rPr>
                <w:b/>
                <w:bCs/>
                <w:szCs w:val="20"/>
              </w:rPr>
              <w:t>SECL</w:t>
            </w:r>
          </w:p>
        </w:tc>
        <w:tc>
          <w:tcPr>
            <w:tcW w:w="592" w:type="pct"/>
            <w:vAlign w:val="center"/>
          </w:tcPr>
          <w:p w14:paraId="6ABB22C4" w14:textId="1359EFAA" w:rsidR="008A6BAD" w:rsidRPr="008D5FF4" w:rsidRDefault="00AA7E79" w:rsidP="001106FC">
            <w:pPr>
              <w:spacing w:before="0" w:after="0" w:line="240" w:lineRule="auto"/>
              <w:jc w:val="center"/>
              <w:rPr>
                <w:szCs w:val="20"/>
              </w:rPr>
            </w:pPr>
            <w:r>
              <w:rPr>
                <w:szCs w:val="20"/>
              </w:rPr>
              <w:t>1</w:t>
            </w:r>
          </w:p>
        </w:tc>
        <w:tc>
          <w:tcPr>
            <w:tcW w:w="592" w:type="pct"/>
            <w:vAlign w:val="center"/>
          </w:tcPr>
          <w:p w14:paraId="2831B18A" w14:textId="5125EA67" w:rsidR="008A6BAD" w:rsidRPr="008D5FF4" w:rsidRDefault="00AA7E79" w:rsidP="001106FC">
            <w:pPr>
              <w:spacing w:before="0" w:after="0" w:line="240" w:lineRule="auto"/>
              <w:jc w:val="center"/>
              <w:rPr>
                <w:szCs w:val="20"/>
              </w:rPr>
            </w:pPr>
            <w:r>
              <w:rPr>
                <w:szCs w:val="20"/>
              </w:rPr>
              <w:t>2</w:t>
            </w:r>
          </w:p>
        </w:tc>
        <w:tc>
          <w:tcPr>
            <w:tcW w:w="592" w:type="pct"/>
            <w:vAlign w:val="center"/>
          </w:tcPr>
          <w:p w14:paraId="1574CA09" w14:textId="31D7DE3A" w:rsidR="008A6BAD" w:rsidRPr="008D5FF4" w:rsidRDefault="00AA7E79" w:rsidP="001106FC">
            <w:pPr>
              <w:spacing w:before="0" w:after="0" w:line="240" w:lineRule="auto"/>
              <w:jc w:val="center"/>
              <w:rPr>
                <w:szCs w:val="20"/>
              </w:rPr>
            </w:pPr>
            <w:r>
              <w:rPr>
                <w:szCs w:val="20"/>
              </w:rPr>
              <w:t>1</w:t>
            </w:r>
          </w:p>
        </w:tc>
        <w:tc>
          <w:tcPr>
            <w:tcW w:w="593" w:type="pct"/>
            <w:vAlign w:val="center"/>
          </w:tcPr>
          <w:p w14:paraId="3C777903"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4E6A3557" w14:textId="0CE9F624" w:rsidR="008A6BAD" w:rsidRPr="008D5FF4" w:rsidRDefault="00AA7E79" w:rsidP="001106FC">
            <w:pPr>
              <w:spacing w:before="0" w:after="0" w:line="240" w:lineRule="auto"/>
              <w:jc w:val="center"/>
              <w:rPr>
                <w:szCs w:val="20"/>
              </w:rPr>
            </w:pPr>
            <w:r>
              <w:rPr>
                <w:szCs w:val="20"/>
              </w:rPr>
              <w:t>3</w:t>
            </w:r>
          </w:p>
        </w:tc>
        <w:tc>
          <w:tcPr>
            <w:tcW w:w="592" w:type="pct"/>
            <w:vAlign w:val="center"/>
          </w:tcPr>
          <w:p w14:paraId="5B8D2EDC" w14:textId="77777777" w:rsidR="008A6BAD" w:rsidRPr="008D5FF4" w:rsidRDefault="008A6BAD" w:rsidP="001106FC">
            <w:pPr>
              <w:spacing w:before="0" w:after="0" w:line="240" w:lineRule="auto"/>
              <w:jc w:val="center"/>
              <w:rPr>
                <w:szCs w:val="20"/>
              </w:rPr>
            </w:pPr>
            <w:r w:rsidRPr="008D5FF4">
              <w:rPr>
                <w:szCs w:val="20"/>
              </w:rPr>
              <w:t>1</w:t>
            </w:r>
          </w:p>
        </w:tc>
        <w:tc>
          <w:tcPr>
            <w:tcW w:w="593" w:type="pct"/>
            <w:vAlign w:val="center"/>
          </w:tcPr>
          <w:p w14:paraId="524B891C" w14:textId="319F369C" w:rsidR="008A6BAD" w:rsidRPr="008D5FF4" w:rsidRDefault="00222390" w:rsidP="001106FC">
            <w:pPr>
              <w:spacing w:before="0" w:after="0" w:line="240" w:lineRule="auto"/>
              <w:jc w:val="center"/>
              <w:rPr>
                <w:b/>
                <w:bCs/>
                <w:szCs w:val="20"/>
              </w:rPr>
            </w:pPr>
            <w:r>
              <w:rPr>
                <w:b/>
                <w:bCs/>
                <w:szCs w:val="20"/>
              </w:rPr>
              <w:t>8</w:t>
            </w:r>
          </w:p>
        </w:tc>
      </w:tr>
      <w:tr w:rsidR="008A6BAD" w:rsidRPr="008D5FF4" w14:paraId="11E054EE" w14:textId="77777777" w:rsidTr="001106FC">
        <w:trPr>
          <w:trHeight w:val="432"/>
        </w:trPr>
        <w:tc>
          <w:tcPr>
            <w:tcW w:w="854" w:type="pct"/>
            <w:vAlign w:val="center"/>
          </w:tcPr>
          <w:p w14:paraId="10CD8E04" w14:textId="77777777" w:rsidR="008A6BAD" w:rsidRPr="008D5FF4" w:rsidRDefault="008A6BAD" w:rsidP="001106FC">
            <w:pPr>
              <w:spacing w:before="0" w:after="0" w:line="240" w:lineRule="auto"/>
              <w:rPr>
                <w:b/>
                <w:bCs/>
                <w:szCs w:val="20"/>
              </w:rPr>
            </w:pPr>
            <w:r w:rsidRPr="008D5FF4">
              <w:rPr>
                <w:b/>
                <w:bCs/>
                <w:szCs w:val="20"/>
              </w:rPr>
              <w:t>MCL</w:t>
            </w:r>
          </w:p>
        </w:tc>
        <w:tc>
          <w:tcPr>
            <w:tcW w:w="592" w:type="pct"/>
            <w:vAlign w:val="center"/>
          </w:tcPr>
          <w:p w14:paraId="38CDDE0F" w14:textId="77777777" w:rsidR="008A6BAD" w:rsidRPr="008D5FF4" w:rsidRDefault="008A6BAD" w:rsidP="001106FC">
            <w:pPr>
              <w:spacing w:before="0" w:after="0" w:line="240" w:lineRule="auto"/>
              <w:jc w:val="center"/>
              <w:rPr>
                <w:szCs w:val="20"/>
              </w:rPr>
            </w:pPr>
            <w:r w:rsidRPr="008D5FF4">
              <w:rPr>
                <w:szCs w:val="20"/>
              </w:rPr>
              <w:t>-</w:t>
            </w:r>
          </w:p>
        </w:tc>
        <w:tc>
          <w:tcPr>
            <w:tcW w:w="592" w:type="pct"/>
            <w:vAlign w:val="center"/>
          </w:tcPr>
          <w:p w14:paraId="4CCCBE8A" w14:textId="7D98CC90" w:rsidR="008A6BAD" w:rsidRPr="008D5FF4" w:rsidRDefault="00222390" w:rsidP="001106FC">
            <w:pPr>
              <w:spacing w:before="0" w:after="0" w:line="240" w:lineRule="auto"/>
              <w:jc w:val="center"/>
              <w:rPr>
                <w:szCs w:val="20"/>
              </w:rPr>
            </w:pPr>
            <w:r>
              <w:rPr>
                <w:szCs w:val="20"/>
              </w:rPr>
              <w:t>-</w:t>
            </w:r>
          </w:p>
        </w:tc>
        <w:tc>
          <w:tcPr>
            <w:tcW w:w="592" w:type="pct"/>
            <w:vAlign w:val="center"/>
          </w:tcPr>
          <w:p w14:paraId="65B68CD9" w14:textId="77777777" w:rsidR="008A6BAD" w:rsidRPr="008D5FF4" w:rsidRDefault="008A6BAD" w:rsidP="001106FC">
            <w:pPr>
              <w:spacing w:before="0" w:after="0" w:line="240" w:lineRule="auto"/>
              <w:jc w:val="center"/>
              <w:rPr>
                <w:szCs w:val="20"/>
              </w:rPr>
            </w:pPr>
            <w:r w:rsidRPr="008D5FF4">
              <w:rPr>
                <w:szCs w:val="20"/>
              </w:rPr>
              <w:t>1</w:t>
            </w:r>
          </w:p>
        </w:tc>
        <w:tc>
          <w:tcPr>
            <w:tcW w:w="593" w:type="pct"/>
            <w:vAlign w:val="center"/>
          </w:tcPr>
          <w:p w14:paraId="27463D12" w14:textId="55DBFCF6" w:rsidR="008A6BAD" w:rsidRPr="008D5FF4" w:rsidRDefault="00222390" w:rsidP="001106FC">
            <w:pPr>
              <w:spacing w:before="0" w:after="0" w:line="240" w:lineRule="auto"/>
              <w:jc w:val="center"/>
              <w:rPr>
                <w:szCs w:val="20"/>
              </w:rPr>
            </w:pPr>
            <w:r>
              <w:rPr>
                <w:szCs w:val="20"/>
              </w:rPr>
              <w:t>4</w:t>
            </w:r>
          </w:p>
        </w:tc>
        <w:tc>
          <w:tcPr>
            <w:tcW w:w="592" w:type="pct"/>
            <w:vAlign w:val="center"/>
          </w:tcPr>
          <w:p w14:paraId="4CA1A604" w14:textId="77777777" w:rsidR="008A6BAD" w:rsidRPr="008D5FF4" w:rsidRDefault="008A6BAD" w:rsidP="001106FC">
            <w:pPr>
              <w:spacing w:before="0" w:after="0" w:line="240" w:lineRule="auto"/>
              <w:jc w:val="center"/>
              <w:rPr>
                <w:szCs w:val="20"/>
              </w:rPr>
            </w:pPr>
            <w:r w:rsidRPr="008D5FF4">
              <w:rPr>
                <w:szCs w:val="20"/>
              </w:rPr>
              <w:t>5</w:t>
            </w:r>
          </w:p>
        </w:tc>
        <w:tc>
          <w:tcPr>
            <w:tcW w:w="592" w:type="pct"/>
            <w:vAlign w:val="center"/>
          </w:tcPr>
          <w:p w14:paraId="706AD66B" w14:textId="77777777" w:rsidR="008A6BAD" w:rsidRPr="008D5FF4" w:rsidRDefault="008A6BAD" w:rsidP="001106FC">
            <w:pPr>
              <w:spacing w:before="0" w:after="0" w:line="240" w:lineRule="auto"/>
              <w:jc w:val="center"/>
              <w:rPr>
                <w:szCs w:val="20"/>
              </w:rPr>
            </w:pPr>
            <w:r w:rsidRPr="008D5FF4">
              <w:rPr>
                <w:szCs w:val="20"/>
              </w:rPr>
              <w:t>-</w:t>
            </w:r>
          </w:p>
        </w:tc>
        <w:tc>
          <w:tcPr>
            <w:tcW w:w="593" w:type="pct"/>
            <w:vAlign w:val="center"/>
          </w:tcPr>
          <w:p w14:paraId="4DB0C773" w14:textId="166B0AAD" w:rsidR="008A6BAD" w:rsidRPr="008D5FF4" w:rsidRDefault="00FE03FE" w:rsidP="001106FC">
            <w:pPr>
              <w:spacing w:before="0" w:after="0" w:line="240" w:lineRule="auto"/>
              <w:jc w:val="center"/>
              <w:rPr>
                <w:b/>
                <w:bCs/>
                <w:szCs w:val="20"/>
              </w:rPr>
            </w:pPr>
            <w:r>
              <w:rPr>
                <w:b/>
                <w:bCs/>
                <w:szCs w:val="20"/>
              </w:rPr>
              <w:t>10</w:t>
            </w:r>
          </w:p>
        </w:tc>
      </w:tr>
      <w:tr w:rsidR="008A6BAD" w:rsidRPr="008D5FF4" w14:paraId="07E8E610" w14:textId="77777777" w:rsidTr="001106FC">
        <w:trPr>
          <w:trHeight w:val="432"/>
        </w:trPr>
        <w:tc>
          <w:tcPr>
            <w:tcW w:w="854" w:type="pct"/>
            <w:shd w:val="clear" w:color="auto" w:fill="C9D8E1"/>
            <w:vAlign w:val="center"/>
          </w:tcPr>
          <w:p w14:paraId="6626F33E" w14:textId="77777777" w:rsidR="008A6BAD" w:rsidRPr="008D5FF4" w:rsidRDefault="008A6BAD" w:rsidP="001106FC">
            <w:pPr>
              <w:spacing w:before="0" w:after="0" w:line="240" w:lineRule="auto"/>
              <w:rPr>
                <w:b/>
                <w:bCs/>
                <w:szCs w:val="20"/>
              </w:rPr>
            </w:pPr>
            <w:r w:rsidRPr="008D5FF4">
              <w:rPr>
                <w:b/>
                <w:bCs/>
                <w:szCs w:val="20"/>
              </w:rPr>
              <w:t>Total</w:t>
            </w:r>
          </w:p>
        </w:tc>
        <w:tc>
          <w:tcPr>
            <w:tcW w:w="592" w:type="pct"/>
            <w:shd w:val="clear" w:color="auto" w:fill="C9D8E1"/>
            <w:vAlign w:val="center"/>
          </w:tcPr>
          <w:p w14:paraId="7F4E87FB" w14:textId="7662E6F5" w:rsidR="008A6BAD" w:rsidRPr="008D5FF4" w:rsidRDefault="00F873B3" w:rsidP="001106FC">
            <w:pPr>
              <w:spacing w:before="0" w:after="0" w:line="240" w:lineRule="auto"/>
              <w:jc w:val="center"/>
              <w:rPr>
                <w:b/>
                <w:bCs/>
                <w:szCs w:val="20"/>
              </w:rPr>
            </w:pPr>
            <w:r>
              <w:rPr>
                <w:b/>
                <w:bCs/>
                <w:szCs w:val="20"/>
              </w:rPr>
              <w:t>1</w:t>
            </w:r>
          </w:p>
        </w:tc>
        <w:tc>
          <w:tcPr>
            <w:tcW w:w="592" w:type="pct"/>
            <w:shd w:val="clear" w:color="auto" w:fill="C9D8E1"/>
            <w:vAlign w:val="center"/>
          </w:tcPr>
          <w:p w14:paraId="02C3AF0F" w14:textId="40D04CCC" w:rsidR="008A6BAD" w:rsidRPr="008D5FF4" w:rsidRDefault="00F873B3" w:rsidP="001106FC">
            <w:pPr>
              <w:spacing w:before="0" w:after="0" w:line="240" w:lineRule="auto"/>
              <w:jc w:val="center"/>
              <w:rPr>
                <w:b/>
                <w:bCs/>
                <w:szCs w:val="20"/>
              </w:rPr>
            </w:pPr>
            <w:r>
              <w:rPr>
                <w:b/>
                <w:bCs/>
                <w:szCs w:val="20"/>
              </w:rPr>
              <w:t>9</w:t>
            </w:r>
          </w:p>
        </w:tc>
        <w:tc>
          <w:tcPr>
            <w:tcW w:w="592" w:type="pct"/>
            <w:shd w:val="clear" w:color="auto" w:fill="C9D8E1"/>
            <w:vAlign w:val="center"/>
          </w:tcPr>
          <w:p w14:paraId="281F8421" w14:textId="16D4302F" w:rsidR="008A6BAD" w:rsidRPr="008D5FF4" w:rsidRDefault="00F873B3" w:rsidP="001106FC">
            <w:pPr>
              <w:spacing w:before="0" w:after="0" w:line="240" w:lineRule="auto"/>
              <w:jc w:val="center"/>
              <w:rPr>
                <w:b/>
                <w:bCs/>
                <w:szCs w:val="20"/>
              </w:rPr>
            </w:pPr>
            <w:r>
              <w:rPr>
                <w:b/>
                <w:bCs/>
                <w:szCs w:val="20"/>
              </w:rPr>
              <w:t>7</w:t>
            </w:r>
          </w:p>
        </w:tc>
        <w:tc>
          <w:tcPr>
            <w:tcW w:w="593" w:type="pct"/>
            <w:shd w:val="clear" w:color="auto" w:fill="C9D8E1"/>
            <w:vAlign w:val="center"/>
          </w:tcPr>
          <w:p w14:paraId="5C1CA9E0" w14:textId="1EA86AE7" w:rsidR="008A6BAD" w:rsidRPr="008D5FF4" w:rsidRDefault="00F873B3" w:rsidP="001106FC">
            <w:pPr>
              <w:spacing w:before="0" w:after="0" w:line="240" w:lineRule="auto"/>
              <w:jc w:val="center"/>
              <w:rPr>
                <w:b/>
                <w:bCs/>
                <w:szCs w:val="20"/>
              </w:rPr>
            </w:pPr>
            <w:r>
              <w:rPr>
                <w:b/>
                <w:bCs/>
                <w:szCs w:val="20"/>
              </w:rPr>
              <w:t>11</w:t>
            </w:r>
          </w:p>
        </w:tc>
        <w:tc>
          <w:tcPr>
            <w:tcW w:w="592" w:type="pct"/>
            <w:shd w:val="clear" w:color="auto" w:fill="C9D8E1"/>
            <w:vAlign w:val="center"/>
          </w:tcPr>
          <w:p w14:paraId="52ADD695" w14:textId="77777777" w:rsidR="008A6BAD" w:rsidRPr="008D5FF4" w:rsidRDefault="008A6BAD" w:rsidP="001106FC">
            <w:pPr>
              <w:spacing w:before="0" w:after="0" w:line="240" w:lineRule="auto"/>
              <w:jc w:val="center"/>
              <w:rPr>
                <w:b/>
                <w:bCs/>
                <w:szCs w:val="20"/>
              </w:rPr>
            </w:pPr>
            <w:r w:rsidRPr="008D5FF4">
              <w:rPr>
                <w:b/>
                <w:bCs/>
                <w:szCs w:val="20"/>
              </w:rPr>
              <w:t>14</w:t>
            </w:r>
          </w:p>
        </w:tc>
        <w:tc>
          <w:tcPr>
            <w:tcW w:w="592" w:type="pct"/>
            <w:shd w:val="clear" w:color="auto" w:fill="C9D8E1"/>
            <w:vAlign w:val="center"/>
          </w:tcPr>
          <w:p w14:paraId="720DF4A8" w14:textId="5BDDA725" w:rsidR="008A6BAD" w:rsidRPr="008D5FF4" w:rsidRDefault="00B32402" w:rsidP="001106FC">
            <w:pPr>
              <w:spacing w:before="0" w:after="0" w:line="240" w:lineRule="auto"/>
              <w:jc w:val="center"/>
              <w:rPr>
                <w:b/>
                <w:bCs/>
                <w:szCs w:val="20"/>
              </w:rPr>
            </w:pPr>
            <w:r>
              <w:rPr>
                <w:b/>
                <w:bCs/>
                <w:szCs w:val="20"/>
              </w:rPr>
              <w:t>8</w:t>
            </w:r>
          </w:p>
        </w:tc>
        <w:tc>
          <w:tcPr>
            <w:tcW w:w="593" w:type="pct"/>
            <w:shd w:val="clear" w:color="auto" w:fill="C9D8E1"/>
            <w:vAlign w:val="center"/>
          </w:tcPr>
          <w:p w14:paraId="1C6FCBC4" w14:textId="082ACC91" w:rsidR="008A6BAD" w:rsidRPr="008D5FF4" w:rsidRDefault="00F873B3" w:rsidP="001106FC">
            <w:pPr>
              <w:spacing w:before="0" w:after="0" w:line="240" w:lineRule="auto"/>
              <w:jc w:val="center"/>
              <w:rPr>
                <w:b/>
                <w:bCs/>
                <w:szCs w:val="20"/>
              </w:rPr>
            </w:pPr>
            <w:r>
              <w:rPr>
                <w:b/>
                <w:bCs/>
                <w:szCs w:val="20"/>
              </w:rPr>
              <w:t>5</w:t>
            </w:r>
            <w:r w:rsidR="00B32402">
              <w:rPr>
                <w:b/>
                <w:bCs/>
                <w:szCs w:val="20"/>
              </w:rPr>
              <w:t>0</w:t>
            </w:r>
          </w:p>
        </w:tc>
      </w:tr>
    </w:tbl>
    <w:p w14:paraId="0CCEAEB6" w14:textId="55CC4DD6" w:rsidR="008A6BAD" w:rsidRDefault="008A6BAD" w:rsidP="008A6BAD">
      <w:pPr>
        <w:pStyle w:val="BodyText"/>
        <w:spacing w:after="240"/>
        <w:rPr>
          <w:i/>
          <w:iCs/>
          <w:sz w:val="16"/>
          <w:szCs w:val="16"/>
        </w:rPr>
      </w:pPr>
      <w:r w:rsidRPr="00C431DC">
        <w:rPr>
          <w:i/>
          <w:iCs/>
          <w:sz w:val="16"/>
          <w:szCs w:val="16"/>
        </w:rPr>
        <w:t xml:space="preserve">Source: </w:t>
      </w:r>
      <w:r>
        <w:rPr>
          <w:i/>
          <w:iCs/>
          <w:sz w:val="16"/>
          <w:szCs w:val="16"/>
        </w:rPr>
        <w:t>Monthly Statistical Report by MoC- March 202</w:t>
      </w:r>
      <w:r w:rsidR="0092176D">
        <w:rPr>
          <w:i/>
          <w:iCs/>
          <w:sz w:val="16"/>
          <w:szCs w:val="16"/>
        </w:rPr>
        <w:t>5</w:t>
      </w:r>
      <w:r>
        <w:rPr>
          <w:i/>
          <w:iCs/>
          <w:sz w:val="16"/>
          <w:szCs w:val="16"/>
        </w:rPr>
        <w:t>;</w:t>
      </w:r>
      <w:r w:rsidRPr="00E67B67">
        <w:rPr>
          <w:i/>
          <w:iCs/>
          <w:sz w:val="16"/>
          <w:szCs w:val="16"/>
        </w:rPr>
        <w:t xml:space="preserve"> </w:t>
      </w:r>
      <w:r>
        <w:rPr>
          <w:i/>
          <w:iCs/>
          <w:sz w:val="16"/>
          <w:szCs w:val="16"/>
        </w:rPr>
        <w:t>Year is fiscal year</w:t>
      </w:r>
    </w:p>
    <w:p w14:paraId="701126C0" w14:textId="661E1376" w:rsidR="008A6BAD" w:rsidRDefault="008A6BAD" w:rsidP="00662938">
      <w:pPr>
        <w:ind w:right="180"/>
        <w:rPr>
          <w:szCs w:val="20"/>
        </w:rPr>
      </w:pPr>
      <w:r>
        <w:rPr>
          <w:szCs w:val="20"/>
        </w:rPr>
        <w:t xml:space="preserve">CIL is expected to undertake a massive capacity augmentation drive with projected capacity enhancement of </w:t>
      </w:r>
      <w:r w:rsidR="00201C5A">
        <w:t>approximately</w:t>
      </w:r>
      <w:r>
        <w:rPr>
          <w:szCs w:val="20"/>
        </w:rPr>
        <w:t xml:space="preserve"> </w:t>
      </w:r>
      <w:r w:rsidR="008F02F5">
        <w:rPr>
          <w:szCs w:val="20"/>
        </w:rPr>
        <w:t xml:space="preserve">787 </w:t>
      </w:r>
      <w:r>
        <w:rPr>
          <w:szCs w:val="20"/>
        </w:rPr>
        <w:t xml:space="preserve">MT through opening and expansion of </w:t>
      </w:r>
      <w:r w:rsidR="008F02F5">
        <w:rPr>
          <w:szCs w:val="20"/>
        </w:rPr>
        <w:t>50</w:t>
      </w:r>
      <w:r>
        <w:rPr>
          <w:szCs w:val="20"/>
        </w:rPr>
        <w:t xml:space="preserve"> mines which require significant support of mining consultancy services in terms of exploration, geomatics, planning and design, environment as well as closure related services for exhaustion of mines. Hence, CIL is expected to be the major player in contributing to the mining consultancy services.</w:t>
      </w:r>
    </w:p>
    <w:p w14:paraId="2C4A2328" w14:textId="3B4761BD" w:rsidR="00265BF2" w:rsidRDefault="008A6BAD" w:rsidP="00265BF2">
      <w:pPr>
        <w:ind w:right="182"/>
      </w:pPr>
      <w:r>
        <w:rPr>
          <w:szCs w:val="20"/>
        </w:rPr>
        <w:t xml:space="preserve">To meet the growing demand of coal, </w:t>
      </w:r>
      <w:r w:rsidR="00B8426F">
        <w:rPr>
          <w:szCs w:val="20"/>
        </w:rPr>
        <w:t>the major</w:t>
      </w:r>
      <w:r>
        <w:rPr>
          <w:szCs w:val="20"/>
        </w:rPr>
        <w:t xml:space="preserve"> focus is on exploration for identification of new coal blocks. </w:t>
      </w:r>
      <w:r w:rsidR="00265BF2" w:rsidRPr="000D26EB">
        <w:t>The Ministry of Mines</w:t>
      </w:r>
      <w:r w:rsidR="00265BF2">
        <w:t xml:space="preserve"> and Ministry of Coal </w:t>
      </w:r>
      <w:r w:rsidR="00B8426F" w:rsidRPr="000D26EB">
        <w:t>have</w:t>
      </w:r>
      <w:r w:rsidR="00265BF2" w:rsidRPr="000D26EB">
        <w:t xml:space="preserve"> been actively promoting the growth and development of the mining sector in the country.</w:t>
      </w:r>
      <w:r w:rsidR="00265BF2">
        <w:t xml:space="preserve"> In fiscal year 2024, Rs. 7300 </w:t>
      </w:r>
      <w:r w:rsidR="00351750">
        <w:t>million</w:t>
      </w:r>
      <w:r w:rsidR="00B8426F">
        <w:t xml:space="preserve"> </w:t>
      </w:r>
      <w:r w:rsidR="00351750">
        <w:t xml:space="preserve">and </w:t>
      </w:r>
      <w:r w:rsidR="00265BF2">
        <w:t>Rs. 210 million were outlaid for exploration of coal and lignite</w:t>
      </w:r>
      <w:r w:rsidR="00351750">
        <w:t xml:space="preserve"> respectively. </w:t>
      </w:r>
      <w:r w:rsidR="00265BF2">
        <w:t>In January 2025, the</w:t>
      </w:r>
      <w:r w:rsidR="00265BF2" w:rsidRPr="00CA2493">
        <w:t xml:space="preserve"> Union Cabinet, chaired by Prime Minister Narendra Modi, ha</w:t>
      </w:r>
      <w:r w:rsidR="00265BF2">
        <w:t>d</w:t>
      </w:r>
      <w:r w:rsidR="00265BF2" w:rsidRPr="00CA2493">
        <w:t xml:space="preserve"> approved the launch of the National Critical Mineral Mission (NCMM) with an expenditure of Rs. 1</w:t>
      </w:r>
      <w:r w:rsidR="00265BF2">
        <w:t>,</w:t>
      </w:r>
      <w:r w:rsidR="00265BF2" w:rsidRPr="00CA2493">
        <w:t>63</w:t>
      </w:r>
      <w:r w:rsidR="00265BF2">
        <w:t>,</w:t>
      </w:r>
      <w:r w:rsidR="00265BF2" w:rsidRPr="00CA2493">
        <w:t>0</w:t>
      </w:r>
      <w:r w:rsidR="00265BF2">
        <w:t>0</w:t>
      </w:r>
      <w:r w:rsidR="00265BF2" w:rsidRPr="00CA2493">
        <w:t>0</w:t>
      </w:r>
      <w:r w:rsidR="00265BF2">
        <w:rPr>
          <w:rStyle w:val="FootnoteReference"/>
        </w:rPr>
        <w:footnoteReference w:id="48"/>
      </w:r>
      <w:r w:rsidR="00265BF2" w:rsidRPr="00CA2493">
        <w:t xml:space="preserve"> </w:t>
      </w:r>
      <w:r w:rsidR="00265BF2">
        <w:t xml:space="preserve">million </w:t>
      </w:r>
      <w:r w:rsidR="00265BF2" w:rsidRPr="00CA2493">
        <w:t>and expected investment of Rs. 1</w:t>
      </w:r>
      <w:r w:rsidR="00265BF2">
        <w:t>,</w:t>
      </w:r>
      <w:r w:rsidR="00265BF2" w:rsidRPr="00CA2493">
        <w:t>8</w:t>
      </w:r>
      <w:r w:rsidR="00265BF2">
        <w:t>0,</w:t>
      </w:r>
      <w:r w:rsidR="00265BF2" w:rsidRPr="00CA2493">
        <w:t xml:space="preserve">000 </w:t>
      </w:r>
      <w:r w:rsidR="00265BF2">
        <w:t>million</w:t>
      </w:r>
      <w:r w:rsidR="00265BF2" w:rsidRPr="00CA2493">
        <w:t xml:space="preserve"> by PSUs and other entities.</w:t>
      </w:r>
      <w:r w:rsidR="00265BF2">
        <w:t xml:space="preserve"> </w:t>
      </w:r>
      <w:r w:rsidR="00265BF2" w:rsidRPr="00D305A4">
        <w:t>The mission aims to establish an effective framework for India's self-reliance in the critical mineral sector, recognizing the indispensable role of critical minerals in high-tech industries, clean energy, and defense.</w:t>
      </w:r>
      <w:r w:rsidR="00265BF2" w:rsidRPr="0053428A">
        <w:t xml:space="preserve"> The National Critical Mineral Mission (NCMM) is expected to have a significant impact on the mining consulting sector in India, creating new business opportunities</w:t>
      </w:r>
      <w:r w:rsidR="00265BF2">
        <w:t>.</w:t>
      </w:r>
    </w:p>
    <w:p w14:paraId="33337EE3" w14:textId="765149AF" w:rsidR="00265BF2" w:rsidRPr="00AD403C" w:rsidRDefault="00265BF2" w:rsidP="00265BF2">
      <w:pPr>
        <w:ind w:right="182"/>
      </w:pPr>
      <w:r w:rsidRPr="00AD403C">
        <w:t xml:space="preserve">The Ministry of Coal's target to reach 1500 MMT (1.5 billion tonnes) of coal production by fiscal 2030, and Coal India Limited's (CIL) aim to produce 1000 MMT (1 billion tonnes) of coal by fiscal 2027, have opened up opportunities for CMPDIL. The Indian government's efforts to increase coal production and promote private sector participation in the mining sector have led to a surge in demand for </w:t>
      </w:r>
      <w:r w:rsidR="00294B52">
        <w:t xml:space="preserve">consultancy </w:t>
      </w:r>
      <w:r w:rsidRPr="00AD403C">
        <w:t xml:space="preserve">services.  Key initiatives include the Mineral Laws (Amendment) Act, 2020, which </w:t>
      </w:r>
      <w:r w:rsidR="00444E08" w:rsidRPr="00AD403C">
        <w:t>has</w:t>
      </w:r>
      <w:r w:rsidRPr="00AD403C">
        <w:t xml:space="preserve"> opened up the sector to private companies. As a result, CMPDIL's services, such as exploration and mine planning, geological and geophysical services, mechanized coal loading and other </w:t>
      </w:r>
      <w:r w:rsidRPr="00746D8E">
        <w:t xml:space="preserve">engineering services, and environmental and social impact assessment, are in high demand, driving growth and expansion for the company. </w:t>
      </w:r>
      <w:r w:rsidRPr="00662938">
        <w:t>Further, other minerals are gaining momentum in India, with the Government of India initiating commercial auctions for both inland and offshore minerals and there is significant potential for the same internationally, particularly in Africa, South America, and Australia. CIL is actively seeking to acquire mineral assets overseas</w:t>
      </w:r>
    </w:p>
    <w:p w14:paraId="59979DA2" w14:textId="77777777" w:rsidR="00265BF2" w:rsidRDefault="00265BF2" w:rsidP="00265BF2">
      <w:pPr>
        <w:ind w:right="182"/>
      </w:pPr>
      <w:r>
        <w:t>The Indian consultancy market is a growing industry, driven by the country's rapid infrastructure development and increasing demand for specialized services. The market is expected to continue its upward trend, with a significant increase in demand for consultancy services in the coming years, with the market size expected to reach Rs.40,071 million by fiscal 2030 from Rs. 25,701</w:t>
      </w:r>
      <w:r>
        <w:rPr>
          <w:rStyle w:val="FootnoteReference"/>
        </w:rPr>
        <w:footnoteReference w:id="49"/>
      </w:r>
      <w:r>
        <w:t xml:space="preserve"> million in fiscal 2024.</w:t>
      </w:r>
    </w:p>
    <w:p w14:paraId="5D087B26" w14:textId="5F669484" w:rsidR="008A6BAD" w:rsidRDefault="008A6BAD" w:rsidP="00662938">
      <w:pPr>
        <w:ind w:right="180"/>
        <w:rPr>
          <w:szCs w:val="20"/>
        </w:rPr>
      </w:pPr>
      <w:r w:rsidRPr="00651D80">
        <w:rPr>
          <w:szCs w:val="20"/>
        </w:rPr>
        <w:t>The production from captive/commercial coal mines during the period of April 2024</w:t>
      </w:r>
      <w:r>
        <w:rPr>
          <w:szCs w:val="20"/>
        </w:rPr>
        <w:t xml:space="preserve"> – </w:t>
      </w:r>
      <w:r w:rsidRPr="00651D80">
        <w:rPr>
          <w:szCs w:val="20"/>
        </w:rPr>
        <w:t xml:space="preserve">November 2024 </w:t>
      </w:r>
      <w:r>
        <w:rPr>
          <w:szCs w:val="20"/>
        </w:rPr>
        <w:t>(fiscal 2025) wa</w:t>
      </w:r>
      <w:r w:rsidRPr="00651D80">
        <w:rPr>
          <w:szCs w:val="20"/>
        </w:rPr>
        <w:t xml:space="preserve">s 100 </w:t>
      </w:r>
      <w:r>
        <w:rPr>
          <w:szCs w:val="20"/>
        </w:rPr>
        <w:t>M</w:t>
      </w:r>
      <w:r w:rsidRPr="00651D80">
        <w:rPr>
          <w:szCs w:val="20"/>
        </w:rPr>
        <w:t xml:space="preserve">MT whereas the total production during the same period in </w:t>
      </w:r>
      <w:r>
        <w:rPr>
          <w:szCs w:val="20"/>
        </w:rPr>
        <w:t xml:space="preserve">fiscal </w:t>
      </w:r>
      <w:r w:rsidRPr="00651D80">
        <w:rPr>
          <w:szCs w:val="20"/>
        </w:rPr>
        <w:t xml:space="preserve">2024 was 75 </w:t>
      </w:r>
      <w:r>
        <w:rPr>
          <w:szCs w:val="20"/>
        </w:rPr>
        <w:t>M</w:t>
      </w:r>
      <w:r w:rsidRPr="00651D80">
        <w:rPr>
          <w:szCs w:val="20"/>
        </w:rPr>
        <w:t>MT indicating a year-on-year growth of 33%.</w:t>
      </w:r>
      <w:r>
        <w:rPr>
          <w:szCs w:val="20"/>
        </w:rPr>
        <w:t xml:space="preserve"> With high production growth achieved from private players, expenditure on developing coal blocks is expected to increase, thereby increasing the share of coal mining consultancy. In India a total of 188 mineral blocks (captive &amp; commercial) had been auctioned till date out which only 53 coal blocks had been operationalized i.e., 27% and balance 73% blocks are at various stages of pre operationalization development. Further, out of 188 mineral blocks successfully auctioned, 41 blocks are partly explored i.e., 22%, which requires extensive exploration for preparation of a mining plan and other reports for undertaking strategic decisions which require significant contribution from mining consultancy firms.</w:t>
      </w:r>
    </w:p>
    <w:p w14:paraId="2969541F" w14:textId="77777777" w:rsidR="008A6BAD" w:rsidRDefault="008A6BAD" w:rsidP="00662938">
      <w:pPr>
        <w:ind w:right="180"/>
        <w:rPr>
          <w:szCs w:val="20"/>
        </w:rPr>
      </w:pPr>
      <w:r>
        <w:rPr>
          <w:szCs w:val="20"/>
        </w:rPr>
        <w:t xml:space="preserve">Additionally, Ministry of Coal, Govt. of India in fiscal 2024, allocated a budget of Rs 7300 million for </w:t>
      </w:r>
      <w:r w:rsidRPr="002C1C62">
        <w:rPr>
          <w:szCs w:val="20"/>
        </w:rPr>
        <w:t>Exploration of Coal and Lignite</w:t>
      </w:r>
      <w:r>
        <w:rPr>
          <w:szCs w:val="20"/>
        </w:rPr>
        <w:t>. Out of which the expenditure was Rs 2751 million, which was done through NMET funds.</w:t>
      </w:r>
      <w:r>
        <w:rPr>
          <w:rStyle w:val="FootnoteReference"/>
          <w:szCs w:val="20"/>
        </w:rPr>
        <w:footnoteReference w:id="50"/>
      </w:r>
      <w:r>
        <w:rPr>
          <w:szCs w:val="20"/>
        </w:rPr>
        <w:t xml:space="preserve"> The Ministry is also promoting </w:t>
      </w:r>
      <w:r w:rsidRPr="00CB51EF">
        <w:rPr>
          <w:szCs w:val="20"/>
        </w:rPr>
        <w:t>commercial mining, expediting production from allocated blocks, and enhancing regional</w:t>
      </w:r>
      <w:r>
        <w:rPr>
          <w:szCs w:val="20"/>
        </w:rPr>
        <w:t xml:space="preserve"> </w:t>
      </w:r>
      <w:r w:rsidRPr="00CB51EF">
        <w:rPr>
          <w:szCs w:val="20"/>
        </w:rPr>
        <w:t>exploration</w:t>
      </w:r>
      <w:r>
        <w:rPr>
          <w:szCs w:val="20"/>
        </w:rPr>
        <w:t>, which will further increase the market for mining consultancy services.</w:t>
      </w:r>
    </w:p>
    <w:p w14:paraId="795F0C3F" w14:textId="77777777" w:rsidR="008A6BAD" w:rsidRDefault="008A6BAD" w:rsidP="00662938">
      <w:pPr>
        <w:ind w:right="180"/>
        <w:rPr>
          <w:szCs w:val="20"/>
        </w:rPr>
      </w:pPr>
      <w:r>
        <w:rPr>
          <w:szCs w:val="20"/>
        </w:rPr>
        <w:t>Geological Survey of India (GSI), set up</w:t>
      </w:r>
      <w:r w:rsidRPr="001306BF">
        <w:rPr>
          <w:szCs w:val="20"/>
        </w:rPr>
        <w:t xml:space="preserve"> in 1851</w:t>
      </w:r>
      <w:r>
        <w:rPr>
          <w:szCs w:val="20"/>
        </w:rPr>
        <w:t xml:space="preserve"> is a </w:t>
      </w:r>
      <w:r w:rsidRPr="001306BF">
        <w:rPr>
          <w:szCs w:val="20"/>
        </w:rPr>
        <w:t>Government of India organization under the Ministry of Mines</w:t>
      </w:r>
      <w:r>
        <w:rPr>
          <w:szCs w:val="20"/>
        </w:rPr>
        <w:t>.</w:t>
      </w:r>
      <w:r w:rsidRPr="001306BF">
        <w:rPr>
          <w:szCs w:val="20"/>
        </w:rPr>
        <w:t xml:space="preserve"> The main functions of GSI </w:t>
      </w:r>
      <w:r>
        <w:rPr>
          <w:szCs w:val="20"/>
        </w:rPr>
        <w:t xml:space="preserve">are the </w:t>
      </w:r>
      <w:r w:rsidRPr="001306BF">
        <w:rPr>
          <w:szCs w:val="20"/>
        </w:rPr>
        <w:t>creation</w:t>
      </w:r>
      <w:r>
        <w:rPr>
          <w:szCs w:val="20"/>
        </w:rPr>
        <w:t xml:space="preserve">, </w:t>
      </w:r>
      <w:r w:rsidRPr="001306BF">
        <w:rPr>
          <w:szCs w:val="20"/>
        </w:rPr>
        <w:t>updat</w:t>
      </w:r>
      <w:r>
        <w:rPr>
          <w:szCs w:val="20"/>
        </w:rPr>
        <w:t>ing</w:t>
      </w:r>
      <w:r w:rsidRPr="001306BF">
        <w:rPr>
          <w:szCs w:val="20"/>
        </w:rPr>
        <w:t xml:space="preserve"> of national geoscientific information and mineral resource assessment. These objectives are achieved through ground surveys, air-borne and marine surveys, mineral prospecting and investigations, multi-disciplinary geoscientific, geo-technical, geo-environmental and natural hazards studies, glaciology, seismotectonic study, and carrying out fundamental research.</w:t>
      </w:r>
    </w:p>
    <w:p w14:paraId="4E65CDC3" w14:textId="361F6D9A" w:rsidR="008A6BAD" w:rsidRDefault="008A6BAD" w:rsidP="00662938">
      <w:pPr>
        <w:ind w:right="180"/>
        <w:rPr>
          <w:szCs w:val="20"/>
        </w:rPr>
      </w:pPr>
      <w:r w:rsidRPr="005133B4">
        <w:rPr>
          <w:szCs w:val="20"/>
        </w:rPr>
        <w:t xml:space="preserve">Initially </w:t>
      </w:r>
      <w:r w:rsidRPr="001306BF">
        <w:rPr>
          <w:szCs w:val="20"/>
        </w:rPr>
        <w:t xml:space="preserve">Obvious Geological Potential </w:t>
      </w:r>
      <w:r>
        <w:rPr>
          <w:szCs w:val="20"/>
        </w:rPr>
        <w:t>(</w:t>
      </w:r>
      <w:r w:rsidRPr="005133B4">
        <w:rPr>
          <w:szCs w:val="20"/>
        </w:rPr>
        <w:t>OGP</w:t>
      </w:r>
      <w:r>
        <w:rPr>
          <w:szCs w:val="20"/>
        </w:rPr>
        <w:t>)</w:t>
      </w:r>
      <w:r w:rsidRPr="005133B4">
        <w:rPr>
          <w:szCs w:val="20"/>
        </w:rPr>
        <w:t xml:space="preserve"> area of </w:t>
      </w:r>
      <w:r w:rsidR="00201C5A">
        <w:t xml:space="preserve">approximately </w:t>
      </w:r>
      <w:r w:rsidRPr="005133B4">
        <w:rPr>
          <w:szCs w:val="20"/>
        </w:rPr>
        <w:t>5</w:t>
      </w:r>
      <w:r>
        <w:rPr>
          <w:szCs w:val="20"/>
        </w:rPr>
        <w:t>.</w:t>
      </w:r>
      <w:r w:rsidRPr="005133B4">
        <w:rPr>
          <w:szCs w:val="20"/>
        </w:rPr>
        <w:t xml:space="preserve">7 </w:t>
      </w:r>
      <w:r>
        <w:rPr>
          <w:szCs w:val="20"/>
        </w:rPr>
        <w:t>lakh</w:t>
      </w:r>
      <w:r w:rsidRPr="005133B4">
        <w:rPr>
          <w:szCs w:val="20"/>
        </w:rPr>
        <w:t xml:space="preserve"> </w:t>
      </w:r>
      <w:r>
        <w:rPr>
          <w:szCs w:val="20"/>
        </w:rPr>
        <w:t>sq. km</w:t>
      </w:r>
      <w:r w:rsidRPr="005133B4">
        <w:rPr>
          <w:szCs w:val="20"/>
        </w:rPr>
        <w:t xml:space="preserve"> had been established through baseline geoscience data creation. After the inception of National Mineral Exploration Policy, 2016 (NMEP), OGP area is being redefined based on latest exploration data acquisition</w:t>
      </w:r>
      <w:r>
        <w:rPr>
          <w:szCs w:val="20"/>
        </w:rPr>
        <w:t xml:space="preserve"> and incorporation of new minerals</w:t>
      </w:r>
      <w:r w:rsidRPr="005133B4">
        <w:rPr>
          <w:szCs w:val="20"/>
        </w:rPr>
        <w:t>.</w:t>
      </w:r>
      <w:r w:rsidRPr="005133B4">
        <w:t xml:space="preserve"> </w:t>
      </w:r>
      <w:r w:rsidRPr="005133B4">
        <w:rPr>
          <w:szCs w:val="20"/>
        </w:rPr>
        <w:t>The mineral</w:t>
      </w:r>
      <w:r>
        <w:rPr>
          <w:szCs w:val="20"/>
        </w:rPr>
        <w:t xml:space="preserve"> </w:t>
      </w:r>
      <w:r w:rsidRPr="005133B4">
        <w:rPr>
          <w:szCs w:val="20"/>
        </w:rPr>
        <w:t>potential of geological terrains needs to be evaluated periodically by incorporating the latest</w:t>
      </w:r>
      <w:r>
        <w:rPr>
          <w:szCs w:val="20"/>
        </w:rPr>
        <w:t xml:space="preserve"> </w:t>
      </w:r>
      <w:r w:rsidRPr="005133B4">
        <w:rPr>
          <w:szCs w:val="20"/>
        </w:rPr>
        <w:t>basic geoscience data and exploration data as and when available. The concept of OGP</w:t>
      </w:r>
      <w:r>
        <w:rPr>
          <w:szCs w:val="20"/>
        </w:rPr>
        <w:t xml:space="preserve"> </w:t>
      </w:r>
      <w:r w:rsidRPr="005133B4">
        <w:rPr>
          <w:szCs w:val="20"/>
        </w:rPr>
        <w:t>is dynamic and needs to be revisited periodically with the updating of database for various</w:t>
      </w:r>
      <w:r>
        <w:rPr>
          <w:szCs w:val="20"/>
        </w:rPr>
        <w:t xml:space="preserve"> </w:t>
      </w:r>
      <w:r w:rsidRPr="005133B4">
        <w:rPr>
          <w:szCs w:val="20"/>
        </w:rPr>
        <w:t>mineral commodities.</w:t>
      </w:r>
    </w:p>
    <w:p w14:paraId="32939BDD" w14:textId="3C228AA2" w:rsidR="008A6BAD" w:rsidRDefault="008A6BAD" w:rsidP="00662938">
      <w:pPr>
        <w:ind w:right="180"/>
        <w:rPr>
          <w:szCs w:val="20"/>
        </w:rPr>
      </w:pPr>
      <w:r>
        <w:rPr>
          <w:szCs w:val="20"/>
        </w:rPr>
        <w:t>In fiscal 2024, GSI demarcated</w:t>
      </w:r>
      <w:r w:rsidRPr="001306BF">
        <w:rPr>
          <w:szCs w:val="20"/>
        </w:rPr>
        <w:t xml:space="preserve"> 6.88 lakh sq. km as OGP area</w:t>
      </w:r>
      <w:r>
        <w:rPr>
          <w:szCs w:val="20"/>
        </w:rPr>
        <w:t xml:space="preserve"> which is expected to be </w:t>
      </w:r>
      <w:r w:rsidR="00201C5A">
        <w:t xml:space="preserve">approximately </w:t>
      </w:r>
      <w:r>
        <w:rPr>
          <w:szCs w:val="20"/>
        </w:rPr>
        <w:t>7 lakh sq. km by fiscal 2030</w:t>
      </w:r>
      <w:r>
        <w:rPr>
          <w:rStyle w:val="FootnoteReference"/>
          <w:szCs w:val="20"/>
        </w:rPr>
        <w:footnoteReference w:id="51"/>
      </w:r>
      <w:r>
        <w:rPr>
          <w:szCs w:val="20"/>
        </w:rPr>
        <w:t xml:space="preserve">. This poses a real opportunity for accredited mining consulting companies to establish resources in coming years. </w:t>
      </w:r>
    </w:p>
    <w:p w14:paraId="63CF47F2" w14:textId="77777777" w:rsidR="008A6BAD" w:rsidRDefault="008A6BAD" w:rsidP="00662938">
      <w:pPr>
        <w:ind w:right="180"/>
        <w:rPr>
          <w:szCs w:val="20"/>
        </w:rPr>
      </w:pPr>
      <w:r>
        <w:rPr>
          <w:szCs w:val="20"/>
        </w:rPr>
        <w:t xml:space="preserve">The mining consultancy market, being a highly fragmented market, has been estimated by mainly considering various expenditure centers such as consultancy expenditure of CIL, utilization of NMET funds for mineral exploration and development of commercial coal blocks. Firstly, CIL being the major contributor towards coal production, its expenditure towards mining consultancy has been considered. Secondly, NMET being a major body for </w:t>
      </w:r>
      <w:r w:rsidRPr="00745C45">
        <w:rPr>
          <w:szCs w:val="20"/>
        </w:rPr>
        <w:t>promot</w:t>
      </w:r>
      <w:r>
        <w:rPr>
          <w:szCs w:val="20"/>
        </w:rPr>
        <w:t xml:space="preserve">ion of </w:t>
      </w:r>
      <w:r w:rsidRPr="00745C45">
        <w:rPr>
          <w:szCs w:val="20"/>
        </w:rPr>
        <w:t>mineral exploration</w:t>
      </w:r>
      <w:r>
        <w:rPr>
          <w:szCs w:val="20"/>
        </w:rPr>
        <w:t xml:space="preserve"> in the country, its expenditure has been considered in estimating the mining consultancy market. Lastly, with the government’s focus on commercial coal blocks auctions, mining consultancy would play a major role in its exploration and development.</w:t>
      </w:r>
    </w:p>
    <w:p w14:paraId="312C4379" w14:textId="77777777" w:rsidR="001670B3" w:rsidRPr="00662938" w:rsidRDefault="001670B3" w:rsidP="00662938">
      <w:pPr>
        <w:pStyle w:val="Body"/>
        <w:rPr>
          <w:b/>
          <w:bCs/>
          <w:color w:val="auto"/>
        </w:rPr>
      </w:pPr>
      <w:r w:rsidRPr="00662938">
        <w:rPr>
          <w:b/>
          <w:bCs/>
          <w:color w:val="auto"/>
        </w:rPr>
        <w:t>Impact of National Mineral Exploration Trust (NMET)</w:t>
      </w:r>
    </w:p>
    <w:p w14:paraId="0A25569F" w14:textId="26975A8B" w:rsidR="001670B3" w:rsidRDefault="001670B3" w:rsidP="001670B3">
      <w:pPr>
        <w:ind w:right="182"/>
      </w:pPr>
      <w:r w:rsidRPr="00B85FDB">
        <w:t>The National Mineral Exploration Trust (NMET) was established by the Government of India vide Gazette Notification G.S.R.633(E) of 14</w:t>
      </w:r>
      <w:r w:rsidRPr="00662938">
        <w:rPr>
          <w:vertAlign w:val="superscript"/>
        </w:rPr>
        <w:t>th</w:t>
      </w:r>
      <w:r w:rsidR="00B8426F">
        <w:t xml:space="preserve"> </w:t>
      </w:r>
      <w:r w:rsidRPr="00B85FDB">
        <w:t>August 2015, in pursuance of subsection</w:t>
      </w:r>
      <w:r>
        <w:t xml:space="preserve"> </w:t>
      </w:r>
      <w:r w:rsidRPr="00B85FDB">
        <w:t>(1) of Section 9C of the Mines and Minerals (Development and Regulation) Act, 1957, with the objective to expedite mineral exploration in the country.</w:t>
      </w:r>
      <w:r>
        <w:t xml:space="preserve"> The NMET provides financial support to state governments, public sector undertaking, and private companies for undertaking mineral exploration activities. </w:t>
      </w:r>
      <w:r w:rsidR="00035554">
        <w:t>S</w:t>
      </w:r>
      <w:r>
        <w:t xml:space="preserve">ince inception, </w:t>
      </w:r>
      <w:r w:rsidR="00442C7E">
        <w:t>540</w:t>
      </w:r>
      <w:r>
        <w:t xml:space="preserve"> projects amounting to Rs 2</w:t>
      </w:r>
      <w:r w:rsidR="00442C7E">
        <w:t>9235.5</w:t>
      </w:r>
      <w:r>
        <w:t xml:space="preserve"> million were sanctioned by NMET till 31</w:t>
      </w:r>
      <w:r w:rsidR="00B8426F" w:rsidRPr="00662938">
        <w:rPr>
          <w:vertAlign w:val="superscript"/>
        </w:rPr>
        <w:t>st</w:t>
      </w:r>
      <w:r w:rsidR="00B8426F">
        <w:t xml:space="preserve"> March </w:t>
      </w:r>
      <w:r>
        <w:t>202</w:t>
      </w:r>
      <w:r w:rsidR="00317B05">
        <w:t>5</w:t>
      </w:r>
      <w:r>
        <w:t>. This fund is used to support exploration activities, including drilling, sampling, and geological mapping. The NMET has been instrumental in promoting mineral exploration in the country, and its activities have led to the discovery of several new mineral deposits. This, in turn, has created new opportunities for mining consultancies in India, as companies are now seeking expert advice on how to develop and extract these newly discovered mineral deposits.</w:t>
      </w:r>
    </w:p>
    <w:p w14:paraId="5578C72F" w14:textId="599DFECD" w:rsidR="001670B3" w:rsidRDefault="001670B3" w:rsidP="001670B3">
      <w:pPr>
        <w:ind w:right="182"/>
      </w:pPr>
      <w:r w:rsidRPr="00553CFC">
        <w:t xml:space="preserve">The National Mineral Exploration Trust (NMET) has witnessed a significant increase in expenditure over the years, from </w:t>
      </w:r>
      <w:r>
        <w:t xml:space="preserve">Rs. </w:t>
      </w:r>
      <w:r w:rsidR="006066B5">
        <w:t>800</w:t>
      </w:r>
      <w:r>
        <w:t xml:space="preserve"> million</w:t>
      </w:r>
      <w:r w:rsidRPr="00553CFC">
        <w:t xml:space="preserve"> in </w:t>
      </w:r>
      <w:r>
        <w:t xml:space="preserve">fiscal </w:t>
      </w:r>
      <w:r w:rsidRPr="00553CFC">
        <w:t xml:space="preserve">2018 to </w:t>
      </w:r>
      <w:r>
        <w:t xml:space="preserve">Rs. </w:t>
      </w:r>
      <w:r w:rsidR="00F25728">
        <w:t>4533</w:t>
      </w:r>
      <w:r w:rsidRPr="00553CFC">
        <w:t xml:space="preserve"> </w:t>
      </w:r>
      <w:r>
        <w:t xml:space="preserve">million </w:t>
      </w:r>
      <w:r w:rsidRPr="00553CFC">
        <w:t xml:space="preserve">in </w:t>
      </w:r>
      <w:r>
        <w:t xml:space="preserve">fiscal </w:t>
      </w:r>
      <w:r w:rsidRPr="00553CFC">
        <w:t>202</w:t>
      </w:r>
      <w:r>
        <w:t>5</w:t>
      </w:r>
      <w:r w:rsidR="00F25728">
        <w:t xml:space="preserve"> (Rs. 3183 million </w:t>
      </w:r>
      <w:r w:rsidR="00BB4A1A">
        <w:t>incurred during January to December 2024 and Rs 1350 million estimated for the period January to March 2025)</w:t>
      </w:r>
      <w:r w:rsidRPr="00553CFC">
        <w:t>. This substantial rise in expenditure is a testament to the government's commitment to promoting mineral exploration in India.</w:t>
      </w:r>
      <w:r>
        <w:t xml:space="preserve"> </w:t>
      </w:r>
      <w:r w:rsidRPr="00102432">
        <w:t>This increase in expenditure is expected to have a positive impact on the mining sector, as it will lead to more exploration activities, creation of new jobs, and increased investment in the sector.</w:t>
      </w:r>
    </w:p>
    <w:p w14:paraId="157E4379" w14:textId="4DD49D8F" w:rsidR="001670B3" w:rsidRDefault="001670B3" w:rsidP="001670B3">
      <w:pPr>
        <w:pStyle w:val="Heading30"/>
        <w:numPr>
          <w:ilvl w:val="0"/>
          <w:numId w:val="0"/>
        </w:numPr>
        <w:ind w:right="182"/>
      </w:pPr>
      <w:bookmarkStart w:id="2147" w:name="_Toc198731513"/>
      <w:r w:rsidRPr="00A1139A">
        <w:rPr>
          <w:rFonts w:eastAsia="Times New Roman" w:cs="Book Antiqua"/>
          <w:b/>
          <w:bCs/>
          <w:color w:val="auto"/>
          <w:kern w:val="0"/>
          <w:sz w:val="20"/>
          <w:szCs w:val="18"/>
          <w:lang w:val="en-GB" w:eastAsia="en-IN"/>
          <w14:ligatures w14:val="none"/>
        </w:rPr>
        <w:t xml:space="preserve">Figure </w:t>
      </w:r>
      <w:r w:rsidRPr="00A1139A">
        <w:rPr>
          <w:rFonts w:eastAsia="Times New Roman" w:cs="Book Antiqua"/>
          <w:b/>
          <w:bCs/>
          <w:color w:val="auto"/>
          <w:kern w:val="0"/>
          <w:sz w:val="20"/>
          <w:szCs w:val="18"/>
          <w:lang w:val="en-GB" w:eastAsia="en-IN"/>
          <w14:ligatures w14:val="none"/>
        </w:rPr>
        <w:fldChar w:fldCharType="begin"/>
      </w:r>
      <w:r w:rsidRPr="00A1139A">
        <w:rPr>
          <w:rFonts w:eastAsia="Times New Roman" w:cs="Book Antiqua"/>
          <w:b/>
          <w:bCs/>
          <w:color w:val="auto"/>
          <w:kern w:val="0"/>
          <w:sz w:val="20"/>
          <w:szCs w:val="18"/>
          <w:lang w:val="en-GB" w:eastAsia="en-IN"/>
          <w14:ligatures w14:val="none"/>
        </w:rPr>
        <w:instrText xml:space="preserve"> STYLEREF 1 \s </w:instrText>
      </w:r>
      <w:r w:rsidRPr="00A1139A">
        <w:rPr>
          <w:rFonts w:eastAsia="Times New Roman" w:cs="Book Antiqua"/>
          <w:b/>
          <w:bCs/>
          <w:color w:val="auto"/>
          <w:kern w:val="0"/>
          <w:sz w:val="20"/>
          <w:szCs w:val="18"/>
          <w:lang w:val="en-GB" w:eastAsia="en-IN"/>
          <w14:ligatures w14:val="none"/>
        </w:rPr>
        <w:fldChar w:fldCharType="separate"/>
      </w:r>
      <w:r w:rsidR="002142B9">
        <w:rPr>
          <w:rFonts w:eastAsia="Times New Roman" w:cs="Book Antiqua"/>
          <w:b/>
          <w:bCs/>
          <w:noProof/>
          <w:color w:val="auto"/>
          <w:kern w:val="0"/>
          <w:sz w:val="20"/>
          <w:szCs w:val="18"/>
          <w:lang w:val="en-GB" w:eastAsia="en-IN"/>
          <w14:ligatures w14:val="none"/>
        </w:rPr>
        <w:t>3</w:t>
      </w:r>
      <w:r w:rsidRPr="00A1139A">
        <w:rPr>
          <w:rFonts w:eastAsia="Times New Roman" w:cs="Book Antiqua"/>
          <w:b/>
          <w:bCs/>
          <w:color w:val="auto"/>
          <w:kern w:val="0"/>
          <w:sz w:val="20"/>
          <w:szCs w:val="18"/>
          <w:lang w:val="en-GB" w:eastAsia="en-IN"/>
          <w14:ligatures w14:val="none"/>
        </w:rPr>
        <w:fldChar w:fldCharType="end"/>
      </w:r>
      <w:r w:rsidRPr="00A1139A">
        <w:rPr>
          <w:rFonts w:eastAsia="Times New Roman" w:cs="Book Antiqua"/>
          <w:b/>
          <w:bCs/>
          <w:color w:val="auto"/>
          <w:kern w:val="0"/>
          <w:sz w:val="20"/>
          <w:szCs w:val="18"/>
          <w:lang w:val="en-GB" w:eastAsia="en-IN"/>
          <w14:ligatures w14:val="none"/>
        </w:rPr>
        <w:t>.</w:t>
      </w:r>
      <w:r w:rsidRPr="00A1139A">
        <w:rPr>
          <w:rFonts w:eastAsia="Times New Roman" w:cs="Book Antiqua"/>
          <w:b/>
          <w:bCs/>
          <w:color w:val="auto"/>
          <w:kern w:val="0"/>
          <w:sz w:val="20"/>
          <w:szCs w:val="18"/>
          <w:lang w:val="en-GB" w:eastAsia="en-IN"/>
          <w14:ligatures w14:val="none"/>
        </w:rPr>
        <w:fldChar w:fldCharType="begin"/>
      </w:r>
      <w:r w:rsidRPr="00A1139A">
        <w:rPr>
          <w:rFonts w:eastAsia="Times New Roman" w:cs="Book Antiqua"/>
          <w:b/>
          <w:bCs/>
          <w:color w:val="auto"/>
          <w:kern w:val="0"/>
          <w:sz w:val="20"/>
          <w:szCs w:val="18"/>
          <w:lang w:val="en-GB" w:eastAsia="en-IN"/>
          <w14:ligatures w14:val="none"/>
        </w:rPr>
        <w:instrText xml:space="preserve"> SEQ Figure \* ARABIC \s 1 </w:instrText>
      </w:r>
      <w:r w:rsidRPr="00A1139A">
        <w:rPr>
          <w:rFonts w:eastAsia="Times New Roman" w:cs="Book Antiqua"/>
          <w:b/>
          <w:bCs/>
          <w:color w:val="auto"/>
          <w:kern w:val="0"/>
          <w:sz w:val="20"/>
          <w:szCs w:val="18"/>
          <w:lang w:val="en-GB" w:eastAsia="en-IN"/>
          <w14:ligatures w14:val="none"/>
        </w:rPr>
        <w:fldChar w:fldCharType="separate"/>
      </w:r>
      <w:r w:rsidR="002142B9">
        <w:rPr>
          <w:rFonts w:eastAsia="Times New Roman" w:cs="Book Antiqua"/>
          <w:b/>
          <w:bCs/>
          <w:noProof/>
          <w:color w:val="auto"/>
          <w:kern w:val="0"/>
          <w:sz w:val="20"/>
          <w:szCs w:val="18"/>
          <w:lang w:val="en-GB" w:eastAsia="en-IN"/>
          <w14:ligatures w14:val="none"/>
        </w:rPr>
        <w:t>2</w:t>
      </w:r>
      <w:r w:rsidRPr="00A1139A">
        <w:rPr>
          <w:rFonts w:eastAsia="Times New Roman" w:cs="Book Antiqua"/>
          <w:b/>
          <w:bCs/>
          <w:color w:val="auto"/>
          <w:kern w:val="0"/>
          <w:sz w:val="20"/>
          <w:szCs w:val="18"/>
          <w:lang w:val="en-GB" w:eastAsia="en-IN"/>
          <w14:ligatures w14:val="none"/>
        </w:rPr>
        <w:fldChar w:fldCharType="end"/>
      </w:r>
      <w:r w:rsidRPr="00A1139A">
        <w:rPr>
          <w:rFonts w:eastAsia="Times New Roman" w:cs="Book Antiqua"/>
          <w:b/>
          <w:bCs/>
          <w:color w:val="auto"/>
          <w:kern w:val="0"/>
          <w:sz w:val="20"/>
          <w:szCs w:val="18"/>
          <w:lang w:val="en-GB" w:eastAsia="en-IN"/>
          <w14:ligatures w14:val="none"/>
        </w:rPr>
        <w:t xml:space="preserve">: </w:t>
      </w:r>
      <w:r>
        <w:rPr>
          <w:rFonts w:eastAsia="Times New Roman" w:cs="Book Antiqua"/>
          <w:b/>
          <w:bCs/>
          <w:color w:val="auto"/>
          <w:kern w:val="0"/>
          <w:sz w:val="20"/>
          <w:szCs w:val="18"/>
          <w:lang w:val="en-GB" w:eastAsia="en-IN"/>
          <w14:ligatures w14:val="none"/>
        </w:rPr>
        <w:t>NMET expenditure in million rupees</w:t>
      </w:r>
      <w:bookmarkEnd w:id="2147"/>
    </w:p>
    <w:p w14:paraId="27EF33ED" w14:textId="1D44DFCF" w:rsidR="001670B3" w:rsidRDefault="001670B3" w:rsidP="001670B3">
      <w:pPr>
        <w:pStyle w:val="Source"/>
        <w:ind w:right="182"/>
      </w:pPr>
      <w:r w:rsidRPr="00963589">
        <w:rPr>
          <w:noProof/>
        </w:rPr>
        <w:drawing>
          <wp:inline distT="0" distB="0" distL="0" distR="0" wp14:anchorId="503800FD" wp14:editId="5B1F4CB0">
            <wp:extent cx="6686550" cy="1791970"/>
            <wp:effectExtent l="0" t="0" r="0" b="0"/>
            <wp:docPr id="2132172571" name="Chart 1">
              <a:extLst xmlns:a="http://schemas.openxmlformats.org/drawingml/2006/main">
                <a:ext uri="{FF2B5EF4-FFF2-40B4-BE49-F238E27FC236}">
                  <a16:creationId xmlns:a16="http://schemas.microsoft.com/office/drawing/2014/main" id="{10852EF3-1D61-6F31-C0A6-C0EA710A4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Source: Ministry of Mines, all years are fiscal years</w:t>
      </w:r>
      <w:r w:rsidR="00D41883">
        <w:t>; *Rs. 3183 million incurred during January to December 2024 and Rs 1350 million estimated for the period January to March 2025</w:t>
      </w:r>
    </w:p>
    <w:p w14:paraId="1EA7E311" w14:textId="764AB9CC" w:rsidR="001670B3" w:rsidRDefault="001670B3" w:rsidP="001670B3">
      <w:pPr>
        <w:ind w:right="182"/>
      </w:pPr>
      <w:r>
        <w:t xml:space="preserve">Out of the </w:t>
      </w:r>
      <w:r w:rsidR="007C4182">
        <w:t>226</w:t>
      </w:r>
      <w:r>
        <w:t xml:space="preserve"> exploration projects sanctioned by NMET to MECL only 160 projects have been completed, 2 have been approved and 64 projects are in progress. Whereas for CMPDIL, NMET sanctioned 27 projects out of which 25 projects were for coal, out of these 27 projects 19 have been completed and 8 are in progress. The estimated costs for these projects in Rs. million are mentioned below:</w:t>
      </w:r>
    </w:p>
    <w:p w14:paraId="29BEC018" w14:textId="016818C9" w:rsidR="001670B3" w:rsidRDefault="001670B3" w:rsidP="001670B3">
      <w:pPr>
        <w:pStyle w:val="Heading30"/>
        <w:numPr>
          <w:ilvl w:val="0"/>
          <w:numId w:val="0"/>
        </w:numPr>
        <w:ind w:right="182"/>
      </w:pPr>
      <w:bookmarkStart w:id="2148" w:name="_Toc198731514"/>
      <w:r w:rsidRPr="00A1139A">
        <w:rPr>
          <w:rFonts w:eastAsia="Times New Roman" w:cs="Book Antiqua"/>
          <w:b/>
          <w:bCs/>
          <w:color w:val="auto"/>
          <w:kern w:val="0"/>
          <w:sz w:val="20"/>
          <w:szCs w:val="18"/>
          <w:lang w:val="en-GB" w:eastAsia="en-IN"/>
          <w14:ligatures w14:val="none"/>
        </w:rPr>
        <w:t xml:space="preserve">Figure </w:t>
      </w:r>
      <w:r w:rsidRPr="00A1139A">
        <w:rPr>
          <w:rFonts w:eastAsia="Times New Roman" w:cs="Book Antiqua"/>
          <w:b/>
          <w:bCs/>
          <w:color w:val="auto"/>
          <w:kern w:val="0"/>
          <w:sz w:val="20"/>
          <w:szCs w:val="18"/>
          <w:lang w:val="en-GB" w:eastAsia="en-IN"/>
          <w14:ligatures w14:val="none"/>
        </w:rPr>
        <w:fldChar w:fldCharType="begin"/>
      </w:r>
      <w:r w:rsidRPr="00A1139A">
        <w:rPr>
          <w:rFonts w:eastAsia="Times New Roman" w:cs="Book Antiqua"/>
          <w:b/>
          <w:bCs/>
          <w:color w:val="auto"/>
          <w:kern w:val="0"/>
          <w:sz w:val="20"/>
          <w:szCs w:val="18"/>
          <w:lang w:val="en-GB" w:eastAsia="en-IN"/>
          <w14:ligatures w14:val="none"/>
        </w:rPr>
        <w:instrText xml:space="preserve"> STYLEREF 1 \s </w:instrText>
      </w:r>
      <w:r w:rsidRPr="00A1139A">
        <w:rPr>
          <w:rFonts w:eastAsia="Times New Roman" w:cs="Book Antiqua"/>
          <w:b/>
          <w:bCs/>
          <w:color w:val="auto"/>
          <w:kern w:val="0"/>
          <w:sz w:val="20"/>
          <w:szCs w:val="18"/>
          <w:lang w:val="en-GB" w:eastAsia="en-IN"/>
          <w14:ligatures w14:val="none"/>
        </w:rPr>
        <w:fldChar w:fldCharType="separate"/>
      </w:r>
      <w:r w:rsidR="002142B9">
        <w:rPr>
          <w:rFonts w:eastAsia="Times New Roman" w:cs="Book Antiqua"/>
          <w:b/>
          <w:bCs/>
          <w:noProof/>
          <w:color w:val="auto"/>
          <w:kern w:val="0"/>
          <w:sz w:val="20"/>
          <w:szCs w:val="18"/>
          <w:lang w:val="en-GB" w:eastAsia="en-IN"/>
          <w14:ligatures w14:val="none"/>
        </w:rPr>
        <w:t>3</w:t>
      </w:r>
      <w:r w:rsidRPr="00A1139A">
        <w:rPr>
          <w:rFonts w:eastAsia="Times New Roman" w:cs="Book Antiqua"/>
          <w:b/>
          <w:bCs/>
          <w:color w:val="auto"/>
          <w:kern w:val="0"/>
          <w:sz w:val="20"/>
          <w:szCs w:val="18"/>
          <w:lang w:val="en-GB" w:eastAsia="en-IN"/>
          <w14:ligatures w14:val="none"/>
        </w:rPr>
        <w:fldChar w:fldCharType="end"/>
      </w:r>
      <w:r w:rsidRPr="00A1139A">
        <w:rPr>
          <w:rFonts w:eastAsia="Times New Roman" w:cs="Book Antiqua"/>
          <w:b/>
          <w:bCs/>
          <w:color w:val="auto"/>
          <w:kern w:val="0"/>
          <w:sz w:val="20"/>
          <w:szCs w:val="18"/>
          <w:lang w:val="en-GB" w:eastAsia="en-IN"/>
          <w14:ligatures w14:val="none"/>
        </w:rPr>
        <w:t>.</w:t>
      </w:r>
      <w:r w:rsidRPr="00A1139A">
        <w:rPr>
          <w:rFonts w:eastAsia="Times New Roman" w:cs="Book Antiqua"/>
          <w:b/>
          <w:bCs/>
          <w:color w:val="auto"/>
          <w:kern w:val="0"/>
          <w:sz w:val="20"/>
          <w:szCs w:val="18"/>
          <w:lang w:val="en-GB" w:eastAsia="en-IN"/>
          <w14:ligatures w14:val="none"/>
        </w:rPr>
        <w:fldChar w:fldCharType="begin"/>
      </w:r>
      <w:r w:rsidRPr="00A1139A">
        <w:rPr>
          <w:rFonts w:eastAsia="Times New Roman" w:cs="Book Antiqua"/>
          <w:b/>
          <w:bCs/>
          <w:color w:val="auto"/>
          <w:kern w:val="0"/>
          <w:sz w:val="20"/>
          <w:szCs w:val="18"/>
          <w:lang w:val="en-GB" w:eastAsia="en-IN"/>
          <w14:ligatures w14:val="none"/>
        </w:rPr>
        <w:instrText xml:space="preserve"> SEQ Figure \* ARABIC \s 1 </w:instrText>
      </w:r>
      <w:r w:rsidRPr="00A1139A">
        <w:rPr>
          <w:rFonts w:eastAsia="Times New Roman" w:cs="Book Antiqua"/>
          <w:b/>
          <w:bCs/>
          <w:color w:val="auto"/>
          <w:kern w:val="0"/>
          <w:sz w:val="20"/>
          <w:szCs w:val="18"/>
          <w:lang w:val="en-GB" w:eastAsia="en-IN"/>
          <w14:ligatures w14:val="none"/>
        </w:rPr>
        <w:fldChar w:fldCharType="separate"/>
      </w:r>
      <w:r w:rsidR="002142B9">
        <w:rPr>
          <w:rFonts w:eastAsia="Times New Roman" w:cs="Book Antiqua"/>
          <w:b/>
          <w:bCs/>
          <w:noProof/>
          <w:color w:val="auto"/>
          <w:kern w:val="0"/>
          <w:sz w:val="20"/>
          <w:szCs w:val="18"/>
          <w:lang w:val="en-GB" w:eastAsia="en-IN"/>
          <w14:ligatures w14:val="none"/>
        </w:rPr>
        <w:t>3</w:t>
      </w:r>
      <w:r w:rsidRPr="00A1139A">
        <w:rPr>
          <w:rFonts w:eastAsia="Times New Roman" w:cs="Book Antiqua"/>
          <w:b/>
          <w:bCs/>
          <w:color w:val="auto"/>
          <w:kern w:val="0"/>
          <w:sz w:val="20"/>
          <w:szCs w:val="18"/>
          <w:lang w:val="en-GB" w:eastAsia="en-IN"/>
          <w14:ligatures w14:val="none"/>
        </w:rPr>
        <w:fldChar w:fldCharType="end"/>
      </w:r>
      <w:r w:rsidRPr="00A1139A">
        <w:rPr>
          <w:rFonts w:eastAsia="Times New Roman" w:cs="Book Antiqua"/>
          <w:b/>
          <w:bCs/>
          <w:color w:val="auto"/>
          <w:kern w:val="0"/>
          <w:sz w:val="20"/>
          <w:szCs w:val="18"/>
          <w:lang w:val="en-GB" w:eastAsia="en-IN"/>
          <w14:ligatures w14:val="none"/>
        </w:rPr>
        <w:t xml:space="preserve">: </w:t>
      </w:r>
      <w:r>
        <w:rPr>
          <w:rFonts w:eastAsia="Times New Roman" w:cs="Book Antiqua"/>
          <w:b/>
          <w:bCs/>
          <w:color w:val="auto"/>
          <w:kern w:val="0"/>
          <w:sz w:val="20"/>
          <w:szCs w:val="18"/>
          <w:lang w:val="en-GB" w:eastAsia="en-IN"/>
          <w14:ligatures w14:val="none"/>
        </w:rPr>
        <w:t xml:space="preserve">NMET sanctioned projects estimated costs </w:t>
      </w:r>
      <w:r w:rsidR="00A332C5">
        <w:rPr>
          <w:rFonts w:eastAsia="Times New Roman" w:cs="Book Antiqua"/>
          <w:b/>
          <w:bCs/>
          <w:color w:val="auto"/>
          <w:kern w:val="0"/>
          <w:sz w:val="20"/>
          <w:szCs w:val="18"/>
          <w:lang w:val="en-GB" w:eastAsia="en-IN"/>
          <w14:ligatures w14:val="none"/>
        </w:rPr>
        <w:t>i</w:t>
      </w:r>
      <w:r>
        <w:rPr>
          <w:rFonts w:eastAsia="Times New Roman" w:cs="Book Antiqua"/>
          <w:b/>
          <w:bCs/>
          <w:color w:val="auto"/>
          <w:kern w:val="0"/>
          <w:sz w:val="20"/>
          <w:szCs w:val="18"/>
          <w:lang w:val="en-GB" w:eastAsia="en-IN"/>
          <w14:ligatures w14:val="none"/>
        </w:rPr>
        <w:t>n million</w:t>
      </w:r>
      <w:bookmarkEnd w:id="2148"/>
    </w:p>
    <w:p w14:paraId="15DC260C" w14:textId="1A2AD309" w:rsidR="001670B3" w:rsidRPr="00AA4466" w:rsidRDefault="001670B3" w:rsidP="001670B3">
      <w:pPr>
        <w:ind w:right="182"/>
        <w:rPr>
          <w:rStyle w:val="SourceChar"/>
        </w:rPr>
      </w:pPr>
      <w:r w:rsidRPr="00BC1179">
        <w:rPr>
          <w:rFonts w:eastAsiaTheme="minorEastAsia" w:cs="Times New Roman"/>
          <w:i/>
          <w:noProof/>
          <w:kern w:val="0"/>
          <w:sz w:val="16"/>
          <w:szCs w:val="22"/>
          <w14:ligatures w14:val="none"/>
        </w:rPr>
        <w:drawing>
          <wp:inline distT="0" distB="0" distL="0" distR="0" wp14:anchorId="58061F9F" wp14:editId="7DF7FB2A">
            <wp:extent cx="6686550" cy="1710690"/>
            <wp:effectExtent l="0" t="0" r="0" b="3810"/>
            <wp:docPr id="813753899" name="Chart 1">
              <a:extLst xmlns:a="http://schemas.openxmlformats.org/drawingml/2006/main">
                <a:ext uri="{FF2B5EF4-FFF2-40B4-BE49-F238E27FC236}">
                  <a16:creationId xmlns:a16="http://schemas.microsoft.com/office/drawing/2014/main" id="{2E541C16-E809-13BD-7965-B17A72E73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A4466">
        <w:rPr>
          <w:rStyle w:val="SourceChar"/>
        </w:rPr>
        <w:t xml:space="preserve">Source: Ministry of Mines, all years are fiscal years, </w:t>
      </w:r>
    </w:p>
    <w:p w14:paraId="39AC5F38" w14:textId="77777777" w:rsidR="001670B3" w:rsidRPr="00662938" w:rsidRDefault="001670B3" w:rsidP="00662938">
      <w:pPr>
        <w:pStyle w:val="Body"/>
        <w:rPr>
          <w:b/>
          <w:bCs/>
          <w:color w:val="auto"/>
        </w:rPr>
      </w:pPr>
      <w:r w:rsidRPr="00662938">
        <w:rPr>
          <w:b/>
          <w:bCs/>
          <w:color w:val="auto"/>
        </w:rPr>
        <w:t>Expansion of footprint with commercial coal block owners &amp; international market</w:t>
      </w:r>
    </w:p>
    <w:p w14:paraId="24CDBE6A" w14:textId="77777777" w:rsidR="001670B3" w:rsidRDefault="001670B3" w:rsidP="001670B3">
      <w:pPr>
        <w:ind w:right="182"/>
      </w:pPr>
      <w:r>
        <w:t xml:space="preserve">Since the opening up of coal sector for commercial mining after suitable amendments in MMDR Act 1957 in 2020 remarkable interest had been developed among the potential players resulted in 11 round of auctions thereby successfully auctioning 125 coal blocks. Such auction processes has lead to a significant market opportunity in terms of identification of coal blocks, preparation of mine dossiers including studying of geological/ geotechnical factors, surface constraints etc. </w:t>
      </w:r>
    </w:p>
    <w:p w14:paraId="040E9E89" w14:textId="63AFED42" w:rsidR="001670B3" w:rsidRDefault="001670B3" w:rsidP="001670B3">
      <w:pPr>
        <w:ind w:right="182"/>
      </w:pPr>
      <w:r>
        <w:t>The opening</w:t>
      </w:r>
      <w:r w:rsidRPr="00B9781F">
        <w:t xml:space="preserve"> of </w:t>
      </w:r>
      <w:r>
        <w:t xml:space="preserve">the </w:t>
      </w:r>
      <w:r w:rsidRPr="00B9781F">
        <w:t xml:space="preserve">commercial space in coal </w:t>
      </w:r>
      <w:r>
        <w:t xml:space="preserve">allows the participation of </w:t>
      </w:r>
      <w:r w:rsidRPr="00B9781F">
        <w:t>multiple players</w:t>
      </w:r>
      <w:r>
        <w:t xml:space="preserve"> (captive as well as merchant). This </w:t>
      </w:r>
      <w:r w:rsidRPr="00B9781F">
        <w:t xml:space="preserve">presents an </w:t>
      </w:r>
      <w:r>
        <w:t xml:space="preserve">enormous </w:t>
      </w:r>
      <w:r w:rsidRPr="00B9781F">
        <w:t xml:space="preserve">opportunity </w:t>
      </w:r>
      <w:r w:rsidR="00B34E74">
        <w:t xml:space="preserve">to the consulting </w:t>
      </w:r>
      <w:r w:rsidR="00437864">
        <w:t>organizations</w:t>
      </w:r>
      <w:r w:rsidRPr="00B9781F">
        <w:t xml:space="preserve"> to </w:t>
      </w:r>
      <w:r>
        <w:t xml:space="preserve">leverage its knowledge base for </w:t>
      </w:r>
      <w:r w:rsidRPr="00B9781F">
        <w:t>extend</w:t>
      </w:r>
      <w:r>
        <w:t>ing</w:t>
      </w:r>
      <w:r w:rsidRPr="00B9781F">
        <w:t xml:space="preserve"> its reliable consultancy services to them. </w:t>
      </w:r>
      <w:r>
        <w:t xml:space="preserve">Further, significant number of merchant players have limited exposure in coal mining, </w:t>
      </w:r>
      <w:r w:rsidRPr="00B9781F">
        <w:t>would require</w:t>
      </w:r>
      <w:r>
        <w:t xml:space="preserve"> complete ‘end to end’ and customized solutions as per geo- mining conditions of blocks. </w:t>
      </w:r>
    </w:p>
    <w:p w14:paraId="3FE49FD2" w14:textId="18EED7F7" w:rsidR="001670B3" w:rsidRDefault="001670B3" w:rsidP="001670B3">
      <w:pPr>
        <w:ind w:right="182"/>
      </w:pPr>
      <w:r>
        <w:t xml:space="preserve">Another important area of expansion in the near future is extending </w:t>
      </w:r>
      <w:r w:rsidR="00702113">
        <w:t xml:space="preserve">the </w:t>
      </w:r>
      <w:r>
        <w:t xml:space="preserve">consultancy services overseas. Although coal is at an end in Europe and North America, and other major coal producing countries have their own well-established planning and consultancy wings however, coal will be a major energy source and growing sector for many African and Central Asian Countries. </w:t>
      </w:r>
      <w:r w:rsidR="00B20118">
        <w:t>The consulting organizations</w:t>
      </w:r>
      <w:r>
        <w:t xml:space="preserve"> can step up an engagement with these countries through relevant forums to market its dependable services which will also be at lower cost compared to other international established consultants.</w:t>
      </w:r>
    </w:p>
    <w:p w14:paraId="40D42204" w14:textId="77777777" w:rsidR="001670B3" w:rsidRPr="00662938" w:rsidRDefault="001670B3" w:rsidP="00662938">
      <w:pPr>
        <w:pStyle w:val="Body"/>
        <w:rPr>
          <w:b/>
          <w:bCs/>
          <w:color w:val="auto"/>
        </w:rPr>
      </w:pPr>
      <w:r w:rsidRPr="00662938">
        <w:rPr>
          <w:b/>
          <w:bCs/>
          <w:color w:val="auto"/>
        </w:rPr>
        <w:t>Environment management in mining sector</w:t>
      </w:r>
    </w:p>
    <w:p w14:paraId="2529CE6B" w14:textId="0C855E95" w:rsidR="001670B3" w:rsidRDefault="001670B3" w:rsidP="001670B3">
      <w:pPr>
        <w:ind w:right="182"/>
      </w:pPr>
      <w:r>
        <w:t xml:space="preserve">With increased emphasis on sustainable growth in view of climate change and India’s Nationally Determined Contributions (NDC) in COP of Climate change, environment management will be a key area of focus to balance growth and environment. Mining industry will keep growing to achieve the self-reliance and development of nation, so the environment management in mining operations will be tightened and regulatory compliance will increase. This proposes a significant market for </w:t>
      </w:r>
      <w:r w:rsidRPr="006B1846">
        <w:t>providing environment management planning and ambient parameter routine monitoring</w:t>
      </w:r>
      <w:r>
        <w:t xml:space="preserve"> along with the requirement of new solutions through technological innovations. </w:t>
      </w:r>
      <w:r w:rsidRPr="006B1846">
        <w:t xml:space="preserve">Also, Mine Closure Planning and monitoring will also be a very crucial part of mining lifecycle where </w:t>
      </w:r>
      <w:r w:rsidR="00907F99">
        <w:t>The consulting organizations</w:t>
      </w:r>
      <w:r w:rsidRPr="006B1846">
        <w:t xml:space="preserve"> ha</w:t>
      </w:r>
      <w:r w:rsidR="00907F99">
        <w:t>ve</w:t>
      </w:r>
      <w:r w:rsidRPr="006B1846">
        <w:t xml:space="preserve"> been providing </w:t>
      </w:r>
      <w:r w:rsidR="00907F99">
        <w:t xml:space="preserve">such </w:t>
      </w:r>
      <w:r w:rsidRPr="006B1846">
        <w:t>services and there is a lot of scope for further expansion with infusion of satellite imagery or drone surveys.</w:t>
      </w:r>
    </w:p>
    <w:p w14:paraId="4FE0A5FA" w14:textId="77777777" w:rsidR="001670B3" w:rsidRPr="00662938" w:rsidRDefault="001670B3" w:rsidP="00662938">
      <w:pPr>
        <w:pStyle w:val="Body"/>
        <w:rPr>
          <w:b/>
          <w:bCs/>
          <w:color w:val="auto"/>
        </w:rPr>
      </w:pPr>
      <w:r w:rsidRPr="00662938">
        <w:rPr>
          <w:b/>
          <w:bCs/>
          <w:color w:val="auto"/>
        </w:rPr>
        <w:t>Alternate use of coal</w:t>
      </w:r>
    </w:p>
    <w:p w14:paraId="784C501E" w14:textId="0B8B511A" w:rsidR="001670B3" w:rsidRDefault="001670B3" w:rsidP="001670B3">
      <w:pPr>
        <w:ind w:right="182"/>
      </w:pPr>
      <w:r>
        <w:t xml:space="preserve">Coal industry has generally been perceived as a polluting industry. India has huge reserves of coal which may last for 100 years or more. The primary use of coal in thermal power may decline in future with </w:t>
      </w:r>
      <w:r w:rsidR="00E60F16">
        <w:t>the establishment</w:t>
      </w:r>
      <w:r>
        <w:t xml:space="preserve"> of renewable energy sources. If alternate ways of making end use of coal on large scale can be found, then sustenance of mining companies can be secured. </w:t>
      </w:r>
      <w:r w:rsidR="001F1C53">
        <w:t>The consulting organizations</w:t>
      </w:r>
      <w:r>
        <w:t xml:space="preserve"> can take a lead in devising R&amp;D cases or driving Pilot projects as Project Implementation Agency for alternate uses of coal such as Coal to Liquid or Coal to Gas. These end products may be used in other industries such as fertilizer, petro-chemicals, etc. </w:t>
      </w:r>
    </w:p>
    <w:p w14:paraId="22AA891C" w14:textId="77777777" w:rsidR="001670B3" w:rsidRPr="00662938" w:rsidRDefault="001670B3" w:rsidP="00662938">
      <w:pPr>
        <w:pStyle w:val="Body"/>
        <w:rPr>
          <w:b/>
          <w:bCs/>
          <w:color w:val="auto"/>
        </w:rPr>
      </w:pPr>
      <w:r w:rsidRPr="00662938">
        <w:rPr>
          <w:b/>
          <w:bCs/>
          <w:color w:val="auto"/>
        </w:rPr>
        <w:t>Underground Coal Gasification (UCG)</w:t>
      </w:r>
    </w:p>
    <w:p w14:paraId="035AB48B" w14:textId="77777777" w:rsidR="001670B3" w:rsidRDefault="001670B3" w:rsidP="001670B3">
      <w:pPr>
        <w:ind w:right="182"/>
      </w:pPr>
      <w:r>
        <w:t>Underground Coal Gasification (UCG) is a technology to convert coal into syngas (a mixture of methane, hydrogen, CO, and CO</w:t>
      </w:r>
      <w:r>
        <w:rPr>
          <w:rFonts w:ascii="Cambria Math" w:hAnsi="Cambria Math" w:cs="Cambria Math"/>
        </w:rPr>
        <w:t>₂</w:t>
      </w:r>
      <w:r>
        <w:t xml:space="preserve">) while it remains underground. Syngas can be used for Power Generation, fertilizers and as feedstock for other chemicals. UCG provides significant advantage through exploiting coal resources which are economically unviable with respect to the traditional mining methods. With reference to India’s high import dependency of methanol, coal gasification offers a significant solution for embarking on the journey towards “Self Sufficiency”. Ministry of Coal, Government of India has already approved a comprehensive policy framework for UCG in coal and lignite- bearing areas. </w:t>
      </w:r>
    </w:p>
    <w:p w14:paraId="49CCE2E8" w14:textId="5F894D1B" w:rsidR="001670B3" w:rsidRDefault="001670B3" w:rsidP="001670B3">
      <w:pPr>
        <w:ind w:right="182"/>
      </w:pPr>
      <w:r w:rsidRPr="00746D8E">
        <w:t>CMPDIL has already undertaken a pilot project with ECL and M/s Ergo Exergy Technologies Inc. in implementing an R&amp;D pilot project at Kasta West Block of Jamtara District of Jharkhand. The 1st phase of the project commenced on 22</w:t>
      </w:r>
      <w:r w:rsidRPr="00746D8E">
        <w:rPr>
          <w:vertAlign w:val="superscript"/>
        </w:rPr>
        <w:t>nd</w:t>
      </w:r>
      <w:r w:rsidRPr="00746D8E">
        <w:t xml:space="preserve"> June 2024 which primarily involves preparation of a Technical Feasibility Report through drilling of boreholes and core testing. The 2nd phase of the project focusses on coal gasification at a pilot scale.</w:t>
      </w:r>
      <w:r>
        <w:t xml:space="preserve"> </w:t>
      </w:r>
    </w:p>
    <w:p w14:paraId="5429B0C7" w14:textId="52CDC01B" w:rsidR="001670B3" w:rsidRPr="008D6A14" w:rsidRDefault="001670B3" w:rsidP="001670B3">
      <w:pPr>
        <w:ind w:right="182"/>
      </w:pPr>
      <w:r>
        <w:t>As of April 1st, 2024, the geological resource of Indian coal have been estimated to be 3</w:t>
      </w:r>
      <w:r w:rsidR="00B4181D">
        <w:t>89.42</w:t>
      </w:r>
      <w:r>
        <w:rPr>
          <w:rStyle w:val="FootnoteReference"/>
        </w:rPr>
        <w:footnoteReference w:id="52"/>
      </w:r>
      <w:r>
        <w:t xml:space="preserve"> billion metric tonnes (BMT) at various depths. The breakdown of these reserves by depth is as follows: </w:t>
      </w:r>
      <w:r w:rsidRPr="008D6A14">
        <w:t>0-300 meters: 206.2</w:t>
      </w:r>
      <w:r w:rsidR="00C21BD0">
        <w:t>8</w:t>
      </w:r>
      <w:r w:rsidRPr="008D6A14">
        <w:t xml:space="preserve"> BMT</w:t>
      </w:r>
      <w:r>
        <w:t xml:space="preserve"> (5</w:t>
      </w:r>
      <w:r w:rsidR="009D2BCD">
        <w:t>3</w:t>
      </w:r>
      <w:r>
        <w:t xml:space="preserve">%), </w:t>
      </w:r>
      <w:r w:rsidRPr="008D6A14">
        <w:t>300-600 meters: 127.63 BMT</w:t>
      </w:r>
      <w:r>
        <w:t xml:space="preserve"> (3</w:t>
      </w:r>
      <w:r w:rsidR="000D2127">
        <w:t>3</w:t>
      </w:r>
      <w:r>
        <w:t xml:space="preserve">%), </w:t>
      </w:r>
      <w:r w:rsidR="004C1FF1">
        <w:t xml:space="preserve">0- 600 meters: </w:t>
      </w:r>
      <w:r w:rsidR="002C5008">
        <w:t xml:space="preserve">15.41 BMT (4%) &amp; </w:t>
      </w:r>
      <w:r w:rsidRPr="008D6A14">
        <w:t>600-1200 meters: 40.</w:t>
      </w:r>
      <w:r w:rsidR="00C21BD0">
        <w:t>10</w:t>
      </w:r>
      <w:r w:rsidRPr="008D6A14">
        <w:t xml:space="preserve"> BMT</w:t>
      </w:r>
      <w:r>
        <w:t xml:space="preserve"> (1</w:t>
      </w:r>
      <w:r w:rsidR="00A156E2">
        <w:t>0</w:t>
      </w:r>
      <w:r>
        <w:t xml:space="preserve">%). </w:t>
      </w:r>
      <w:r w:rsidRPr="00D871C1">
        <w:t>The coal reserves at depths of 300 meters and above are of particular interest for Underground Coal Gasification (UCG)</w:t>
      </w:r>
      <w:r>
        <w:t xml:space="preserve"> </w:t>
      </w:r>
      <w:r w:rsidRPr="00470FDD">
        <w:t>because they are often difficult and expensive to extract using traditional mining methods. At such great depths, the coal seams are under immense pressure, and the rock surrounding the coal is harder</w:t>
      </w:r>
      <w:r>
        <w:t xml:space="preserve">, </w:t>
      </w:r>
      <w:r w:rsidRPr="00470FDD">
        <w:t>making it challenging to maintain a safe and stable mining environment.</w:t>
      </w:r>
      <w:r>
        <w:t xml:space="preserve"> M</w:t>
      </w:r>
      <w:r w:rsidRPr="00014F84">
        <w:t>ining coal at great depths is a costly affair, requiring specialized equipment and techniques to ensure safe and efficient extraction. UCG can help reduce these costs by eliminating the need for expensive mining equipment and labor.</w:t>
      </w:r>
      <w:r>
        <w:t xml:space="preserve"> </w:t>
      </w:r>
      <w:r w:rsidRPr="00BC23C5">
        <w:t>UCG can</w:t>
      </w:r>
      <w:r>
        <w:t xml:space="preserve"> also</w:t>
      </w:r>
      <w:r w:rsidRPr="00BC23C5">
        <w:t xml:space="preserve"> reduce greenhouse gas emissions</w:t>
      </w:r>
      <w:r>
        <w:t xml:space="preserve"> and improve efficiency at such high depths.</w:t>
      </w:r>
    </w:p>
    <w:p w14:paraId="5E6F9B9B" w14:textId="77777777" w:rsidR="001670B3" w:rsidRPr="00662938" w:rsidRDefault="001670B3" w:rsidP="00662938">
      <w:pPr>
        <w:pStyle w:val="Body"/>
        <w:ind w:right="180"/>
        <w:rPr>
          <w:b/>
          <w:bCs/>
          <w:color w:val="auto"/>
        </w:rPr>
      </w:pPr>
      <w:r w:rsidRPr="00662938">
        <w:rPr>
          <w:b/>
          <w:bCs/>
          <w:color w:val="auto"/>
        </w:rPr>
        <w:t>Coal Bed Methane</w:t>
      </w:r>
    </w:p>
    <w:p w14:paraId="7AB176ED" w14:textId="77777777" w:rsidR="001670B3" w:rsidRDefault="001670B3" w:rsidP="00662938">
      <w:pPr>
        <w:ind w:right="180"/>
      </w:pPr>
      <w:r w:rsidRPr="00F8549F">
        <w:t>Coal Bed Methane (CBM) is a naturally occurring gas found in coal seams typically comprising mostly methane (CH</w:t>
      </w:r>
      <w:r w:rsidRPr="00F8549F">
        <w:rPr>
          <w:vertAlign w:val="subscript"/>
        </w:rPr>
        <w:t>4</w:t>
      </w:r>
      <w:r w:rsidRPr="00F8549F">
        <w:t>) with lower proportions of ethane, propane, nitrogen, and carbon dioxide. It is generated during the process of coalification and adsorbed into the solid matrix of the coal</w:t>
      </w:r>
      <w:r>
        <w:t xml:space="preserve">. </w:t>
      </w:r>
      <w:r w:rsidRPr="00CD31C5">
        <w:t>It is a valuable resource that can be extracted and used as a clean-burning fuel, reducing greenhouse gas emissions and dependence on other fossil fuels.</w:t>
      </w:r>
      <w:r>
        <w:t xml:space="preserve"> </w:t>
      </w:r>
      <w:r w:rsidRPr="00BE0311">
        <w:t>The estimated CBM resources are of the order of 2,600 Billion Cubic Meters (BCM) or 91.8 Trillion Cubic Feet (TCF) spread over in 11 States in the country</w:t>
      </w:r>
      <w:r>
        <w:t xml:space="preserve"> with Jharkhand contributing to the majority of the share</w:t>
      </w:r>
      <w:r w:rsidRPr="00BE0311">
        <w:t xml:space="preserve">. </w:t>
      </w:r>
    </w:p>
    <w:p w14:paraId="052C5857" w14:textId="77777777" w:rsidR="001670B3" w:rsidRPr="00C61922" w:rsidRDefault="001670B3" w:rsidP="00662938">
      <w:pPr>
        <w:ind w:right="180"/>
      </w:pPr>
      <w:r w:rsidRPr="00CB31FE">
        <w:t>CIL is actively participating in CBM exploration and development, leveraging its access to coal-bearing areas. CIL was allotted 2 CBM blocks</w:t>
      </w:r>
      <w:r>
        <w:rPr>
          <w:rStyle w:val="FootnoteReference"/>
        </w:rPr>
        <w:footnoteReference w:id="53"/>
      </w:r>
      <w:r w:rsidRPr="00CB31FE">
        <w:t xml:space="preserve">—Jharia and Raniganj—through government nomination, with efforts focused on commercializing CBM within its leasehold areas. </w:t>
      </w:r>
      <w:r>
        <w:t>The c</w:t>
      </w:r>
      <w:r w:rsidRPr="00C61922">
        <w:t xml:space="preserve">ore </w:t>
      </w:r>
      <w:r>
        <w:t>f</w:t>
      </w:r>
      <w:r w:rsidRPr="00C61922">
        <w:t>unctions of CMPDIL are given below:</w:t>
      </w:r>
    </w:p>
    <w:p w14:paraId="1145A6FF" w14:textId="77777777" w:rsidR="001670B3" w:rsidRPr="00F8549F" w:rsidRDefault="001670B3" w:rsidP="00662938">
      <w:pPr>
        <w:pStyle w:val="ListParagraph"/>
        <w:numPr>
          <w:ilvl w:val="0"/>
          <w:numId w:val="51"/>
        </w:numPr>
        <w:ind w:left="360" w:right="180"/>
      </w:pPr>
      <w:r w:rsidRPr="00427793">
        <w:rPr>
          <w:b/>
          <w:bCs/>
        </w:rPr>
        <w:t>CBM specific data generation:</w:t>
      </w:r>
      <w:r>
        <w:t xml:space="preserve"> </w:t>
      </w:r>
      <w:r w:rsidRPr="00F8549F">
        <w:t>Clean Energy Department of CMPDI</w:t>
      </w:r>
      <w:r>
        <w:t>L</w:t>
      </w:r>
      <w:r w:rsidRPr="00F8549F">
        <w:t xml:space="preserve"> has taken several initiatives for development of Coal Bed Methane. The department is generating CBM specific data under Promotional/Regional/Detailed Exploration Programme funded by Ministry of Coal (MoC) since Tenth Five Year Plan and creating CBM Data Bank for assessment of CBM potentiality in the coal basins of India.</w:t>
      </w:r>
    </w:p>
    <w:p w14:paraId="3824509D" w14:textId="77777777" w:rsidR="001670B3" w:rsidRPr="00F8549F" w:rsidRDefault="001670B3" w:rsidP="00662938">
      <w:pPr>
        <w:pStyle w:val="ListParagraph"/>
        <w:numPr>
          <w:ilvl w:val="0"/>
          <w:numId w:val="51"/>
        </w:numPr>
        <w:ind w:left="360" w:right="180"/>
      </w:pPr>
      <w:r w:rsidRPr="00427793">
        <w:rPr>
          <w:b/>
          <w:bCs/>
        </w:rPr>
        <w:t>Principal Implementing Agency (PIA) for CIL subsidiaries:</w:t>
      </w:r>
      <w:r>
        <w:t xml:space="preserve"> </w:t>
      </w:r>
      <w:r w:rsidRPr="00F8549F">
        <w:t>Clean Energy Department is also Principal Implementing Agency (PIA) for Development of CBM Projects in CIL Subsidiaries i.e. BCCL, ECL and SECL. Jharia CBM Block-I (under BCCL Leasehold) has been delineated by CMPDI</w:t>
      </w:r>
      <w:r>
        <w:t>L</w:t>
      </w:r>
      <w:r w:rsidRPr="00F8549F">
        <w:t xml:space="preserve"> and successfully awarded to CBM Developer for commercial exploitation of CBM. Presently, Jharia CBM Block-I is under Exploration Phase.</w:t>
      </w:r>
    </w:p>
    <w:p w14:paraId="643577EA" w14:textId="77777777" w:rsidR="001670B3" w:rsidRDefault="001670B3" w:rsidP="00662938">
      <w:pPr>
        <w:pStyle w:val="ListParagraph"/>
        <w:numPr>
          <w:ilvl w:val="0"/>
          <w:numId w:val="51"/>
        </w:numPr>
        <w:ind w:left="360" w:right="180"/>
      </w:pPr>
      <w:r w:rsidRPr="00427793">
        <w:rPr>
          <w:b/>
          <w:bCs/>
        </w:rPr>
        <w:t>Laboratory Studies for Coal Bed Methane and Shale Gas specific studies:</w:t>
      </w:r>
      <w:r>
        <w:t xml:space="preserve"> </w:t>
      </w:r>
      <w:r w:rsidRPr="00F8549F">
        <w:t>Clean Energy Department has a state-of-the-art Laboratory to provide services for CBM and Shale Gas specific analyses. These services include Gas Desorption Tests, Adsorption Isotherm Tests, Gas Composition Analysis, Rock Eval Pyrolysis, Total Organic Carbon (TOC), Helium Porosity &amp; Permeability Tests, Mine Air Sample Analysis etc.</w:t>
      </w:r>
    </w:p>
    <w:p w14:paraId="724646E3" w14:textId="0C61E3D0" w:rsidR="001670B3" w:rsidRPr="00F8549F" w:rsidRDefault="00244013" w:rsidP="00662938">
      <w:pPr>
        <w:ind w:right="180"/>
      </w:pPr>
      <w:r>
        <w:t>CMPDIL</w:t>
      </w:r>
      <w:r w:rsidR="001670B3" w:rsidRPr="00F8549F">
        <w:t xml:space="preserve"> provides consultancy services related to CBM development including CBM specific Data generation, Coal Characterization Studies, Gas Initially in-Place (GIIP) assessment, Reservoir Simulation and Feasibility Studies. The </w:t>
      </w:r>
      <w:r w:rsidR="000413B7">
        <w:t>extensive c</w:t>
      </w:r>
      <w:r w:rsidR="001670B3" w:rsidRPr="00F8549F">
        <w:t>oal</w:t>
      </w:r>
      <w:r w:rsidR="000413B7">
        <w:t xml:space="preserve"> e</w:t>
      </w:r>
      <w:r w:rsidR="001670B3" w:rsidRPr="00F8549F">
        <w:t xml:space="preserve">xploration related </w:t>
      </w:r>
      <w:r w:rsidR="000413B7">
        <w:t>d</w:t>
      </w:r>
      <w:r w:rsidR="001670B3" w:rsidRPr="00F8549F">
        <w:t xml:space="preserve">ata </w:t>
      </w:r>
      <w:r w:rsidR="000413B7">
        <w:t>b</w:t>
      </w:r>
      <w:r w:rsidR="001670B3" w:rsidRPr="00F8549F">
        <w:t>ank of CMPDI</w:t>
      </w:r>
      <w:r w:rsidR="001670B3">
        <w:t>L</w:t>
      </w:r>
      <w:r w:rsidR="001670B3" w:rsidRPr="00F8549F">
        <w:t xml:space="preserve"> enables</w:t>
      </w:r>
      <w:r>
        <w:t xml:space="preserve"> </w:t>
      </w:r>
      <w:r w:rsidR="001670B3" w:rsidRPr="00F8549F">
        <w:t xml:space="preserve">to provide authentic, reliable and expeditious services to </w:t>
      </w:r>
      <w:r w:rsidR="00E02FA8" w:rsidRPr="00F8549F">
        <w:t>meet</w:t>
      </w:r>
      <w:r w:rsidR="001670B3" w:rsidRPr="00F8549F">
        <w:t xml:space="preserve"> customer’s/client’s requirements.</w:t>
      </w:r>
    </w:p>
    <w:p w14:paraId="0D1A6E79" w14:textId="77777777" w:rsidR="001670B3" w:rsidRDefault="001670B3" w:rsidP="001670B3">
      <w:pPr>
        <w:ind w:right="182"/>
      </w:pPr>
      <w:r w:rsidRPr="00F8549F">
        <w:t>Clean Energy Department on behalf of CMPDI</w:t>
      </w:r>
      <w:r>
        <w:t>L</w:t>
      </w:r>
      <w:r w:rsidRPr="00F8549F">
        <w:t xml:space="preserve"> works in co-ordination with Global Methane Initiative (GMI) and United States Environmental Protection Agency (USEPA) for Methane Abatement, Mitigation, Recovery and Utilization to reduce Green House Gas Emissions and promoting sustainable Mining Practices.</w:t>
      </w:r>
      <w:r>
        <w:t xml:space="preserve"> </w:t>
      </w:r>
      <w:r w:rsidRPr="00F8549F">
        <w:t>India CBM/CMM Clearing House was established at CMPDI</w:t>
      </w:r>
      <w:r>
        <w:t>L</w:t>
      </w:r>
      <w:r w:rsidRPr="00F8549F">
        <w:t xml:space="preserve"> HQ, Ranchi in 2008 in pursuance to Memorandum of Understanding (MoU) between Ministry of Coal (MoC) and USEPA in 2006.</w:t>
      </w:r>
    </w:p>
    <w:p w14:paraId="4A0CE31C" w14:textId="77777777" w:rsidR="001670B3" w:rsidRPr="00662938" w:rsidRDefault="001670B3" w:rsidP="00662938">
      <w:pPr>
        <w:pStyle w:val="Body"/>
        <w:rPr>
          <w:b/>
          <w:bCs/>
          <w:color w:val="auto"/>
        </w:rPr>
      </w:pPr>
      <w:r w:rsidRPr="00662938">
        <w:rPr>
          <w:b/>
          <w:bCs/>
          <w:color w:val="auto"/>
        </w:rPr>
        <w:t>Evolving renewable energy market</w:t>
      </w:r>
    </w:p>
    <w:p w14:paraId="6B718A20" w14:textId="13608095" w:rsidR="001670B3" w:rsidRDefault="001670B3" w:rsidP="001670B3">
      <w:pPr>
        <w:ind w:right="182"/>
      </w:pPr>
      <w:r>
        <w:t>Renewable Energy is the future of electrical power at homes, industries and automobiles. It will replace both coal and oil. Among the Renewable Energy, India mostly has potential for Solar and Wind Power. To cater to the huge market for solar power infrastructure, CMPDIL has developed a Solar Cell and trained manpower in designing Solar Power Plants. It can help Coal India achieve its 3000 MW</w:t>
      </w:r>
      <w:r>
        <w:rPr>
          <w:rStyle w:val="FootnoteReference"/>
        </w:rPr>
        <w:footnoteReference w:id="54"/>
      </w:r>
      <w:r>
        <w:t xml:space="preserve"> target of Solar Power. </w:t>
      </w:r>
      <w:r w:rsidR="00CA1F57">
        <w:t>Other consulting organizations</w:t>
      </w:r>
      <w:r>
        <w:t xml:space="preserve"> should explore the market and reach out to other PSUs and clients for consultancy assignments in Solar Power. </w:t>
      </w:r>
    </w:p>
    <w:p w14:paraId="7DCCEF79" w14:textId="739DDA3C" w:rsidR="001670B3" w:rsidRDefault="001670B3" w:rsidP="001670B3">
      <w:pPr>
        <w:ind w:right="182"/>
      </w:pPr>
      <w:r>
        <w:t xml:space="preserve">Wind Power is another area that can be explored to gain expertise in design and engineering. It can be used in suitable conditions over OB Dumps or other feasible land sites. There is also constant evolution in Wind turbine applications making them compact and workable even in </w:t>
      </w:r>
      <w:r w:rsidR="00CC4D7B">
        <w:t>low-speed</w:t>
      </w:r>
      <w:r>
        <w:t xml:space="preserve"> wind conditions.  </w:t>
      </w:r>
    </w:p>
    <w:p w14:paraId="3A0BECEB" w14:textId="1D4286BC" w:rsidR="001670B3" w:rsidRDefault="001670B3" w:rsidP="001670B3">
      <w:pPr>
        <w:ind w:right="182"/>
      </w:pPr>
      <w:r>
        <w:t xml:space="preserve">Solar Powered Pump Storage system is another area that is being explored by CMPDIL for deployment in CIL mining areas for increasing net zero capability as well as gainful utilization of Mining Land where mining is finished. Renewable energy can also be a potential diversification avenue of CIL subsidiaries to gainfully utilize their huge land reserve </w:t>
      </w:r>
      <w:r w:rsidR="00280491">
        <w:t xml:space="preserve">resulting opening of a potential market for the </w:t>
      </w:r>
      <w:r w:rsidR="00CC27EF">
        <w:t>consulting organizations</w:t>
      </w:r>
      <w:r>
        <w:t xml:space="preserve"> </w:t>
      </w:r>
      <w:r w:rsidR="00133AB7">
        <w:t xml:space="preserve">for </w:t>
      </w:r>
      <w:r>
        <w:t>provid</w:t>
      </w:r>
      <w:r w:rsidR="00133AB7">
        <w:t>ing</w:t>
      </w:r>
      <w:r>
        <w:t xml:space="preserve"> total Project Management Consultancy in </w:t>
      </w:r>
      <w:r w:rsidR="00133AB7">
        <w:t>such</w:t>
      </w:r>
      <w:r>
        <w:t xml:space="preserve"> projects</w:t>
      </w:r>
    </w:p>
    <w:p w14:paraId="768CC5DD" w14:textId="77777777" w:rsidR="001670B3" w:rsidRPr="00662938" w:rsidRDefault="001670B3" w:rsidP="00662938">
      <w:pPr>
        <w:pStyle w:val="Body"/>
        <w:rPr>
          <w:b/>
          <w:bCs/>
          <w:color w:val="auto"/>
        </w:rPr>
      </w:pPr>
      <w:r w:rsidRPr="00662938">
        <w:rPr>
          <w:b/>
          <w:bCs/>
          <w:color w:val="auto"/>
        </w:rPr>
        <w:t>Research &amp; Development</w:t>
      </w:r>
    </w:p>
    <w:p w14:paraId="118FAEF7" w14:textId="40D3BF7E" w:rsidR="001670B3" w:rsidRPr="005A7267" w:rsidRDefault="001670B3" w:rsidP="001670B3">
      <w:r>
        <w:t xml:space="preserve">Coal mining in India has traditionally been a labor-intensive industry making it extremely complex and difficult to manage due to socio-political conditions. This opens up a plethora of opportunities for new technology adoption and innovation in the coal as well as other mineral sector as well. This possesses a significant market in </w:t>
      </w:r>
      <w:r w:rsidR="00445878">
        <w:t xml:space="preserve">the </w:t>
      </w:r>
      <w:r>
        <w:t>field for adoption and implementation of niche products developed through continuous research and development efforts</w:t>
      </w:r>
      <w:r w:rsidR="00A74CB1">
        <w:t xml:space="preserve"> optimizing </w:t>
      </w:r>
      <w:r w:rsidR="000F5A0A">
        <w:t xml:space="preserve">the mining most cost effective, </w:t>
      </w:r>
      <w:r>
        <w:t>automated, mechanized, safe</w:t>
      </w:r>
      <w:r w:rsidR="004E3556">
        <w:t xml:space="preserve"> </w:t>
      </w:r>
      <w:r>
        <w:t xml:space="preserve">and environmentally sustainable. </w:t>
      </w:r>
      <w:r w:rsidR="004E3556">
        <w:t>C</w:t>
      </w:r>
      <w:r w:rsidR="00FB4D3F">
        <w:t xml:space="preserve">onsulting organizations </w:t>
      </w:r>
      <w:r w:rsidR="004E3556">
        <w:t xml:space="preserve">upon </w:t>
      </w:r>
      <w:r>
        <w:t xml:space="preserve"> leveraging its significant knowledge base can collaborate with leading scientific institutes and present to them the challenges of mining sector and also coordinate with them during the development of solutions which can be technologically optimum, scalable and cost effective for deployment in mines.</w:t>
      </w:r>
    </w:p>
    <w:p w14:paraId="519E6BCA" w14:textId="77777777" w:rsidR="00AF2577" w:rsidRPr="001670B3" w:rsidRDefault="00AF2577" w:rsidP="00AF2577">
      <w:pPr>
        <w:pStyle w:val="Heading40"/>
      </w:pPr>
      <w:r>
        <w:t xml:space="preserve">Overview of Mining Consultancy Market </w:t>
      </w:r>
    </w:p>
    <w:p w14:paraId="3DEF51C7" w14:textId="1CF64465" w:rsidR="00956DCD" w:rsidRDefault="00956DCD" w:rsidP="008A6BAD">
      <w:pPr>
        <w:rPr>
          <w:szCs w:val="20"/>
        </w:rPr>
      </w:pPr>
      <w:r w:rsidRPr="007778FE">
        <w:t>The mining consultancy market, characterized by its fragmented nature, has been estimated by analyzing key expenditure centers, including Coal India Limited's (CIL) consultancy expenses, the utilization of National Mineral Exploration Trust (NMET) funds for mineral exploration, and the development of commercial coal blocks</w:t>
      </w:r>
      <w:r>
        <w:t xml:space="preserve">. </w:t>
      </w:r>
      <w:r w:rsidRPr="007778FE">
        <w:t>As the largest contributor to coal production, CIL's spending on mining consultancy services is a significant indicator of the market size.</w:t>
      </w:r>
      <w:r>
        <w:t xml:space="preserve"> </w:t>
      </w:r>
      <w:r w:rsidRPr="007778FE">
        <w:t>As a key promoter of mineral exploration in the country, NMET's allocation of funds for this purpose provides valuable insights into the market</w:t>
      </w:r>
      <w:r>
        <w:t xml:space="preserve">. </w:t>
      </w:r>
      <w:r w:rsidRPr="007778FE">
        <w:t>With the government's emphasis on auctioning commercial coal blocks, mining consultancy services are expected to play a crucial role in their exploration and development, further influencing the market size</w:t>
      </w:r>
      <w:r>
        <w:t>.</w:t>
      </w:r>
    </w:p>
    <w:p w14:paraId="220806E0" w14:textId="77777777" w:rsidR="008A6BAD" w:rsidRDefault="008A6BAD" w:rsidP="008A6BAD">
      <w:pPr>
        <w:rPr>
          <w:szCs w:val="20"/>
        </w:rPr>
      </w:pPr>
      <w:r w:rsidRPr="006F61B3">
        <w:rPr>
          <w:szCs w:val="20"/>
        </w:rPr>
        <w:t>Th</w:t>
      </w:r>
      <w:r>
        <w:rPr>
          <w:szCs w:val="20"/>
        </w:rPr>
        <w:t xml:space="preserve">us, the </w:t>
      </w:r>
      <w:r w:rsidRPr="006F61B3">
        <w:rPr>
          <w:szCs w:val="20"/>
        </w:rPr>
        <w:t>estimated market for mining consultancy in value terms was Rs 25,701 million in fiscal 2024 and is projected to grow to Rs 4</w:t>
      </w:r>
      <w:r w:rsidRPr="00DA54D5">
        <w:rPr>
          <w:szCs w:val="20"/>
        </w:rPr>
        <w:t>0,071</w:t>
      </w:r>
      <w:r w:rsidRPr="006F61B3">
        <w:rPr>
          <w:szCs w:val="20"/>
        </w:rPr>
        <w:t xml:space="preserve"> million by fiscal 2030, a 6-year CAGR of </w:t>
      </w:r>
      <w:r w:rsidRPr="00DA54D5">
        <w:rPr>
          <w:szCs w:val="20"/>
        </w:rPr>
        <w:t>7.7</w:t>
      </w:r>
      <w:r w:rsidRPr="006F61B3">
        <w:rPr>
          <w:szCs w:val="20"/>
        </w:rPr>
        <w:t>%.</w:t>
      </w:r>
    </w:p>
    <w:p w14:paraId="28FC91CC" w14:textId="1CD7558D" w:rsidR="008A6BAD" w:rsidRDefault="008A6BAD" w:rsidP="008A6BAD">
      <w:pPr>
        <w:pStyle w:val="Caption"/>
      </w:pPr>
      <w:bookmarkStart w:id="2149" w:name="_Toc198731515"/>
      <w:r>
        <w:t xml:space="preserve">Figure </w:t>
      </w:r>
      <w:r>
        <w:fldChar w:fldCharType="begin"/>
      </w:r>
      <w:r>
        <w:instrText xml:space="preserve"> STYLEREF 1 \s </w:instrText>
      </w:r>
      <w:r>
        <w:fldChar w:fldCharType="separate"/>
      </w:r>
      <w:r w:rsidR="002142B9">
        <w:rPr>
          <w:noProof/>
        </w:rPr>
        <w:t>3</w:t>
      </w:r>
      <w:r>
        <w:fldChar w:fldCharType="end"/>
      </w:r>
      <w:r>
        <w:t>.</w:t>
      </w:r>
      <w:r>
        <w:fldChar w:fldCharType="begin"/>
      </w:r>
      <w:r>
        <w:instrText xml:space="preserve"> SEQ Figure \* ARABIC \s 1 </w:instrText>
      </w:r>
      <w:r>
        <w:fldChar w:fldCharType="separate"/>
      </w:r>
      <w:r w:rsidR="002142B9">
        <w:rPr>
          <w:noProof/>
        </w:rPr>
        <w:t>4</w:t>
      </w:r>
      <w:r>
        <w:fldChar w:fldCharType="end"/>
      </w:r>
      <w:r>
        <w:t xml:space="preserve"> Estimated market for mining consultancy (Rs million)</w:t>
      </w:r>
      <w:bookmarkEnd w:id="2149"/>
    </w:p>
    <w:p w14:paraId="7C721174" w14:textId="77777777" w:rsidR="008A6BAD" w:rsidRPr="008057AB" w:rsidRDefault="008A6BAD" w:rsidP="008A6BAD">
      <w:pPr>
        <w:spacing w:before="0" w:after="0" w:line="240" w:lineRule="auto"/>
        <w:rPr>
          <w:b/>
          <w:bCs/>
          <w:szCs w:val="20"/>
        </w:rPr>
      </w:pPr>
      <w:r>
        <w:rPr>
          <w:b/>
          <w:bCs/>
          <w:noProof/>
          <w:szCs w:val="20"/>
        </w:rPr>
        <w:drawing>
          <wp:inline distT="0" distB="0" distL="0" distR="0" wp14:anchorId="65202F25" wp14:editId="1EBD8578">
            <wp:extent cx="6811010" cy="2107095"/>
            <wp:effectExtent l="0" t="0" r="8890" b="7620"/>
            <wp:docPr id="177937350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1480E2" w14:textId="77777777" w:rsidR="008A6BAD" w:rsidRDefault="008A6BAD" w:rsidP="008A6BAD">
      <w:pPr>
        <w:spacing w:after="0"/>
        <w:rPr>
          <w:i/>
          <w:iCs/>
          <w:sz w:val="16"/>
          <w:szCs w:val="16"/>
        </w:rPr>
      </w:pPr>
      <w:r w:rsidRPr="00C431DC">
        <w:rPr>
          <w:i/>
          <w:iCs/>
          <w:sz w:val="16"/>
          <w:szCs w:val="16"/>
        </w:rPr>
        <w:t xml:space="preserve">Source: </w:t>
      </w:r>
      <w:r>
        <w:rPr>
          <w:i/>
          <w:iCs/>
          <w:sz w:val="16"/>
          <w:szCs w:val="16"/>
        </w:rPr>
        <w:t>Crisil Intelligence</w:t>
      </w:r>
      <w:r w:rsidRPr="00C431DC">
        <w:rPr>
          <w:i/>
          <w:iCs/>
          <w:sz w:val="16"/>
          <w:szCs w:val="16"/>
        </w:rPr>
        <w:t xml:space="preserve"> Consulting</w:t>
      </w:r>
      <w:r>
        <w:rPr>
          <w:i/>
          <w:iCs/>
          <w:sz w:val="16"/>
          <w:szCs w:val="16"/>
        </w:rPr>
        <w:t xml:space="preserve">; P: Projected; </w:t>
      </w:r>
      <w:r w:rsidRPr="00D00AC6">
        <w:rPr>
          <w:i/>
          <w:iCs/>
          <w:sz w:val="16"/>
          <w:szCs w:val="16"/>
        </w:rPr>
        <w:t>Year is fiscal year</w:t>
      </w:r>
    </w:p>
    <w:p w14:paraId="10A12DC1" w14:textId="77777777" w:rsidR="008A6BAD" w:rsidRDefault="008A6BAD" w:rsidP="008A6BAD">
      <w:pPr>
        <w:spacing w:before="0"/>
        <w:rPr>
          <w:i/>
          <w:iCs/>
          <w:sz w:val="16"/>
          <w:szCs w:val="16"/>
        </w:rPr>
      </w:pPr>
      <w:r>
        <w:rPr>
          <w:i/>
          <w:iCs/>
          <w:sz w:val="16"/>
          <w:szCs w:val="16"/>
        </w:rPr>
        <w:t xml:space="preserve">Note: </w:t>
      </w:r>
      <w:r w:rsidRPr="008B3919">
        <w:rPr>
          <w:i/>
          <w:iCs/>
          <w:sz w:val="16"/>
          <w:szCs w:val="16"/>
        </w:rPr>
        <w:t>Consultancy market size has been estimated based on CIL expenditure, NMET fund utilization and development of commercial coal blocks</w:t>
      </w:r>
    </w:p>
    <w:p w14:paraId="1264FBD0" w14:textId="77777777" w:rsidR="008A6BAD" w:rsidRDefault="008A6BAD" w:rsidP="008A6BAD">
      <w:pPr>
        <w:rPr>
          <w:szCs w:val="20"/>
        </w:rPr>
      </w:pPr>
      <w:r w:rsidRPr="00D24F0C">
        <w:rPr>
          <w:szCs w:val="20"/>
        </w:rPr>
        <w:t xml:space="preserve">Considering the major verticals of </w:t>
      </w:r>
      <w:r>
        <w:rPr>
          <w:szCs w:val="20"/>
        </w:rPr>
        <w:t>CMPDIL</w:t>
      </w:r>
      <w:r w:rsidRPr="00D24F0C">
        <w:rPr>
          <w:szCs w:val="20"/>
        </w:rPr>
        <w:t xml:space="preserve">, the estimated market for Planning &amp; Design was Rs 6,263 million, Exploration was Rs 10,717 million, Geomatics was Rs 4,055 million and Environment was Rs 4,666 million in fiscal 2024. The market for Planning &amp; Design, Exploration, Geomatics and Environment is expected to grow to Rs </w:t>
      </w:r>
      <w:r w:rsidRPr="00DA54D5">
        <w:rPr>
          <w:szCs w:val="20"/>
        </w:rPr>
        <w:t>9,765</w:t>
      </w:r>
      <w:r w:rsidRPr="00D24F0C">
        <w:rPr>
          <w:szCs w:val="20"/>
        </w:rPr>
        <w:t xml:space="preserve"> million, Rs 1</w:t>
      </w:r>
      <w:r w:rsidRPr="00DA54D5">
        <w:rPr>
          <w:szCs w:val="20"/>
        </w:rPr>
        <w:t>6,709</w:t>
      </w:r>
      <w:r w:rsidRPr="00D24F0C">
        <w:rPr>
          <w:szCs w:val="20"/>
        </w:rPr>
        <w:t xml:space="preserve"> million, </w:t>
      </w:r>
      <w:r w:rsidRPr="00DA54D5">
        <w:rPr>
          <w:szCs w:val="20"/>
        </w:rPr>
        <w:t xml:space="preserve">Rs </w:t>
      </w:r>
      <w:r w:rsidRPr="00D24F0C">
        <w:rPr>
          <w:szCs w:val="20"/>
        </w:rPr>
        <w:t>6,</w:t>
      </w:r>
      <w:r w:rsidRPr="00DA54D5">
        <w:rPr>
          <w:szCs w:val="20"/>
        </w:rPr>
        <w:t>322</w:t>
      </w:r>
      <w:r w:rsidRPr="00D24F0C">
        <w:rPr>
          <w:szCs w:val="20"/>
        </w:rPr>
        <w:t xml:space="preserve"> million and Rs 7,</w:t>
      </w:r>
      <w:r w:rsidRPr="00DA54D5">
        <w:rPr>
          <w:szCs w:val="20"/>
        </w:rPr>
        <w:t>275</w:t>
      </w:r>
      <w:r w:rsidRPr="00D24F0C">
        <w:rPr>
          <w:szCs w:val="20"/>
        </w:rPr>
        <w:t xml:space="preserve"> million respectively by fiscal 2030.</w:t>
      </w:r>
    </w:p>
    <w:p w14:paraId="471D24F7" w14:textId="546AFCBA" w:rsidR="008A6BAD" w:rsidRDefault="008A6BAD" w:rsidP="008A6BAD">
      <w:pPr>
        <w:pStyle w:val="Caption"/>
      </w:pPr>
      <w:bookmarkStart w:id="2150" w:name="_Toc198731516"/>
      <w:r w:rsidRPr="003D34D8">
        <w:t xml:space="preserve">Figure </w:t>
      </w:r>
      <w:r w:rsidRPr="003D34D8">
        <w:fldChar w:fldCharType="begin"/>
      </w:r>
      <w:r w:rsidRPr="003D34D8">
        <w:instrText xml:space="preserve"> STYLEREF 1 \s </w:instrText>
      </w:r>
      <w:r w:rsidRPr="003D34D8">
        <w:fldChar w:fldCharType="separate"/>
      </w:r>
      <w:r w:rsidR="002142B9">
        <w:rPr>
          <w:noProof/>
        </w:rPr>
        <w:t>3</w:t>
      </w:r>
      <w:r w:rsidRPr="003D34D8">
        <w:fldChar w:fldCharType="end"/>
      </w:r>
      <w:r w:rsidRPr="003D34D8">
        <w:t>.</w:t>
      </w:r>
      <w:r w:rsidRPr="003D34D8">
        <w:fldChar w:fldCharType="begin"/>
      </w:r>
      <w:r w:rsidRPr="003D34D8">
        <w:instrText xml:space="preserve"> SEQ Figure \* ARABIC \s 1 </w:instrText>
      </w:r>
      <w:r w:rsidRPr="003D34D8">
        <w:fldChar w:fldCharType="separate"/>
      </w:r>
      <w:r w:rsidR="002142B9">
        <w:rPr>
          <w:noProof/>
        </w:rPr>
        <w:t>5</w:t>
      </w:r>
      <w:r w:rsidRPr="003D34D8">
        <w:fldChar w:fldCharType="end"/>
      </w:r>
      <w:r w:rsidRPr="003D34D8">
        <w:t xml:space="preserve"> Estimated sector wise market for mining consultancy (Rs million)</w:t>
      </w:r>
      <w:bookmarkEnd w:id="2150"/>
    </w:p>
    <w:p w14:paraId="441FFFBB" w14:textId="77777777" w:rsidR="008A6BAD" w:rsidRPr="008057AB" w:rsidRDefault="008A6BAD" w:rsidP="008A6BAD">
      <w:pPr>
        <w:spacing w:before="0" w:after="0" w:line="240" w:lineRule="auto"/>
        <w:rPr>
          <w:b/>
          <w:bCs/>
          <w:szCs w:val="20"/>
        </w:rPr>
      </w:pPr>
      <w:r>
        <w:rPr>
          <w:b/>
          <w:bCs/>
          <w:noProof/>
          <w:szCs w:val="20"/>
        </w:rPr>
        <w:drawing>
          <wp:inline distT="0" distB="0" distL="0" distR="0" wp14:anchorId="67B61D11" wp14:editId="5085F229">
            <wp:extent cx="6811010" cy="3427012"/>
            <wp:effectExtent l="0" t="0" r="8890" b="2540"/>
            <wp:docPr id="1041883211"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A28745" w14:textId="77777777" w:rsidR="008A6BAD" w:rsidRDefault="008A6BAD" w:rsidP="008A6BAD">
      <w:pPr>
        <w:spacing w:after="0"/>
        <w:rPr>
          <w:i/>
          <w:iCs/>
          <w:sz w:val="16"/>
          <w:szCs w:val="16"/>
        </w:rPr>
      </w:pPr>
      <w:r w:rsidRPr="00C431DC">
        <w:rPr>
          <w:i/>
          <w:iCs/>
          <w:sz w:val="16"/>
          <w:szCs w:val="16"/>
        </w:rPr>
        <w:t xml:space="preserve">Source: </w:t>
      </w:r>
      <w:r>
        <w:rPr>
          <w:i/>
          <w:iCs/>
          <w:sz w:val="16"/>
          <w:szCs w:val="16"/>
        </w:rPr>
        <w:t>Crisil Intelligence</w:t>
      </w:r>
      <w:r w:rsidRPr="00C431DC">
        <w:rPr>
          <w:i/>
          <w:iCs/>
          <w:sz w:val="16"/>
          <w:szCs w:val="16"/>
        </w:rPr>
        <w:t xml:space="preserve"> Consulting</w:t>
      </w:r>
      <w:r>
        <w:rPr>
          <w:i/>
          <w:iCs/>
          <w:sz w:val="16"/>
          <w:szCs w:val="16"/>
        </w:rPr>
        <w:t xml:space="preserve">; P: Projected; </w:t>
      </w:r>
      <w:r w:rsidRPr="00D00AC6">
        <w:rPr>
          <w:i/>
          <w:iCs/>
          <w:sz w:val="16"/>
          <w:szCs w:val="16"/>
        </w:rPr>
        <w:t>Year is fiscal year</w:t>
      </w:r>
    </w:p>
    <w:p w14:paraId="682C2FD7" w14:textId="77777777" w:rsidR="008A6BAD" w:rsidRDefault="008A6BAD" w:rsidP="008A6BAD">
      <w:pPr>
        <w:spacing w:before="0"/>
        <w:rPr>
          <w:i/>
          <w:iCs/>
          <w:sz w:val="16"/>
          <w:szCs w:val="16"/>
        </w:rPr>
      </w:pPr>
      <w:r>
        <w:rPr>
          <w:i/>
          <w:iCs/>
          <w:sz w:val="16"/>
          <w:szCs w:val="16"/>
        </w:rPr>
        <w:t xml:space="preserve">Note: </w:t>
      </w:r>
      <w:r w:rsidRPr="008B3919">
        <w:rPr>
          <w:i/>
          <w:iCs/>
          <w:sz w:val="16"/>
          <w:szCs w:val="16"/>
        </w:rPr>
        <w:t>Consultancy market size has been estimated based on CIL expenditure, NMET fund utilization and development of commercial coal blocks</w:t>
      </w:r>
    </w:p>
    <w:p w14:paraId="3E1D7EA2" w14:textId="77777777" w:rsidR="00DF7303" w:rsidRDefault="00DF7303" w:rsidP="00DF7303">
      <w:pPr>
        <w:pStyle w:val="Heading30"/>
        <w:ind w:hanging="862"/>
      </w:pPr>
      <w:r>
        <w:t>Market assessment of Exploration and Resource Evaluation</w:t>
      </w:r>
    </w:p>
    <w:p w14:paraId="0C8FD828" w14:textId="77777777" w:rsidR="00DF7303" w:rsidRDefault="00DF7303" w:rsidP="00DF7303">
      <w:r>
        <w:t xml:space="preserve">Exploration and resource evaluation are critical stages in mining value chain. </w:t>
      </w:r>
      <w:r w:rsidRPr="009D3F9D">
        <w:t>Resource evaluation involves estimating the quantity and quality of mineral resources, which is essential for determining the economic viability of a mining project.</w:t>
      </w:r>
      <w:r>
        <w:t xml:space="preserve"> </w:t>
      </w:r>
      <w:r w:rsidRPr="009D3F9D">
        <w:t>Exploration helps to reduce the risk associated with mining by providing a better understanding of geology</w:t>
      </w:r>
      <w:r>
        <w:t xml:space="preserve"> and</w:t>
      </w:r>
      <w:r w:rsidRPr="009D3F9D">
        <w:t xml:space="preserve"> mineralization</w:t>
      </w:r>
      <w:r>
        <w:t xml:space="preserve">. </w:t>
      </w:r>
      <w:r w:rsidRPr="008F74AF">
        <w:t xml:space="preserve">The coal mining industry is a significant contributor to the global energy landscape, and India is one of the largest consumers of coal. The government's decision to auction coal blocks has opened up new opportunities for exploration </w:t>
      </w:r>
      <w:r>
        <w:t>followed by</w:t>
      </w:r>
      <w:r w:rsidRPr="008F74AF">
        <w:t xml:space="preserve"> mining. </w:t>
      </w:r>
    </w:p>
    <w:p w14:paraId="05643F11" w14:textId="4730A0D5" w:rsidR="00DF7303" w:rsidRPr="00B42BC7" w:rsidRDefault="00DF7303" w:rsidP="00DF7303">
      <w:r>
        <w:t xml:space="preserve">Considering the data such as </w:t>
      </w:r>
      <w:r w:rsidRPr="008F74AF">
        <w:t>the average borehole density and area of each block</w:t>
      </w:r>
      <w:r>
        <w:t xml:space="preserve"> as published in the Mine Block summaries provided by MoC, Govt. of India through MSTC and “Modified Indian Standard Procedure for Coal Resource Estimation: 20</w:t>
      </w:r>
      <w:r w:rsidR="00906B56">
        <w:t>22</w:t>
      </w:r>
      <w:r>
        <w:t>”</w:t>
      </w:r>
      <w:r w:rsidRPr="008F74AF">
        <w:t xml:space="preserve"> the total number of boreholes </w:t>
      </w:r>
      <w:r>
        <w:t xml:space="preserve">likely </w:t>
      </w:r>
      <w:r w:rsidRPr="008F74AF">
        <w:t xml:space="preserve">required </w:t>
      </w:r>
      <w:r>
        <w:t xml:space="preserve">to be drilled for probing up to G1 level has been estimated along with tentative meterage.  Till date, a total of 848 blocks had been put up for auction through various tranches out of which 130 blocks are successfully auctioned i.e., 15% of the total launched blocks.  Within the 130 successfully </w:t>
      </w:r>
      <w:r w:rsidRPr="00B42BC7">
        <w:t xml:space="preserve">auctioned blocks, 83 blocks are explored, and 47 blocks are under regionally explored i.e., 64% and 36% respectively. </w:t>
      </w:r>
    </w:p>
    <w:p w14:paraId="71D41C0E" w14:textId="6BDB595F" w:rsidR="00DF7303" w:rsidRDefault="00DF7303" w:rsidP="00DF7303">
      <w:pPr>
        <w:pStyle w:val="Caption"/>
      </w:pPr>
      <w:bookmarkStart w:id="2151" w:name="_Toc198731517"/>
      <w:r w:rsidRPr="00B42BC7">
        <w:t xml:space="preserve">Figure </w:t>
      </w:r>
      <w:r w:rsidRPr="00B42BC7">
        <w:fldChar w:fldCharType="begin"/>
      </w:r>
      <w:r w:rsidRPr="00B42BC7">
        <w:instrText xml:space="preserve"> STYLEREF 1 \s </w:instrText>
      </w:r>
      <w:r w:rsidRPr="00B42BC7">
        <w:fldChar w:fldCharType="separate"/>
      </w:r>
      <w:r w:rsidR="002142B9">
        <w:rPr>
          <w:noProof/>
        </w:rPr>
        <w:t>3</w:t>
      </w:r>
      <w:r w:rsidRPr="00B42BC7">
        <w:fldChar w:fldCharType="end"/>
      </w:r>
      <w:r w:rsidRPr="00B42BC7">
        <w:t>.</w:t>
      </w:r>
      <w:r w:rsidRPr="00B42BC7">
        <w:fldChar w:fldCharType="begin"/>
      </w:r>
      <w:r w:rsidRPr="00B42BC7">
        <w:instrText xml:space="preserve"> SEQ Figure \* ARABIC \s 1 </w:instrText>
      </w:r>
      <w:r w:rsidRPr="00B42BC7">
        <w:fldChar w:fldCharType="separate"/>
      </w:r>
      <w:r w:rsidR="002142B9">
        <w:rPr>
          <w:noProof/>
        </w:rPr>
        <w:t>6</w:t>
      </w:r>
      <w:r w:rsidRPr="00B42BC7">
        <w:fldChar w:fldCharType="end"/>
      </w:r>
      <w:r w:rsidRPr="00B42BC7">
        <w:t xml:space="preserve"> Expected drilling market for commercial coal mines (in lakh meters) up to Tranche X of MMDR Act/ Tranche XX of CMSP Act</w:t>
      </w:r>
      <w:bookmarkEnd w:id="2151"/>
    </w:p>
    <w:p w14:paraId="71453DB8" w14:textId="77777777" w:rsidR="00DF7303" w:rsidRPr="008057AB" w:rsidRDefault="00DF7303" w:rsidP="00DF7303">
      <w:pPr>
        <w:spacing w:before="0" w:after="0" w:line="240" w:lineRule="auto"/>
        <w:rPr>
          <w:b/>
          <w:bCs/>
          <w:szCs w:val="20"/>
        </w:rPr>
      </w:pPr>
      <w:r w:rsidRPr="0071600A">
        <w:rPr>
          <w:b/>
          <w:bCs/>
          <w:noProof/>
          <w:szCs w:val="20"/>
        </w:rPr>
        <w:drawing>
          <wp:inline distT="0" distB="0" distL="0" distR="0" wp14:anchorId="2D3AB5DC" wp14:editId="405F8AE5">
            <wp:extent cx="6686550" cy="1844703"/>
            <wp:effectExtent l="0" t="0" r="0" b="3175"/>
            <wp:docPr id="1524531750" name="Chart 1">
              <a:extLst xmlns:a="http://schemas.openxmlformats.org/drawingml/2006/main">
                <a:ext uri="{FF2B5EF4-FFF2-40B4-BE49-F238E27FC236}">
                  <a16:creationId xmlns:a16="http://schemas.microsoft.com/office/drawing/2014/main" id="{A4222177-EA7B-3B94-CFA2-3635EDD7A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5DA6C5" w14:textId="77777777" w:rsidR="00DF7303" w:rsidRDefault="00DF7303" w:rsidP="00DF7303">
      <w:pPr>
        <w:spacing w:after="0"/>
        <w:rPr>
          <w:i/>
          <w:iCs/>
          <w:sz w:val="16"/>
          <w:szCs w:val="16"/>
        </w:rPr>
      </w:pPr>
      <w:r w:rsidRPr="00C431DC">
        <w:rPr>
          <w:i/>
          <w:iCs/>
          <w:sz w:val="16"/>
          <w:szCs w:val="16"/>
        </w:rPr>
        <w:t xml:space="preserve">Source: </w:t>
      </w:r>
      <w:r>
        <w:rPr>
          <w:i/>
          <w:iCs/>
          <w:sz w:val="16"/>
          <w:szCs w:val="16"/>
        </w:rPr>
        <w:t>Crisil Intelligence</w:t>
      </w:r>
      <w:r w:rsidRPr="00C431DC">
        <w:rPr>
          <w:i/>
          <w:iCs/>
          <w:sz w:val="16"/>
          <w:szCs w:val="16"/>
        </w:rPr>
        <w:t xml:space="preserve"> Consulting</w:t>
      </w:r>
      <w:r>
        <w:rPr>
          <w:i/>
          <w:iCs/>
          <w:sz w:val="16"/>
          <w:szCs w:val="16"/>
        </w:rPr>
        <w:t>, all years are fiscal year</w:t>
      </w:r>
    </w:p>
    <w:p w14:paraId="0BD38ED7" w14:textId="77777777" w:rsidR="00DF7303" w:rsidRDefault="00DF7303" w:rsidP="00DF7303">
      <w:r w:rsidRPr="0071600A">
        <w:t xml:space="preserve">The future of the coal mining industry looks promising, with the government's initiatives to increase coal production and reduce imports. </w:t>
      </w:r>
      <w:r>
        <w:t>T</w:t>
      </w:r>
      <w:r w:rsidRPr="0071600A">
        <w:t>he auctioned coal blocks will play a significant role in meeting the country's coal demand.</w:t>
      </w:r>
      <w:r>
        <w:t xml:space="preserve"> </w:t>
      </w:r>
    </w:p>
    <w:p w14:paraId="4E1B7538" w14:textId="678922B6" w:rsidR="00DF7303" w:rsidRDefault="00DF7303" w:rsidP="00DF7303">
      <w:r>
        <w:t xml:space="preserve">From fiscal 2016 to fiscal 2025, </w:t>
      </w:r>
      <w:r w:rsidRPr="00440D11">
        <w:t>a total of 1,296</w:t>
      </w:r>
      <w:r>
        <w:t xml:space="preserve"> non-coal</w:t>
      </w:r>
      <w:r w:rsidRPr="00440D11">
        <w:t xml:space="preserve"> </w:t>
      </w:r>
      <w:r>
        <w:t xml:space="preserve">major </w:t>
      </w:r>
      <w:r w:rsidRPr="00440D11">
        <w:t>mineral</w:t>
      </w:r>
      <w:r>
        <w:t xml:space="preserve"> blocks (excluding critical minerals) were put up for</w:t>
      </w:r>
      <w:r w:rsidRPr="00440D11">
        <w:t xml:space="preserve"> auctions</w:t>
      </w:r>
      <w:r>
        <w:t xml:space="preserve"> by different states</w:t>
      </w:r>
      <w:r w:rsidRPr="00440D11">
        <w:t>, wit</w:t>
      </w:r>
      <w:r>
        <w:t>h</w:t>
      </w:r>
      <w:r w:rsidRPr="00440D11">
        <w:t xml:space="preserve"> </w:t>
      </w:r>
      <w:r>
        <w:t>206</w:t>
      </w:r>
      <w:r w:rsidRPr="00440D11">
        <w:t xml:space="preserve"> </w:t>
      </w:r>
      <w:r>
        <w:t xml:space="preserve">mineral block put up for </w:t>
      </w:r>
      <w:r w:rsidRPr="00440D11">
        <w:t xml:space="preserve">auctions </w:t>
      </w:r>
      <w:r>
        <w:t>in fiscal 2025, which were lower than last two years number of auctions which were 361 and 226 for fiscal 2024 and fiscal 2023</w:t>
      </w:r>
      <w:r w:rsidRPr="00440D11">
        <w:t>. The</w:t>
      </w:r>
      <w:r>
        <w:t xml:space="preserve"> auction</w:t>
      </w:r>
      <w:r w:rsidRPr="00440D11">
        <w:t xml:space="preserve"> data suggests that the mineral auction market has experienced significant growth, with some years </w:t>
      </w:r>
      <w:r>
        <w:t xml:space="preserve">witnessed </w:t>
      </w:r>
      <w:r w:rsidRPr="00440D11">
        <w:t>substantial increases in the number of auctions held.</w:t>
      </w:r>
      <w:r>
        <w:t xml:space="preserve"> Out of these 1296 launched blocks, 441 blocks have been successfully auctioned, out of which 146 are for composite license i.e., 33% and balance 67% for mining lease. Out of the 441 successfully auctioned blocks, massive/ stratified deposits contributed </w:t>
      </w:r>
      <w:r w:rsidR="00201C5A">
        <w:t xml:space="preserve">approximately </w:t>
      </w:r>
      <w:r>
        <w:t xml:space="preserve">74% (iron ore- 29%, limestone- 36% and bauxite- 9%). Other minerals like gold, copper, manganese, diamond, rock phosphate, phosphorite etc. contributes remaining 26%. </w:t>
      </w:r>
    </w:p>
    <w:p w14:paraId="0E6CB825" w14:textId="0BCA4315" w:rsidR="00DF7303" w:rsidRDefault="00DF7303" w:rsidP="00DF7303">
      <w:r>
        <w:t xml:space="preserve">A </w:t>
      </w:r>
      <w:r w:rsidRPr="00092105">
        <w:t>"composite license"</w:t>
      </w:r>
      <w:r>
        <w:t xml:space="preserve"> (CL)</w:t>
      </w:r>
      <w:r w:rsidRPr="00092105">
        <w:t xml:space="preserve"> is a two-stage concession that allows a holder to conduct both prospecting (exploration) and mining operations in a seamless manner, granted through e-auctio</w:t>
      </w:r>
      <w:r>
        <w:t xml:space="preserve">n. </w:t>
      </w:r>
      <w:r w:rsidRPr="00270698">
        <w:t>This is likely to lead to an increase in drilling activity, as companies will need to explore the mineral resources in the allocated blocks to determine their feasibility for mining.</w:t>
      </w:r>
      <w:r>
        <w:t xml:space="preserve"> Out of 146 blocks under CL which were successfully auctioned manganese contributes </w:t>
      </w:r>
      <w:r w:rsidR="00201C5A">
        <w:t xml:space="preserve">approximately </w:t>
      </w:r>
      <w:r>
        <w:t xml:space="preserve">23%, Iron ore contributes </w:t>
      </w:r>
      <w:r w:rsidR="00201C5A">
        <w:t>approximately</w:t>
      </w:r>
      <w:r>
        <w:t xml:space="preserve"> 25%, Gold blocks</w:t>
      </w:r>
      <w:r w:rsidRPr="003D0D69">
        <w:t xml:space="preserve"> </w:t>
      </w:r>
      <w:r>
        <w:t xml:space="preserve">contributes </w:t>
      </w:r>
      <w:r w:rsidR="00201C5A">
        <w:t xml:space="preserve">approximately </w:t>
      </w:r>
      <w:r>
        <w:t xml:space="preserve">10%, Limestone blocks contributes </w:t>
      </w:r>
      <w:r w:rsidR="00201C5A">
        <w:t xml:space="preserve">approximately </w:t>
      </w:r>
      <w:r>
        <w:t xml:space="preserve">11%, bauxite contributes </w:t>
      </w:r>
      <w:r w:rsidR="00201C5A">
        <w:t xml:space="preserve">approximately </w:t>
      </w:r>
      <w:r>
        <w:t>8% and others like phosphorite, copper, base metal, etc.  T</w:t>
      </w:r>
      <w:r w:rsidRPr="00C97CB4">
        <w:t>he various types of surveys a</w:t>
      </w:r>
      <w:r>
        <w:t xml:space="preserve">s per the </w:t>
      </w:r>
      <w:r w:rsidRPr="00350DBA">
        <w:t>Minerals (Evidence of Mineral Contents) Rules</w:t>
      </w:r>
      <w:r>
        <w:t>, 2015 as amended time to time are:</w:t>
      </w:r>
    </w:p>
    <w:p w14:paraId="7BE10BE6" w14:textId="77777777" w:rsidR="00DF7303" w:rsidRDefault="00DF7303" w:rsidP="00662938">
      <w:pPr>
        <w:pStyle w:val="ListParagraph"/>
        <w:numPr>
          <w:ilvl w:val="0"/>
          <w:numId w:val="50"/>
        </w:numPr>
        <w:ind w:left="540"/>
      </w:pPr>
      <w:r w:rsidRPr="00FA0119">
        <w:rPr>
          <w:b/>
          <w:bCs/>
        </w:rPr>
        <w:t>Reconnaissance Survey (G4):</w:t>
      </w:r>
      <w:r>
        <w:t xml:space="preserve"> This stage identifies areas of enhanced mineral potential based on regional geological studies, airborne and indirect methods, preliminary field inspection, and geological inference. The objective is to identify mineralized areas worthy of further investigation.</w:t>
      </w:r>
    </w:p>
    <w:p w14:paraId="03927A0F" w14:textId="77777777" w:rsidR="00DF7303" w:rsidRDefault="00DF7303" w:rsidP="00662938">
      <w:pPr>
        <w:pStyle w:val="ListParagraph"/>
        <w:numPr>
          <w:ilvl w:val="0"/>
          <w:numId w:val="50"/>
        </w:numPr>
        <w:ind w:left="540"/>
      </w:pPr>
      <w:r w:rsidRPr="00FA0119">
        <w:rPr>
          <w:b/>
          <w:bCs/>
        </w:rPr>
        <w:t>Preliminary Exploration (G3):</w:t>
      </w:r>
      <w:r>
        <w:t xml:space="preserve"> This stage involves a systematic search for a mineral deposit, using methods such as surface geological mapping, pitting or trenching, and drilling. The objective is to establish the existence of a mineral deposit and estimate its quantity and grade.</w:t>
      </w:r>
    </w:p>
    <w:p w14:paraId="25613C89" w14:textId="77777777" w:rsidR="00DF7303" w:rsidRDefault="00DF7303" w:rsidP="00662938">
      <w:pPr>
        <w:pStyle w:val="ListParagraph"/>
        <w:numPr>
          <w:ilvl w:val="0"/>
          <w:numId w:val="50"/>
        </w:numPr>
        <w:ind w:left="540"/>
      </w:pPr>
      <w:r w:rsidRPr="00FA0119">
        <w:rPr>
          <w:b/>
          <w:bCs/>
        </w:rPr>
        <w:t>General Exploration (G2):</w:t>
      </w:r>
      <w:r>
        <w:t xml:space="preserve"> This stage involves increasing the geological confidence level and understanding the style and mode of occurrence of mineralization. Methods used include surface geological mapping, pitting or trenching, and drilling, followed by sampling for evaluation of mineral quantity and quality.</w:t>
      </w:r>
    </w:p>
    <w:p w14:paraId="1E5C1842" w14:textId="77777777" w:rsidR="00DF7303" w:rsidRDefault="00DF7303" w:rsidP="00662938">
      <w:pPr>
        <w:pStyle w:val="ListParagraph"/>
        <w:numPr>
          <w:ilvl w:val="0"/>
          <w:numId w:val="50"/>
        </w:numPr>
        <w:ind w:left="540"/>
      </w:pPr>
      <w:r w:rsidRPr="00FA0119">
        <w:rPr>
          <w:b/>
          <w:bCs/>
        </w:rPr>
        <w:t>Detailed Exploration (G1):</w:t>
      </w:r>
      <w:r>
        <w:t xml:space="preserve"> This stage involves a detailed examination of the mineral deposit to determine its size, shape, grade, and other relevant characteristics. The objective is to establish the main geological features of the deposit and estimate the quantity and grade of the mineral resource with a high degree of accuracy.</w:t>
      </w:r>
    </w:p>
    <w:p w14:paraId="4E1B5033" w14:textId="0D51E0C8" w:rsidR="00DF7303" w:rsidRDefault="00DF7303" w:rsidP="00DF7303">
      <w:r w:rsidRPr="00B64E56">
        <w:t>Critical minerals are essential for economic development</w:t>
      </w:r>
      <w:r>
        <w:t>,</w:t>
      </w:r>
      <w:r w:rsidRPr="00B64E56">
        <w:t xml:space="preserve"> technological advancement</w:t>
      </w:r>
      <w:r>
        <w:t xml:space="preserve"> and national security however due to lack of availability and processing difficulties </w:t>
      </w:r>
      <w:r w:rsidR="001C12CC">
        <w:t>lead</w:t>
      </w:r>
      <w:r>
        <w:t xml:space="preserve"> to supply chain vulnerabilities. MoM, Government of India in June 2023 had published “Report of the Committee on Identification of Critical Minerals”, where considering various parameters like high economic importance, high supply risk </w:t>
      </w:r>
      <w:r w:rsidRPr="00B64E56">
        <w:t>ha</w:t>
      </w:r>
      <w:r>
        <w:t>d</w:t>
      </w:r>
      <w:r w:rsidRPr="00B64E56">
        <w:t xml:space="preserve"> identified 30</w:t>
      </w:r>
      <w:r>
        <w:t xml:space="preserve"> minerals as</w:t>
      </w:r>
      <w:r w:rsidRPr="00B64E56">
        <w:t xml:space="preserve"> critical minerals, </w:t>
      </w:r>
      <w:r>
        <w:t>which are</w:t>
      </w:r>
      <w:r w:rsidRPr="00B64E56">
        <w:t xml:space="preserve"> lithium, cobalt, nickel, graphite, rare earth elements (REEs), titanium,</w:t>
      </w:r>
      <w:r>
        <w:t xml:space="preserve"> etc.</w:t>
      </w:r>
      <w:r w:rsidRPr="00B64E56">
        <w:t xml:space="preserve"> </w:t>
      </w:r>
      <w:r>
        <w:t>These critical minerals are</w:t>
      </w:r>
      <w:r w:rsidRPr="00B64E56">
        <w:t xml:space="preserve"> vital for renewable energy, defense, semiconductors, battery technologies</w:t>
      </w:r>
      <w:r>
        <w:t>, etc</w:t>
      </w:r>
      <w:r w:rsidRPr="00B64E56">
        <w:t>.</w:t>
      </w:r>
      <w:r>
        <w:t xml:space="preserve"> Further, MoM Government of</w:t>
      </w:r>
      <w:r w:rsidRPr="00E3060A">
        <w:t xml:space="preserve"> India</w:t>
      </w:r>
      <w:r>
        <w:t xml:space="preserve"> had launched 81 blocks over five tranches</w:t>
      </w:r>
      <w:r w:rsidRPr="00E3060A">
        <w:t xml:space="preserve">, </w:t>
      </w:r>
      <w:r>
        <w:t>out of which</w:t>
      </w:r>
      <w:r w:rsidRPr="00E3060A">
        <w:t xml:space="preserve"> 24 blocks </w:t>
      </w:r>
      <w:r>
        <w:t>have been successfully auctioned</w:t>
      </w:r>
      <w:r w:rsidRPr="00E3060A">
        <w:t>. Out of the</w:t>
      </w:r>
      <w:r>
        <w:t xml:space="preserve"> successfully auctioned blocks</w:t>
      </w:r>
      <w:r w:rsidRPr="00E3060A">
        <w:t>, 20</w:t>
      </w:r>
      <w:r>
        <w:t xml:space="preserve"> blocks </w:t>
      </w:r>
      <w:r w:rsidRPr="00E3060A">
        <w:t xml:space="preserve">have been </w:t>
      </w:r>
      <w:r>
        <w:t>auctioned</w:t>
      </w:r>
      <w:r w:rsidRPr="00E3060A">
        <w:t xml:space="preserve"> as composite licenses, while </w:t>
      </w:r>
      <w:r w:rsidR="001C12CC">
        <w:t>the remaining</w:t>
      </w:r>
      <w:r>
        <w:t xml:space="preserve"> </w:t>
      </w:r>
      <w:r w:rsidRPr="00E3060A">
        <w:t>4</w:t>
      </w:r>
      <w:r>
        <w:t xml:space="preserve"> blocks</w:t>
      </w:r>
      <w:r w:rsidRPr="00E3060A">
        <w:t xml:space="preserve"> </w:t>
      </w:r>
      <w:r>
        <w:t>for</w:t>
      </w:r>
      <w:r w:rsidRPr="00E3060A">
        <w:t xml:space="preserve"> mining leases.</w:t>
      </w:r>
      <w:r>
        <w:t xml:space="preserve"> </w:t>
      </w:r>
    </w:p>
    <w:p w14:paraId="30BAC008" w14:textId="5A5FC050" w:rsidR="00103739" w:rsidRDefault="00DF7303" w:rsidP="00DF7303">
      <w:pPr>
        <w:spacing w:before="0"/>
        <w:rPr>
          <w:i/>
          <w:iCs/>
          <w:sz w:val="16"/>
          <w:szCs w:val="16"/>
        </w:rPr>
      </w:pPr>
      <w:r>
        <w:t>MoM Government of India had recently amended the MMDR Act, 1957 w.e.f. from 17</w:t>
      </w:r>
      <w:r w:rsidRPr="005A7FB3">
        <w:rPr>
          <w:vertAlign w:val="superscript"/>
        </w:rPr>
        <w:t>th</w:t>
      </w:r>
      <w:r>
        <w:t xml:space="preserve"> August 2023 where a new provision for grant of Exploration License has been introduced. As per the amended act, an exploration license may be granted in any area by the State Government for the </w:t>
      </w:r>
      <w:r w:rsidR="001C12CC">
        <w:t>purpose of</w:t>
      </w:r>
      <w:r>
        <w:t xml:space="preserve"> undertaking reconnaissance or prospecting operations or both in respect of any minerals specified in the 7</w:t>
      </w:r>
      <w:r w:rsidRPr="007A6C73">
        <w:rPr>
          <w:vertAlign w:val="superscript"/>
        </w:rPr>
        <w:t>th</w:t>
      </w:r>
      <w:r>
        <w:t xml:space="preserve"> Schedule of the Act. However, upon exercising the power conferred u/s 20A of the MMDR Act, 1957 on 21</w:t>
      </w:r>
      <w:r w:rsidRPr="00305164">
        <w:rPr>
          <w:vertAlign w:val="superscript"/>
        </w:rPr>
        <w:t>st</w:t>
      </w:r>
      <w:r>
        <w:t xml:space="preserve"> October 2024, EL auction process will be conducted by the Central Government through Ministry of Mines, Govt. of India. Till date 13 blocks have been put for auction which are under process.</w:t>
      </w:r>
    </w:p>
    <w:p w14:paraId="36930CB4" w14:textId="77777777" w:rsidR="00FA7E7D" w:rsidRPr="00FE1FE7" w:rsidRDefault="00FA7E7D" w:rsidP="00FA7E7D">
      <w:pPr>
        <w:pStyle w:val="Heading2"/>
        <w:ind w:right="450"/>
      </w:pPr>
      <w:bookmarkStart w:id="2152" w:name="_Toc198730840"/>
      <w:r w:rsidRPr="00FE1FE7">
        <w:t>Market dynamics for mining consultancy sector</w:t>
      </w:r>
      <w:bookmarkEnd w:id="2152"/>
    </w:p>
    <w:p w14:paraId="425B2856" w14:textId="77777777" w:rsidR="00FA7E7D" w:rsidRDefault="00FA7E7D" w:rsidP="00FA7E7D">
      <w:pPr>
        <w:pStyle w:val="Heading30"/>
        <w:tabs>
          <w:tab w:val="left" w:pos="630"/>
        </w:tabs>
        <w:ind w:right="450"/>
      </w:pPr>
      <w:r>
        <w:t>Key drivers and opportunities</w:t>
      </w:r>
    </w:p>
    <w:p w14:paraId="3E274801" w14:textId="77777777" w:rsidR="00FA7E7D" w:rsidRDefault="00FA7E7D" w:rsidP="00FA7E7D">
      <w:pPr>
        <w:pStyle w:val="BodyText"/>
        <w:numPr>
          <w:ilvl w:val="0"/>
          <w:numId w:val="20"/>
        </w:numPr>
        <w:spacing w:after="240"/>
        <w:ind w:left="360" w:right="450"/>
        <w:rPr>
          <w:color w:val="auto"/>
        </w:rPr>
      </w:pPr>
      <w:r>
        <w:rPr>
          <w:b/>
          <w:bCs/>
          <w:color w:val="auto"/>
        </w:rPr>
        <w:t>Industrial growth and urbanization</w:t>
      </w:r>
      <w:r w:rsidRPr="006528A9">
        <w:rPr>
          <w:b/>
          <w:bCs/>
          <w:color w:val="auto"/>
        </w:rPr>
        <w:t>:</w:t>
      </w:r>
      <w:r>
        <w:rPr>
          <w:color w:val="auto"/>
        </w:rPr>
        <w:t xml:space="preserve"> </w:t>
      </w:r>
      <w:r w:rsidRPr="001A45B6">
        <w:rPr>
          <w:color w:val="auto"/>
        </w:rPr>
        <w:t>As industrialization and urbanization accelerate, demand for essential minerals like copper, aluminum, and lithium has surged, driving mining companies to expand operations and explore new sources, with consultancy services in high demand to navigate complexities and optimize resource management</w:t>
      </w:r>
      <w:r w:rsidRPr="00C83DF8">
        <w:rPr>
          <w:color w:val="auto"/>
        </w:rPr>
        <w:t xml:space="preserve">. </w:t>
      </w:r>
    </w:p>
    <w:p w14:paraId="04022343" w14:textId="77777777" w:rsidR="00FA7E7D" w:rsidRPr="00FC4190" w:rsidRDefault="00FA7E7D" w:rsidP="00FA7E7D">
      <w:pPr>
        <w:pStyle w:val="BodyText"/>
        <w:numPr>
          <w:ilvl w:val="0"/>
          <w:numId w:val="20"/>
        </w:numPr>
        <w:ind w:left="284" w:right="450"/>
        <w:rPr>
          <w:color w:val="auto"/>
        </w:rPr>
      </w:pPr>
      <w:r>
        <w:rPr>
          <w:b/>
          <w:bCs/>
          <w:color w:val="auto"/>
        </w:rPr>
        <w:t>C</w:t>
      </w:r>
      <w:r w:rsidRPr="00D07DFD">
        <w:rPr>
          <w:b/>
          <w:bCs/>
          <w:color w:val="auto"/>
        </w:rPr>
        <w:t xml:space="preserve">hanges in </w:t>
      </w:r>
      <w:r>
        <w:rPr>
          <w:b/>
          <w:bCs/>
          <w:color w:val="auto"/>
        </w:rPr>
        <w:t>m</w:t>
      </w:r>
      <w:r w:rsidRPr="00D07DFD">
        <w:rPr>
          <w:b/>
          <w:bCs/>
          <w:color w:val="auto"/>
        </w:rPr>
        <w:t xml:space="preserve">ining </w:t>
      </w:r>
      <w:r>
        <w:rPr>
          <w:b/>
          <w:bCs/>
          <w:color w:val="auto"/>
        </w:rPr>
        <w:t>r</w:t>
      </w:r>
      <w:r w:rsidRPr="00D07DFD">
        <w:rPr>
          <w:b/>
          <w:bCs/>
          <w:color w:val="auto"/>
        </w:rPr>
        <w:t xml:space="preserve">egulations and </w:t>
      </w:r>
      <w:r>
        <w:rPr>
          <w:b/>
          <w:bCs/>
          <w:color w:val="auto"/>
        </w:rPr>
        <w:t>p</w:t>
      </w:r>
      <w:r w:rsidRPr="00D07DFD">
        <w:rPr>
          <w:b/>
          <w:bCs/>
          <w:color w:val="auto"/>
        </w:rPr>
        <w:t>olicies:</w:t>
      </w:r>
      <w:r>
        <w:rPr>
          <w:color w:val="auto"/>
        </w:rPr>
        <w:t xml:space="preserve"> </w:t>
      </w:r>
      <w:r w:rsidRPr="00BF7AF5">
        <w:rPr>
          <w:color w:val="auto"/>
        </w:rPr>
        <w:t>Frequent changes in mining regulations drive the consultancy market, as companies need expert guidance to adapt to new environmental, safety, and operational standards, with governments like India's launching initiatives like the National Critical Mineral Mission to ensure mineral supply security and promote sustainable mining practices.</w:t>
      </w:r>
      <w:r>
        <w:rPr>
          <w:color w:val="auto"/>
        </w:rPr>
        <w:t xml:space="preserve"> </w:t>
      </w:r>
      <w:r w:rsidRPr="00481E1B">
        <w:rPr>
          <w:color w:val="auto"/>
        </w:rPr>
        <w:t xml:space="preserve">Under this mission, the Geological Survey of India (GSI) has been tasked with conducting 1,200 exploration projects from </w:t>
      </w:r>
      <w:r>
        <w:rPr>
          <w:color w:val="auto"/>
        </w:rPr>
        <w:t>fiscal 2025</w:t>
      </w:r>
      <w:r w:rsidRPr="00481E1B">
        <w:rPr>
          <w:color w:val="auto"/>
        </w:rPr>
        <w:t xml:space="preserve"> to</w:t>
      </w:r>
      <w:r>
        <w:rPr>
          <w:color w:val="auto"/>
        </w:rPr>
        <w:t xml:space="preserve"> fiscal</w:t>
      </w:r>
      <w:r w:rsidRPr="00481E1B">
        <w:rPr>
          <w:color w:val="auto"/>
        </w:rPr>
        <w:t xml:space="preserve"> 2031</w:t>
      </w:r>
      <w:r>
        <w:rPr>
          <w:color w:val="auto"/>
        </w:rPr>
        <w:t xml:space="preserve">. Under this mission, </w:t>
      </w:r>
      <w:r w:rsidRPr="00FC4190">
        <w:rPr>
          <w:color w:val="auto"/>
        </w:rPr>
        <w:t>India will invest in exploring and acquiring critical mineral assets in resource-rich countries. PSUs</w:t>
      </w:r>
      <w:r>
        <w:rPr>
          <w:color w:val="auto"/>
        </w:rPr>
        <w:t xml:space="preserve"> </w:t>
      </w:r>
      <w:r w:rsidRPr="00FC4190">
        <w:rPr>
          <w:color w:val="auto"/>
        </w:rPr>
        <w:t>and private firms will be supported through funding, guidelines, and inter-ministerial coordination.</w:t>
      </w:r>
      <w:r>
        <w:rPr>
          <w:color w:val="auto"/>
        </w:rPr>
        <w:t xml:space="preserve"> </w:t>
      </w:r>
    </w:p>
    <w:p w14:paraId="610F6D19" w14:textId="77777777" w:rsidR="00FA7E7D" w:rsidRDefault="00FA7E7D" w:rsidP="00FA7E7D">
      <w:pPr>
        <w:pStyle w:val="ListParagraph"/>
        <w:numPr>
          <w:ilvl w:val="0"/>
          <w:numId w:val="20"/>
        </w:numPr>
        <w:ind w:left="284" w:right="450"/>
        <w:contextualSpacing w:val="0"/>
        <w:rPr>
          <w:rFonts w:eastAsia="Calibri"/>
          <w:szCs w:val="20"/>
          <w:lang w:val="en-GB"/>
        </w:rPr>
      </w:pPr>
      <w:r>
        <w:rPr>
          <w:rFonts w:eastAsia="Calibri"/>
          <w:b/>
          <w:bCs/>
          <w:szCs w:val="20"/>
          <w:lang w:val="en-GB"/>
        </w:rPr>
        <w:t>I</w:t>
      </w:r>
      <w:r w:rsidRPr="00957EC7">
        <w:rPr>
          <w:rFonts w:eastAsia="Calibri"/>
          <w:b/>
          <w:bCs/>
          <w:szCs w:val="20"/>
          <w:lang w:val="en-GB"/>
        </w:rPr>
        <w:t>ntegration of digital technologies</w:t>
      </w:r>
      <w:r w:rsidRPr="00DA1D7D">
        <w:rPr>
          <w:rFonts w:eastAsia="Calibri"/>
          <w:b/>
          <w:bCs/>
          <w:szCs w:val="20"/>
          <w:lang w:val="en-GB"/>
        </w:rPr>
        <w:t>:</w:t>
      </w:r>
      <w:r w:rsidRPr="00DA1D7D">
        <w:rPr>
          <w:rFonts w:eastAsia="Calibri"/>
          <w:szCs w:val="20"/>
          <w:lang w:val="en-GB"/>
        </w:rPr>
        <w:t xml:space="preserve"> </w:t>
      </w:r>
      <w:r w:rsidRPr="00455E73">
        <w:rPr>
          <w:rFonts w:eastAsia="Calibri"/>
          <w:szCs w:val="20"/>
        </w:rPr>
        <w:t>The mining sector is undergoing significant technological advancements</w:t>
      </w:r>
      <w:r>
        <w:rPr>
          <w:rFonts w:eastAsia="Calibri"/>
          <w:szCs w:val="20"/>
        </w:rPr>
        <w:t xml:space="preserve"> through</w:t>
      </w:r>
      <w:r w:rsidRPr="00455E73">
        <w:rPr>
          <w:rFonts w:eastAsia="Calibri"/>
          <w:szCs w:val="20"/>
        </w:rPr>
        <w:t xml:space="preserve"> automation, data analytics, and artificial intelligence. </w:t>
      </w:r>
      <w:r w:rsidRPr="00C05941">
        <w:rPr>
          <w:rFonts w:eastAsia="Calibri"/>
          <w:szCs w:val="20"/>
        </w:rPr>
        <w:t xml:space="preserve">As the demand for these innovations grows, the need for expertise in deploying and optimizing </w:t>
      </w:r>
      <w:r>
        <w:rPr>
          <w:rFonts w:eastAsia="Calibri"/>
          <w:szCs w:val="20"/>
        </w:rPr>
        <w:t>such technological advancements</w:t>
      </w:r>
      <w:r w:rsidRPr="00C05941">
        <w:rPr>
          <w:rFonts w:eastAsia="Calibri"/>
          <w:szCs w:val="20"/>
        </w:rPr>
        <w:t xml:space="preserve"> will drive the demand for mining consulting </w:t>
      </w:r>
      <w:r>
        <w:rPr>
          <w:rFonts w:eastAsia="Calibri"/>
          <w:szCs w:val="20"/>
        </w:rPr>
        <w:t xml:space="preserve">firms specialized in providing such </w:t>
      </w:r>
      <w:r w:rsidRPr="00C05941">
        <w:rPr>
          <w:rFonts w:eastAsia="Calibri"/>
          <w:szCs w:val="20"/>
        </w:rPr>
        <w:t>services</w:t>
      </w:r>
      <w:r w:rsidRPr="00DA1D7D" w:rsidDel="006435BD">
        <w:rPr>
          <w:rFonts w:eastAsia="Calibri"/>
          <w:szCs w:val="20"/>
          <w:lang w:val="en-GB"/>
        </w:rPr>
        <w:t xml:space="preserve"> </w:t>
      </w:r>
    </w:p>
    <w:p w14:paraId="27D934EC" w14:textId="77777777" w:rsidR="00FA7E7D" w:rsidRDefault="00FA7E7D" w:rsidP="00FA7E7D">
      <w:pPr>
        <w:pStyle w:val="ListParagraph"/>
        <w:numPr>
          <w:ilvl w:val="0"/>
          <w:numId w:val="20"/>
        </w:numPr>
        <w:ind w:left="360" w:right="450"/>
        <w:contextualSpacing w:val="0"/>
        <w:rPr>
          <w:rFonts w:eastAsia="Calibri"/>
          <w:szCs w:val="20"/>
          <w:lang w:val="en-GB"/>
        </w:rPr>
      </w:pPr>
      <w:r>
        <w:rPr>
          <w:rFonts w:eastAsia="Calibri"/>
          <w:b/>
          <w:bCs/>
          <w:szCs w:val="20"/>
          <w:lang w:val="en-GB"/>
        </w:rPr>
        <w:t>N</w:t>
      </w:r>
      <w:r w:rsidRPr="00BA2DE1">
        <w:rPr>
          <w:rFonts w:eastAsia="Calibri"/>
          <w:b/>
          <w:bCs/>
          <w:szCs w:val="20"/>
          <w:lang w:val="en-GB"/>
        </w:rPr>
        <w:t>ew mining initiatives:</w:t>
      </w:r>
      <w:r w:rsidRPr="00BA2DE1">
        <w:rPr>
          <w:rFonts w:eastAsia="Calibri"/>
          <w:szCs w:val="20"/>
          <w:lang w:val="en-GB"/>
        </w:rPr>
        <w:t xml:space="preserve"> </w:t>
      </w:r>
      <w:r>
        <w:rPr>
          <w:rFonts w:eastAsia="Calibri"/>
          <w:szCs w:val="20"/>
          <w:lang w:val="en-GB"/>
        </w:rPr>
        <w:t>Implementation</w:t>
      </w:r>
      <w:r w:rsidRPr="00BA2DE1">
        <w:rPr>
          <w:rFonts w:eastAsia="Calibri"/>
          <w:szCs w:val="20"/>
          <w:lang w:val="en-GB"/>
        </w:rPr>
        <w:t xml:space="preserve"> of new mining operations and an increase in exploratory efforts could be prompted by the growing demand for minerals. This tendency </w:t>
      </w:r>
      <w:r>
        <w:rPr>
          <w:rFonts w:eastAsia="Calibri"/>
          <w:szCs w:val="20"/>
          <w:lang w:val="en-GB"/>
        </w:rPr>
        <w:t>will</w:t>
      </w:r>
      <w:r w:rsidRPr="00BA2DE1">
        <w:rPr>
          <w:rFonts w:eastAsia="Calibri"/>
          <w:szCs w:val="20"/>
          <w:lang w:val="en-GB"/>
        </w:rPr>
        <w:t xml:space="preserve"> be advantageous for consulting firms that specialize in project management, feasibility assessments, and geological surveys.</w:t>
      </w:r>
      <w:r>
        <w:rPr>
          <w:rFonts w:eastAsia="Calibri"/>
          <w:szCs w:val="20"/>
          <w:lang w:val="en-GB"/>
        </w:rPr>
        <w:t xml:space="preserve"> </w:t>
      </w:r>
    </w:p>
    <w:p w14:paraId="52CFF73B" w14:textId="77777777" w:rsidR="00FA7E7D" w:rsidRDefault="00FA7E7D" w:rsidP="00FA7E7D">
      <w:pPr>
        <w:pStyle w:val="ListParagraph"/>
        <w:numPr>
          <w:ilvl w:val="0"/>
          <w:numId w:val="20"/>
        </w:numPr>
        <w:ind w:left="360" w:right="450"/>
        <w:contextualSpacing w:val="0"/>
        <w:rPr>
          <w:rFonts w:eastAsia="Calibri"/>
          <w:szCs w:val="20"/>
          <w:lang w:val="en-GB"/>
        </w:rPr>
      </w:pPr>
      <w:r>
        <w:rPr>
          <w:rFonts w:eastAsia="Calibri"/>
          <w:b/>
          <w:bCs/>
          <w:szCs w:val="20"/>
          <w:lang w:val="en-GB"/>
        </w:rPr>
        <w:t xml:space="preserve">Technological changes- </w:t>
      </w:r>
      <w:r>
        <w:rPr>
          <w:rFonts w:eastAsia="Calibri"/>
          <w:szCs w:val="20"/>
          <w:lang w:val="en-GB"/>
        </w:rPr>
        <w:t>T</w:t>
      </w:r>
      <w:r w:rsidRPr="00FF5E7F">
        <w:rPr>
          <w:rFonts w:eastAsia="Calibri"/>
          <w:szCs w:val="20"/>
          <w:lang w:val="en-GB"/>
        </w:rPr>
        <w:t xml:space="preserve">he </w:t>
      </w:r>
      <w:r>
        <w:rPr>
          <w:rFonts w:eastAsia="Calibri"/>
          <w:szCs w:val="20"/>
          <w:lang w:val="en-GB"/>
        </w:rPr>
        <w:t xml:space="preserve">mining landscape of </w:t>
      </w:r>
      <w:r w:rsidRPr="00FF5E7F">
        <w:rPr>
          <w:rFonts w:eastAsia="Calibri"/>
          <w:szCs w:val="20"/>
          <w:lang w:val="en-GB"/>
        </w:rPr>
        <w:t>critical minerals is undergoing a significant transformation, driven by emerging technologies and regulatory changes. Consulting firms are well-positioned to help companies navigate this transformation, streamlining processes, improving efficiency, and reducing risks.</w:t>
      </w:r>
    </w:p>
    <w:p w14:paraId="0F4C86CD" w14:textId="77777777" w:rsidR="00FA7E7D" w:rsidRPr="00AA3B07" w:rsidRDefault="00FA7E7D" w:rsidP="00FA7E7D">
      <w:pPr>
        <w:pStyle w:val="ListParagraph"/>
        <w:numPr>
          <w:ilvl w:val="0"/>
          <w:numId w:val="20"/>
        </w:numPr>
        <w:ind w:left="360" w:right="450"/>
        <w:rPr>
          <w:rFonts w:eastAsia="Calibri"/>
          <w:szCs w:val="20"/>
        </w:rPr>
      </w:pPr>
      <w:r>
        <w:rPr>
          <w:rFonts w:eastAsia="Calibri"/>
          <w:b/>
          <w:bCs/>
          <w:szCs w:val="20"/>
          <w:lang w:val="en-GB"/>
        </w:rPr>
        <w:t>Environment sustainability-</w:t>
      </w:r>
      <w:r>
        <w:rPr>
          <w:rFonts w:eastAsia="Calibri"/>
          <w:szCs w:val="20"/>
          <w:lang w:val="en-GB"/>
        </w:rPr>
        <w:t xml:space="preserve"> </w:t>
      </w:r>
      <w:r w:rsidRPr="00213B5D">
        <w:rPr>
          <w:rFonts w:eastAsia="Calibri"/>
          <w:szCs w:val="20"/>
        </w:rPr>
        <w:t>Mining consulting firms can assist mining companies in reducing their environmental footprint by providing expertise in areas such as environmental impact assessments, sustainability reporting, and compliance with environmental regulations. They can also help companies develop and implement strategies for reducing energy consumption, water usage, and waste management.</w:t>
      </w:r>
    </w:p>
    <w:p w14:paraId="05DC1D53" w14:textId="77777777" w:rsidR="00FA7E7D" w:rsidRDefault="00FA7E7D" w:rsidP="00FA7E7D">
      <w:pPr>
        <w:pStyle w:val="Heading30"/>
        <w:ind w:right="450"/>
      </w:pPr>
      <w:r>
        <w:t>Key restraints and challenges</w:t>
      </w:r>
    </w:p>
    <w:p w14:paraId="685DAB21" w14:textId="77777777" w:rsidR="00FA7E7D" w:rsidRDefault="00FA7E7D" w:rsidP="00FA7E7D">
      <w:pPr>
        <w:pStyle w:val="ListParagraph"/>
        <w:numPr>
          <w:ilvl w:val="0"/>
          <w:numId w:val="21"/>
        </w:numPr>
        <w:ind w:left="360" w:right="450"/>
        <w:contextualSpacing w:val="0"/>
        <w:rPr>
          <w:lang w:val="en-GB"/>
        </w:rPr>
      </w:pPr>
      <w:r>
        <w:rPr>
          <w:b/>
          <w:bCs/>
          <w:lang w:val="en-GB"/>
        </w:rPr>
        <w:t>High competition</w:t>
      </w:r>
      <w:r w:rsidRPr="008734AF">
        <w:rPr>
          <w:b/>
          <w:bCs/>
          <w:lang w:val="en-GB"/>
        </w:rPr>
        <w:t>:</w:t>
      </w:r>
      <w:r>
        <w:rPr>
          <w:b/>
          <w:bCs/>
          <w:lang w:val="en-GB"/>
        </w:rPr>
        <w:t xml:space="preserve"> </w:t>
      </w:r>
      <w:r w:rsidRPr="003217AC">
        <w:rPr>
          <w:lang w:val="en-GB"/>
        </w:rPr>
        <w:t xml:space="preserve">The mining consulting market has seen a significant rise in independent consulting firms, offering specialized services </w:t>
      </w:r>
      <w:r>
        <w:rPr>
          <w:lang w:val="en-GB"/>
        </w:rPr>
        <w:t xml:space="preserve">thereby </w:t>
      </w:r>
      <w:r w:rsidRPr="003217AC">
        <w:rPr>
          <w:lang w:val="en-GB"/>
        </w:rPr>
        <w:t>increasing competition. This surge in competition drives down prices, squeezes margins, and makes it difficult for firms to maintain profitability. The increased competition also leads to a talent war, driving up salaries and benefits, and fragmenting the market, making it harder for clients to find the right firm. This poses a challenge for the consulting market as a whole, particularly for smaller and mid-sized firms.</w:t>
      </w:r>
    </w:p>
    <w:p w14:paraId="6C7AF0BF" w14:textId="77777777" w:rsidR="00FA7E7D" w:rsidRPr="00955211" w:rsidRDefault="00FA7E7D" w:rsidP="00FA7E7D">
      <w:pPr>
        <w:pStyle w:val="ListParagraph"/>
        <w:numPr>
          <w:ilvl w:val="0"/>
          <w:numId w:val="21"/>
        </w:numPr>
        <w:ind w:left="360" w:right="450"/>
        <w:contextualSpacing w:val="0"/>
        <w:rPr>
          <w:lang w:val="en-GB"/>
        </w:rPr>
      </w:pPr>
      <w:r w:rsidRPr="00955211">
        <w:rPr>
          <w:b/>
          <w:bCs/>
          <w:lang w:val="en-GB"/>
        </w:rPr>
        <w:t xml:space="preserve">Variable </w:t>
      </w:r>
      <w:r>
        <w:rPr>
          <w:b/>
          <w:bCs/>
          <w:lang w:val="en-GB"/>
        </w:rPr>
        <w:t>p</w:t>
      </w:r>
      <w:r w:rsidRPr="00955211">
        <w:rPr>
          <w:b/>
          <w:bCs/>
          <w:lang w:val="en-GB"/>
        </w:rPr>
        <w:t xml:space="preserve">rices for </w:t>
      </w:r>
      <w:r>
        <w:rPr>
          <w:b/>
          <w:bCs/>
          <w:lang w:val="en-GB"/>
        </w:rPr>
        <w:t>c</w:t>
      </w:r>
      <w:r w:rsidRPr="00955211">
        <w:rPr>
          <w:b/>
          <w:bCs/>
          <w:lang w:val="en-GB"/>
        </w:rPr>
        <w:t>ommodities:</w:t>
      </w:r>
      <w:r w:rsidRPr="00955211">
        <w:rPr>
          <w:lang w:val="en-GB"/>
        </w:rPr>
        <w:t xml:space="preserve"> The performance of the mining sector, which is greatly impacted by the prices of commodities </w:t>
      </w:r>
      <w:r>
        <w:rPr>
          <w:lang w:val="en-GB"/>
        </w:rPr>
        <w:t>(coal, iron, copper, zinc etc.). These prices</w:t>
      </w:r>
      <w:r w:rsidRPr="00955211">
        <w:rPr>
          <w:lang w:val="en-GB"/>
        </w:rPr>
        <w:t xml:space="preserve"> </w:t>
      </w:r>
      <w:r>
        <w:rPr>
          <w:lang w:val="en-GB"/>
        </w:rPr>
        <w:t xml:space="preserve">are extremely fluctuating due to multiple factors such as geo- politial tensions, sluggish demand, oversupply etc. These price fluctuations greatly impact the revenue of the mining sector which in turn is </w:t>
      </w:r>
      <w:r w:rsidRPr="00955211">
        <w:rPr>
          <w:lang w:val="en-GB"/>
        </w:rPr>
        <w:t xml:space="preserve">linked to the </w:t>
      </w:r>
      <w:r>
        <w:rPr>
          <w:lang w:val="en-GB"/>
        </w:rPr>
        <w:t>revenue</w:t>
      </w:r>
      <w:r w:rsidRPr="00955211">
        <w:rPr>
          <w:lang w:val="en-GB"/>
        </w:rPr>
        <w:t xml:space="preserve"> of </w:t>
      </w:r>
      <w:r>
        <w:rPr>
          <w:lang w:val="en-GB"/>
        </w:rPr>
        <w:t xml:space="preserve">the </w:t>
      </w:r>
      <w:r w:rsidRPr="00955211">
        <w:rPr>
          <w:lang w:val="en-GB"/>
        </w:rPr>
        <w:t xml:space="preserve">mining consulting services. </w:t>
      </w:r>
    </w:p>
    <w:p w14:paraId="4372AE79" w14:textId="77777777" w:rsidR="00FA7E7D" w:rsidRPr="00494023" w:rsidRDefault="00FA7E7D" w:rsidP="00FA7E7D">
      <w:pPr>
        <w:pStyle w:val="ListParagraph"/>
        <w:numPr>
          <w:ilvl w:val="0"/>
          <w:numId w:val="21"/>
        </w:numPr>
        <w:ind w:left="360" w:right="450"/>
        <w:contextualSpacing w:val="0"/>
        <w:rPr>
          <w:lang w:val="en-GB"/>
        </w:rPr>
      </w:pPr>
      <w:r w:rsidRPr="00957EC7">
        <w:rPr>
          <w:b/>
          <w:bCs/>
          <w:lang w:val="en-GB"/>
        </w:rPr>
        <w:t xml:space="preserve">Capital </w:t>
      </w:r>
      <w:r>
        <w:rPr>
          <w:b/>
          <w:bCs/>
          <w:lang w:val="en-GB"/>
        </w:rPr>
        <w:t>i</w:t>
      </w:r>
      <w:r w:rsidRPr="00957EC7">
        <w:rPr>
          <w:b/>
          <w:bCs/>
          <w:lang w:val="en-GB"/>
        </w:rPr>
        <w:t>ntensity:</w:t>
      </w:r>
      <w:r w:rsidRPr="00A5068C">
        <w:rPr>
          <w:lang w:val="en-GB"/>
        </w:rPr>
        <w:t xml:space="preserve"> Significant capital investments are frequently needed for mining enterprises. Securing funding for mining projects can become difficult during times of economic downturn or severe financial conditions, which can affect the need for mining consulting services generally.</w:t>
      </w:r>
    </w:p>
    <w:p w14:paraId="219C1EC4" w14:textId="77777777" w:rsidR="00FA7E7D" w:rsidRPr="00957EC7" w:rsidRDefault="00FA7E7D" w:rsidP="00FA7E7D">
      <w:pPr>
        <w:numPr>
          <w:ilvl w:val="0"/>
          <w:numId w:val="21"/>
        </w:numPr>
        <w:shd w:val="clear" w:color="auto" w:fill="FFFFFF"/>
        <w:ind w:left="360" w:right="450"/>
        <w:rPr>
          <w:lang w:val="en-GB"/>
        </w:rPr>
      </w:pPr>
      <w:r w:rsidRPr="00523DCA">
        <w:rPr>
          <w:b/>
          <w:bCs/>
          <w:lang w:val="en-GB"/>
        </w:rPr>
        <w:t>S</w:t>
      </w:r>
      <w:r>
        <w:rPr>
          <w:b/>
          <w:bCs/>
          <w:lang w:val="en-GB"/>
        </w:rPr>
        <w:t>killed manpower</w:t>
      </w:r>
      <w:r w:rsidRPr="00523DCA">
        <w:rPr>
          <w:b/>
          <w:bCs/>
          <w:lang w:val="en-GB"/>
        </w:rPr>
        <w:t>:</w:t>
      </w:r>
      <w:r w:rsidRPr="004B6CF9">
        <w:rPr>
          <w:rFonts w:ascii="Inter" w:hAnsi="Inter"/>
          <w:color w:val="020202"/>
          <w:spacing w:val="2"/>
          <w:sz w:val="23"/>
          <w:szCs w:val="23"/>
          <w:shd w:val="clear" w:color="auto" w:fill="F8F8F8"/>
        </w:rPr>
        <w:t xml:space="preserve"> </w:t>
      </w:r>
      <w:r>
        <w:t xml:space="preserve">Considering the dynamicity of the mining industry with regular technological upgradations require continuous up- skilling of professional working in various consulting agencies to keep pace with the change. Continuous up-skilling is cost intensive, which sometimes becomes challenging for consulting houses to imbibe. Further, </w:t>
      </w:r>
      <w:r w:rsidRPr="004B6CF9">
        <w:t xml:space="preserve">mining companies </w:t>
      </w:r>
      <w:r>
        <w:t xml:space="preserve">also intends to </w:t>
      </w:r>
      <w:r w:rsidRPr="004B6CF9">
        <w:t>hire skilled professionals</w:t>
      </w:r>
      <w:r>
        <w:t xml:space="preserve"> to </w:t>
      </w:r>
      <w:r w:rsidRPr="004B6CF9">
        <w:t xml:space="preserve">reduce </w:t>
      </w:r>
      <w:r>
        <w:t>its</w:t>
      </w:r>
      <w:r w:rsidRPr="004B6CF9">
        <w:t xml:space="preserve"> reliance on external consult</w:t>
      </w:r>
      <w:r>
        <w:t>ing agencies</w:t>
      </w:r>
      <w:r w:rsidRPr="004B6CF9">
        <w:t xml:space="preserve">, creating in-house teams that compete with consulting firms. This can lead to a decline in demand for consulting services, making it challenging for firms to </w:t>
      </w:r>
      <w:r>
        <w:t>retain</w:t>
      </w:r>
      <w:r w:rsidRPr="004B6CF9">
        <w:t xml:space="preserve"> market share</w:t>
      </w:r>
      <w:r w:rsidRPr="004B6CF9">
        <w:rPr>
          <w:b/>
          <w:bCs/>
        </w:rPr>
        <w:t>.</w:t>
      </w:r>
      <w:r w:rsidRPr="00523DCA">
        <w:rPr>
          <w:lang w:val="en-GB"/>
        </w:rPr>
        <w:t> </w:t>
      </w:r>
    </w:p>
    <w:p w14:paraId="7D5511A0" w14:textId="77777777" w:rsidR="00FA7E7D" w:rsidRPr="001D714A" w:rsidRDefault="00FA7E7D" w:rsidP="00FA7E7D">
      <w:pPr>
        <w:pStyle w:val="ListParagraph"/>
        <w:numPr>
          <w:ilvl w:val="0"/>
          <w:numId w:val="21"/>
        </w:numPr>
        <w:ind w:left="360" w:right="450"/>
        <w:contextualSpacing w:val="0"/>
        <w:rPr>
          <w:lang w:val="en-GB"/>
        </w:rPr>
      </w:pPr>
      <w:r w:rsidRPr="001D714A">
        <w:rPr>
          <w:b/>
          <w:bCs/>
          <w:lang w:val="en-GB"/>
        </w:rPr>
        <w:t xml:space="preserve">Risk </w:t>
      </w:r>
      <w:r>
        <w:rPr>
          <w:b/>
          <w:bCs/>
          <w:lang w:val="en-GB"/>
        </w:rPr>
        <w:t>c</w:t>
      </w:r>
      <w:r w:rsidRPr="001D714A">
        <w:rPr>
          <w:b/>
          <w:bCs/>
          <w:lang w:val="en-GB"/>
        </w:rPr>
        <w:t xml:space="preserve">ontrol: </w:t>
      </w:r>
      <w:r w:rsidRPr="001D714A">
        <w:rPr>
          <w:lang w:val="en-GB"/>
        </w:rPr>
        <w:t>Risks associated with mining ventures include operational, geopolitical, and geological risks. For mining firms trying to reduce uncertainty, consulting services that include risk assessment, management methods, and mitigation plans can be essential.</w:t>
      </w:r>
    </w:p>
    <w:p w14:paraId="439231D1" w14:textId="77777777" w:rsidR="00FA7E7D" w:rsidRPr="0098072D" w:rsidRDefault="00FA7E7D" w:rsidP="00FA7E7D">
      <w:pPr>
        <w:pStyle w:val="Heading30"/>
        <w:ind w:right="450"/>
      </w:pPr>
      <w:r>
        <w:t>Key threats</w:t>
      </w:r>
    </w:p>
    <w:p w14:paraId="5A8E0128" w14:textId="77777777" w:rsidR="00FA7E7D" w:rsidRPr="00CE1F2B" w:rsidRDefault="00FA7E7D" w:rsidP="00FA7E7D">
      <w:pPr>
        <w:pStyle w:val="ListParagraph"/>
        <w:numPr>
          <w:ilvl w:val="0"/>
          <w:numId w:val="21"/>
        </w:numPr>
        <w:ind w:left="360" w:right="450"/>
      </w:pPr>
      <w:r w:rsidRPr="00F01C8D">
        <w:rPr>
          <w:b/>
          <w:bCs/>
          <w:lang w:val="en-GB"/>
        </w:rPr>
        <w:t xml:space="preserve">Competitive </w:t>
      </w:r>
      <w:r>
        <w:rPr>
          <w:b/>
          <w:bCs/>
          <w:lang w:val="en-GB"/>
        </w:rPr>
        <w:t>l</w:t>
      </w:r>
      <w:r w:rsidRPr="00F01C8D">
        <w:rPr>
          <w:b/>
          <w:bCs/>
          <w:lang w:val="en-GB"/>
        </w:rPr>
        <w:t xml:space="preserve">andscape of the </w:t>
      </w:r>
      <w:r>
        <w:rPr>
          <w:b/>
          <w:bCs/>
          <w:lang w:val="en-GB"/>
        </w:rPr>
        <w:t>m</w:t>
      </w:r>
      <w:r w:rsidRPr="00F01C8D">
        <w:rPr>
          <w:b/>
          <w:bCs/>
          <w:lang w:val="en-GB"/>
        </w:rPr>
        <w:t xml:space="preserve">ining </w:t>
      </w:r>
      <w:r>
        <w:rPr>
          <w:b/>
          <w:bCs/>
          <w:lang w:val="en-GB"/>
        </w:rPr>
        <w:t>c</w:t>
      </w:r>
      <w:r w:rsidRPr="00F01C8D">
        <w:rPr>
          <w:b/>
          <w:bCs/>
          <w:lang w:val="en-GB"/>
        </w:rPr>
        <w:t xml:space="preserve">onsultancy </w:t>
      </w:r>
      <w:r>
        <w:rPr>
          <w:b/>
          <w:bCs/>
          <w:lang w:val="en-GB"/>
        </w:rPr>
        <w:t>m</w:t>
      </w:r>
      <w:r w:rsidRPr="00F01C8D">
        <w:rPr>
          <w:b/>
          <w:bCs/>
          <w:lang w:val="en-GB"/>
        </w:rPr>
        <w:t>arket:</w:t>
      </w:r>
      <w:r>
        <w:rPr>
          <w:lang w:val="en-GB"/>
        </w:rPr>
        <w:t xml:space="preserve"> </w:t>
      </w:r>
      <w:r w:rsidRPr="009F5ABA">
        <w:rPr>
          <w:lang w:val="en-GB"/>
        </w:rPr>
        <w:t>The mining consulting market has become increasingly competitive, with new entrants and low-value assignments reducing profit margins, while rapid technological advancements and price fluctuations pose significant challenges, forcing firms to adapt to stay competitive and avoid becoming redundant.</w:t>
      </w:r>
    </w:p>
    <w:p w14:paraId="14CF3A65" w14:textId="77777777" w:rsidR="00FA7E7D" w:rsidRPr="00BF7AF5" w:rsidRDefault="00FA7E7D" w:rsidP="00FA7E7D">
      <w:pPr>
        <w:pStyle w:val="ListParagraph"/>
        <w:numPr>
          <w:ilvl w:val="0"/>
          <w:numId w:val="21"/>
        </w:numPr>
        <w:ind w:left="360" w:right="450"/>
        <w:contextualSpacing w:val="0"/>
        <w:rPr>
          <w:lang w:val="en-GB"/>
        </w:rPr>
      </w:pPr>
      <w:r w:rsidRPr="00122BDE">
        <w:rPr>
          <w:b/>
          <w:bCs/>
          <w:lang w:val="en-GB"/>
        </w:rPr>
        <w:t xml:space="preserve">Worldwide </w:t>
      </w:r>
      <w:r>
        <w:rPr>
          <w:b/>
          <w:bCs/>
          <w:lang w:val="en-GB"/>
        </w:rPr>
        <w:t>e</w:t>
      </w:r>
      <w:r w:rsidRPr="00122BDE">
        <w:rPr>
          <w:b/>
          <w:bCs/>
          <w:lang w:val="en-GB"/>
        </w:rPr>
        <w:t xml:space="preserve">conomic </w:t>
      </w:r>
      <w:r>
        <w:rPr>
          <w:b/>
          <w:bCs/>
          <w:lang w:val="en-GB"/>
        </w:rPr>
        <w:t>i</w:t>
      </w:r>
      <w:r w:rsidRPr="00122BDE">
        <w:rPr>
          <w:b/>
          <w:bCs/>
          <w:lang w:val="en-GB"/>
        </w:rPr>
        <w:t>nsecurity:</w:t>
      </w:r>
      <w:r w:rsidRPr="00122BDE">
        <w:rPr>
          <w:lang w:val="en-GB"/>
        </w:rPr>
        <w:t xml:space="preserve"> The viability of mining ventures can be impacted by global market circumstances, geopolitical tensions, and economic concerns. Uncertainties or economic downturns may result in less investment in the mining industry, which would affect the need for consulting services.</w:t>
      </w:r>
    </w:p>
    <w:p w14:paraId="0703FEF5" w14:textId="77777777" w:rsidR="00FA7E7D" w:rsidRDefault="00FA7E7D" w:rsidP="00FA7E7D">
      <w:pPr>
        <w:pStyle w:val="Heading2"/>
      </w:pPr>
      <w:bookmarkStart w:id="2153" w:name="_Toc198471458"/>
      <w:bookmarkStart w:id="2154" w:name="_Toc198727496"/>
      <w:bookmarkStart w:id="2155" w:name="_Toc198728611"/>
      <w:bookmarkStart w:id="2156" w:name="_Toc198729726"/>
      <w:bookmarkStart w:id="2157" w:name="_Toc198730841"/>
      <w:bookmarkStart w:id="2158" w:name="_Toc198730842"/>
      <w:bookmarkEnd w:id="2153"/>
      <w:bookmarkEnd w:id="2154"/>
      <w:bookmarkEnd w:id="2155"/>
      <w:bookmarkEnd w:id="2156"/>
      <w:bookmarkEnd w:id="2157"/>
      <w:r w:rsidRPr="007E3D58">
        <w:t>Industry concerns of mining consultancy services</w:t>
      </w:r>
      <w:bookmarkEnd w:id="2158"/>
      <w:r w:rsidRPr="007E3D58">
        <w:t xml:space="preserve"> </w:t>
      </w:r>
    </w:p>
    <w:p w14:paraId="3F58C084" w14:textId="77777777" w:rsidR="00FA7E7D" w:rsidRDefault="00FA7E7D" w:rsidP="00FA7E7D">
      <w:pPr>
        <w:pStyle w:val="Heading30"/>
        <w:ind w:hanging="862"/>
      </w:pPr>
      <w:r>
        <w:t xml:space="preserve">Regulatory Hurdles </w:t>
      </w:r>
    </w:p>
    <w:p w14:paraId="4ADE54AE" w14:textId="469CAF91" w:rsidR="00FA7E7D" w:rsidRDefault="00FA7E7D" w:rsidP="00FA7E7D">
      <w:r w:rsidRPr="00893852">
        <w:t>India's mining sector is governed by multiple laws and regulations, making it difficult for consultants to navigate.</w:t>
      </w:r>
      <w:r>
        <w:t xml:space="preserve"> </w:t>
      </w:r>
      <w:r w:rsidRPr="00893852">
        <w:t xml:space="preserve">To start a mining project, </w:t>
      </w:r>
      <w:r>
        <w:t>miners</w:t>
      </w:r>
      <w:r w:rsidRPr="00893852">
        <w:t xml:space="preserve"> need to obtain various clearances and approvals from different government agencies, including</w:t>
      </w:r>
      <w:r>
        <w:t xml:space="preserve">. </w:t>
      </w:r>
      <w:r w:rsidRPr="0020376C">
        <w:t>Environmental clearance</w:t>
      </w:r>
      <w:r>
        <w:t xml:space="preserve"> and Forest Clearance</w:t>
      </w:r>
      <w:r w:rsidRPr="0020376C">
        <w:t xml:space="preserve"> from the Ministry of Environment, Forest and Climate Change</w:t>
      </w:r>
      <w:r>
        <w:t xml:space="preserve">; </w:t>
      </w:r>
      <w:r w:rsidRPr="0020376C">
        <w:t>Consent to Establish and Consent to Operate from State Pollution Control Boards</w:t>
      </w:r>
      <w:r>
        <w:t>; Mining lease from State Governments</w:t>
      </w:r>
      <w:r w:rsidRPr="0020376C">
        <w:t>.</w:t>
      </w:r>
      <w:r w:rsidR="00D05829">
        <w:t xml:space="preserve"> These processes are extremely complicated and time consuming often results in delay in granting approvals thereby causing an overall delay in the</w:t>
      </w:r>
      <w:r w:rsidR="001127A1">
        <w:t xml:space="preserve"> scheduled timeline towards commencement of mining operations. </w:t>
      </w:r>
    </w:p>
    <w:p w14:paraId="4E63710D" w14:textId="1EA88BF0" w:rsidR="00FA7E7D" w:rsidRPr="00893852" w:rsidRDefault="00FA7E7D" w:rsidP="00FA7E7D">
      <w:r w:rsidRPr="000200BF">
        <w:t>India's mining industry has faced numerous regulatory challenges that have significantly impacted various companies and projects</w:t>
      </w:r>
      <w:r>
        <w:t>.</w:t>
      </w:r>
      <w:r w:rsidRPr="000200BF">
        <w:t xml:space="preserve"> </w:t>
      </w:r>
      <w:r w:rsidRPr="00D842E1">
        <w:t xml:space="preserve">In 2011, the Karnataka government canceled 51 mining leases following a report by the Lokayukta (anti-corruption ombudsman) that exposed illegal mining activities. </w:t>
      </w:r>
      <w:r w:rsidRPr="000200BF">
        <w:t>Vedanta Resources planned to mine bauxite from the Niyamgiri hills in Odisha for its alumina refinery. However, the project faced significant opposition from indigenous communities and environmental activists due to potential ecological and cultural impacts. In April 2013, the Supreme Court of India ordered an environmental referendum among the local tribal groups, who unanimously rejected the mining proposal, leading to the project's suspension.</w:t>
      </w:r>
      <w:r>
        <w:t xml:space="preserve"> </w:t>
      </w:r>
      <w:r w:rsidRPr="00D842E1">
        <w:t>In 2012, the Supreme Court of India suspended all iron ore mining and transportation in Goa following a report by the Justice M.B. Shah Commission, which uncovered widespread illegal mining. The ban, lifted in 2015 with restrictions, severely affected companies like Sesa Goa (now Vedanta Limited), leading to significant financial losses and layoffs. In 2018, the Tamil Nadu government ordered the closure of Vedanta's Sterlite copper smelting plant in Thoothukudi following protests over environmental pollution concerns.</w:t>
      </w:r>
      <w:r>
        <w:t xml:space="preserve"> </w:t>
      </w:r>
      <w:r w:rsidRPr="00D842E1">
        <w:t>These cases illustrate the complex regulatory environment in India's mining industry, where environmental concerns, legal compliance, and community opposition can profoundly affect business operations.</w:t>
      </w:r>
      <w:r>
        <w:t xml:space="preserve"> </w:t>
      </w:r>
    </w:p>
    <w:p w14:paraId="57F4D165" w14:textId="77777777" w:rsidR="00FA7E7D" w:rsidRDefault="00FA7E7D" w:rsidP="00FA7E7D">
      <w:pPr>
        <w:pStyle w:val="Heading30"/>
        <w:ind w:hanging="862"/>
      </w:pPr>
      <w:r w:rsidRPr="00893852">
        <w:t>Market Volatility and Demand Uncertainty</w:t>
      </w:r>
    </w:p>
    <w:p w14:paraId="6611E914" w14:textId="77777777" w:rsidR="00FA7E7D" w:rsidRDefault="00FA7E7D" w:rsidP="00FA7E7D">
      <w:r w:rsidRPr="00447DCE">
        <w:t>Fluctuations in global demand for minerals introduce financial instability.</w:t>
      </w:r>
      <w:r>
        <w:t xml:space="preserve"> </w:t>
      </w:r>
      <w:r w:rsidRPr="00831C19">
        <w:t>The demand for minerals such as iron ore, copper, and coal are highly volatile, and even small changes in demand can have a significant impact on prices.</w:t>
      </w:r>
      <w:r>
        <w:t xml:space="preserve"> For instance, iron ore prices</w:t>
      </w:r>
      <w:r>
        <w:rPr>
          <w:rStyle w:val="FootnoteReference"/>
        </w:rPr>
        <w:footnoteReference w:id="55"/>
      </w:r>
      <w:r>
        <w:t xml:space="preserve"> ranged from about USD 38 / tonne in December 2015 to USD 218 / tonne in July 2021, while coal prices</w:t>
      </w:r>
      <w:r>
        <w:rPr>
          <w:rStyle w:val="FootnoteReference"/>
        </w:rPr>
        <w:footnoteReference w:id="56"/>
      </w:r>
      <w:r>
        <w:t xml:space="preserve"> ranged from about USD 50 / tonne in 2016 to about USD 440 / tonne in 2022.</w:t>
      </w:r>
      <w:r w:rsidRPr="00831C19">
        <w:t xml:space="preserve"> When demand is high, mining companies may rush to develop new projects, leading to an increase in demand for consulting services. However, when demand is low, mining companies may delay or cancel projects, resulting in a decrease in demand for consulting services. This can lead to financial instability for mining consultants, as they may struggle to maintain a steady workflow and revenue stream.</w:t>
      </w:r>
      <w:r>
        <w:t xml:space="preserve"> </w:t>
      </w:r>
    </w:p>
    <w:p w14:paraId="582798DA" w14:textId="77777777" w:rsidR="00FA7E7D" w:rsidRDefault="00FA7E7D" w:rsidP="00FA7E7D">
      <w:pPr>
        <w:pStyle w:val="Heading30"/>
        <w:ind w:hanging="862"/>
      </w:pPr>
      <w:r w:rsidRPr="00EE706F">
        <w:t xml:space="preserve">Liberalization of </w:t>
      </w:r>
      <w:r>
        <w:t>M</w:t>
      </w:r>
      <w:r w:rsidRPr="00EE706F">
        <w:t xml:space="preserve">ining </w:t>
      </w:r>
      <w:r>
        <w:t>S</w:t>
      </w:r>
      <w:r w:rsidRPr="00EE706F">
        <w:t>ector</w:t>
      </w:r>
    </w:p>
    <w:p w14:paraId="021FD551" w14:textId="77777777" w:rsidR="00FA7E7D" w:rsidRDefault="00FA7E7D" w:rsidP="00FA7E7D">
      <w:r w:rsidRPr="00EE706F">
        <w:t>The liberalization of the mining sector, with 100% FDI, may lead to market competition from other domestic or international consultancy service providers. The opening of the mining sector may lead to competition from other domestic or international consultancy service providers, which could impact the market share of mining consultancy services.</w:t>
      </w:r>
    </w:p>
    <w:p w14:paraId="1A472A0B" w14:textId="77777777" w:rsidR="00FA7E7D" w:rsidRDefault="00FA7E7D" w:rsidP="00FA7E7D">
      <w:pPr>
        <w:pStyle w:val="Heading30"/>
        <w:ind w:hanging="862"/>
      </w:pPr>
      <w:r>
        <w:t xml:space="preserve">Rise of </w:t>
      </w:r>
      <w:r w:rsidRPr="00EE706F">
        <w:t xml:space="preserve">Renewable </w:t>
      </w:r>
      <w:r>
        <w:t>E</w:t>
      </w:r>
      <w:r w:rsidRPr="00EE706F">
        <w:t>nergy</w:t>
      </w:r>
    </w:p>
    <w:p w14:paraId="3724A285" w14:textId="77777777" w:rsidR="00FA7E7D" w:rsidRPr="00EE706F" w:rsidRDefault="00FA7E7D" w:rsidP="00FA7E7D">
      <w:r w:rsidRPr="00EE706F">
        <w:t>The shift to renewable energy may make coal less competitive, posing a threat to the business of mining consultancy services. As the world transitions to a more sustainable future, the mining consultancy sector is adapting by exploring alternative coal uses and developing expertise in renewable energy to stay relevant.</w:t>
      </w:r>
    </w:p>
    <w:p w14:paraId="137B8D7A" w14:textId="77777777" w:rsidR="00FA7E7D" w:rsidRDefault="00FA7E7D" w:rsidP="00FA7E7D">
      <w:pPr>
        <w:pStyle w:val="Heading30"/>
        <w:ind w:hanging="862"/>
      </w:pPr>
      <w:r w:rsidRPr="00EE706F">
        <w:t xml:space="preserve">Restrictions in </w:t>
      </w:r>
      <w:r>
        <w:t>E</w:t>
      </w:r>
      <w:r w:rsidRPr="00EE706F">
        <w:t>xploration</w:t>
      </w:r>
      <w:r>
        <w:t xml:space="preserve"> </w:t>
      </w:r>
    </w:p>
    <w:p w14:paraId="05EF4DE7" w14:textId="77777777" w:rsidR="00FA7E7D" w:rsidRPr="00EE706F" w:rsidRDefault="00FA7E7D" w:rsidP="00FA7E7D">
      <w:r w:rsidRPr="00EE706F">
        <w:t>Restrictions in exploration in forest areas and law and order problems may affect the operations and revenue of mining consultancy services.</w:t>
      </w:r>
    </w:p>
    <w:p w14:paraId="488C3C75" w14:textId="77777777" w:rsidR="00FA7E7D" w:rsidRPr="004A020C" w:rsidRDefault="00FA7E7D" w:rsidP="00FA7E7D">
      <w:pPr>
        <w:pStyle w:val="Heading30"/>
        <w:ind w:hanging="862"/>
      </w:pPr>
      <w:r>
        <w:t>Environment, Social and Governance (ESG) Compliance</w:t>
      </w:r>
    </w:p>
    <w:p w14:paraId="46F82E6B" w14:textId="77777777" w:rsidR="00FA7E7D" w:rsidRDefault="00FA7E7D" w:rsidP="00FA7E7D">
      <w:r w:rsidRPr="003D1B09">
        <w:t>The Securities and Exchange Board of India (SEBI) has introduced the Business Responsibility and Sustainability Report (BRSR) framework, mandating top-listed companies to disclose their ESG initiatives and undergo sustainability audits. Companies are required to disclose ESG information encompassing their value chains, including their top upstream and downstream partners. The BRSR framework aims to promote responsible and sustainable business practices by encouraging companies to disclose their ESG-related information in a structured manner.</w:t>
      </w:r>
      <w:r>
        <w:t xml:space="preserve"> </w:t>
      </w:r>
      <w:r w:rsidRPr="003D1B09">
        <w:t>This move aims to enhance transparency and accountability in corporate ESG practices.</w:t>
      </w:r>
      <w:r>
        <w:t xml:space="preserve"> W</w:t>
      </w:r>
      <w:r w:rsidRPr="003D1B09">
        <w:t>hile the path to ESG compliance in India's mining sector is fraught with challenges, it also presents significant opportunities for consultants to drive sustainable transformation.</w:t>
      </w:r>
    </w:p>
    <w:p w14:paraId="1FECF57A" w14:textId="77777777" w:rsidR="00C7511A" w:rsidRPr="006C0EAD" w:rsidRDefault="00C7511A" w:rsidP="00662938">
      <w:pPr>
        <w:pStyle w:val="Heading10"/>
      </w:pPr>
      <w:bookmarkStart w:id="2159" w:name="_Toc198471460"/>
      <w:bookmarkStart w:id="2160" w:name="_Toc198727498"/>
      <w:bookmarkStart w:id="2161" w:name="_Toc198728613"/>
      <w:bookmarkStart w:id="2162" w:name="_Toc198729728"/>
      <w:bookmarkStart w:id="2163" w:name="_Toc198730843"/>
      <w:bookmarkStart w:id="2164" w:name="_Toc192254978"/>
      <w:bookmarkStart w:id="2165" w:name="_Toc192254979"/>
      <w:bookmarkStart w:id="2166" w:name="_Toc192254980"/>
      <w:bookmarkStart w:id="2167" w:name="_Toc198471461"/>
      <w:bookmarkStart w:id="2168" w:name="_Toc198727499"/>
      <w:bookmarkStart w:id="2169" w:name="_Toc198728614"/>
      <w:bookmarkStart w:id="2170" w:name="_Toc198729729"/>
      <w:bookmarkStart w:id="2171" w:name="_Toc198730844"/>
      <w:bookmarkStart w:id="2172" w:name="_Toc198471462"/>
      <w:bookmarkStart w:id="2173" w:name="_Toc198727500"/>
      <w:bookmarkStart w:id="2174" w:name="_Toc198728615"/>
      <w:bookmarkStart w:id="2175" w:name="_Toc198729730"/>
      <w:bookmarkStart w:id="2176" w:name="_Toc198730845"/>
      <w:bookmarkStart w:id="2177" w:name="_Toc198471463"/>
      <w:bookmarkStart w:id="2178" w:name="_Toc198727501"/>
      <w:bookmarkStart w:id="2179" w:name="_Toc198728616"/>
      <w:bookmarkStart w:id="2180" w:name="_Toc198729731"/>
      <w:bookmarkStart w:id="2181" w:name="_Toc198730846"/>
      <w:bookmarkStart w:id="2182" w:name="_Toc198471464"/>
      <w:bookmarkStart w:id="2183" w:name="_Toc198727502"/>
      <w:bookmarkStart w:id="2184" w:name="_Toc198728617"/>
      <w:bookmarkStart w:id="2185" w:name="_Toc198729732"/>
      <w:bookmarkStart w:id="2186" w:name="_Toc198730847"/>
      <w:bookmarkStart w:id="2187" w:name="_Toc198471465"/>
      <w:bookmarkStart w:id="2188" w:name="_Toc198727503"/>
      <w:bookmarkStart w:id="2189" w:name="_Toc198728618"/>
      <w:bookmarkStart w:id="2190" w:name="_Toc198729733"/>
      <w:bookmarkStart w:id="2191" w:name="_Toc198730848"/>
      <w:bookmarkStart w:id="2192" w:name="_Toc198471466"/>
      <w:bookmarkStart w:id="2193" w:name="_Toc198727504"/>
      <w:bookmarkStart w:id="2194" w:name="_Toc198728619"/>
      <w:bookmarkStart w:id="2195" w:name="_Toc198729734"/>
      <w:bookmarkStart w:id="2196" w:name="_Toc198730849"/>
      <w:bookmarkStart w:id="2197" w:name="_Toc198471467"/>
      <w:bookmarkStart w:id="2198" w:name="_Toc198727505"/>
      <w:bookmarkStart w:id="2199" w:name="_Toc198728620"/>
      <w:bookmarkStart w:id="2200" w:name="_Toc198729735"/>
      <w:bookmarkStart w:id="2201" w:name="_Toc198730850"/>
      <w:bookmarkStart w:id="2202" w:name="_Toc198471468"/>
      <w:bookmarkStart w:id="2203" w:name="_Toc198727506"/>
      <w:bookmarkStart w:id="2204" w:name="_Toc198728621"/>
      <w:bookmarkStart w:id="2205" w:name="_Toc198729736"/>
      <w:bookmarkStart w:id="2206" w:name="_Toc198730851"/>
      <w:bookmarkStart w:id="2207" w:name="_Toc198471469"/>
      <w:bookmarkStart w:id="2208" w:name="_Toc198727507"/>
      <w:bookmarkStart w:id="2209" w:name="_Toc198728622"/>
      <w:bookmarkStart w:id="2210" w:name="_Toc198729737"/>
      <w:bookmarkStart w:id="2211" w:name="_Toc198730852"/>
      <w:bookmarkStart w:id="2212" w:name="_Toc198471470"/>
      <w:bookmarkStart w:id="2213" w:name="_Toc198727508"/>
      <w:bookmarkStart w:id="2214" w:name="_Toc198728623"/>
      <w:bookmarkStart w:id="2215" w:name="_Toc198729738"/>
      <w:bookmarkStart w:id="2216" w:name="_Toc198730853"/>
      <w:bookmarkStart w:id="2217" w:name="_Toc198471471"/>
      <w:bookmarkStart w:id="2218" w:name="_Toc198727509"/>
      <w:bookmarkStart w:id="2219" w:name="_Toc198728624"/>
      <w:bookmarkStart w:id="2220" w:name="_Toc198729739"/>
      <w:bookmarkStart w:id="2221" w:name="_Toc198730854"/>
      <w:bookmarkStart w:id="2222" w:name="_Toc198471472"/>
      <w:bookmarkStart w:id="2223" w:name="_Toc198727510"/>
      <w:bookmarkStart w:id="2224" w:name="_Toc198728625"/>
      <w:bookmarkStart w:id="2225" w:name="_Toc198729740"/>
      <w:bookmarkStart w:id="2226" w:name="_Toc198730855"/>
      <w:bookmarkStart w:id="2227" w:name="_Toc198471473"/>
      <w:bookmarkStart w:id="2228" w:name="_Toc198727511"/>
      <w:bookmarkStart w:id="2229" w:name="_Toc198728626"/>
      <w:bookmarkStart w:id="2230" w:name="_Toc198729741"/>
      <w:bookmarkStart w:id="2231" w:name="_Toc198730856"/>
      <w:bookmarkStart w:id="2232" w:name="_Toc198471474"/>
      <w:bookmarkStart w:id="2233" w:name="_Toc198727512"/>
      <w:bookmarkStart w:id="2234" w:name="_Toc198728627"/>
      <w:bookmarkStart w:id="2235" w:name="_Toc198729742"/>
      <w:bookmarkStart w:id="2236" w:name="_Toc198730857"/>
      <w:bookmarkStart w:id="2237" w:name="_Toc198471475"/>
      <w:bookmarkStart w:id="2238" w:name="_Toc198727513"/>
      <w:bookmarkStart w:id="2239" w:name="_Toc198728628"/>
      <w:bookmarkStart w:id="2240" w:name="_Toc198729743"/>
      <w:bookmarkStart w:id="2241" w:name="_Toc198730858"/>
      <w:bookmarkStart w:id="2242" w:name="_Toc198471476"/>
      <w:bookmarkStart w:id="2243" w:name="_Toc198727514"/>
      <w:bookmarkStart w:id="2244" w:name="_Toc198728629"/>
      <w:bookmarkStart w:id="2245" w:name="_Toc198729744"/>
      <w:bookmarkStart w:id="2246" w:name="_Toc198730859"/>
      <w:bookmarkStart w:id="2247" w:name="_Toc198471477"/>
      <w:bookmarkStart w:id="2248" w:name="_Toc198727515"/>
      <w:bookmarkStart w:id="2249" w:name="_Toc198728630"/>
      <w:bookmarkStart w:id="2250" w:name="_Toc198729745"/>
      <w:bookmarkStart w:id="2251" w:name="_Toc198730860"/>
      <w:bookmarkStart w:id="2252" w:name="_Toc198471478"/>
      <w:bookmarkStart w:id="2253" w:name="_Toc198727516"/>
      <w:bookmarkStart w:id="2254" w:name="_Toc198728631"/>
      <w:bookmarkStart w:id="2255" w:name="_Toc198729746"/>
      <w:bookmarkStart w:id="2256" w:name="_Toc198730861"/>
      <w:bookmarkStart w:id="2257" w:name="_Toc198471479"/>
      <w:bookmarkStart w:id="2258" w:name="_Toc198727517"/>
      <w:bookmarkStart w:id="2259" w:name="_Toc198728632"/>
      <w:bookmarkStart w:id="2260" w:name="_Toc198729747"/>
      <w:bookmarkStart w:id="2261" w:name="_Toc198730862"/>
      <w:bookmarkStart w:id="2262" w:name="_Toc198471480"/>
      <w:bookmarkStart w:id="2263" w:name="_Toc198727518"/>
      <w:bookmarkStart w:id="2264" w:name="_Toc198728633"/>
      <w:bookmarkStart w:id="2265" w:name="_Toc198729748"/>
      <w:bookmarkStart w:id="2266" w:name="_Toc198730863"/>
      <w:bookmarkStart w:id="2267" w:name="_Toc198471481"/>
      <w:bookmarkStart w:id="2268" w:name="_Toc198727519"/>
      <w:bookmarkStart w:id="2269" w:name="_Toc198728634"/>
      <w:bookmarkStart w:id="2270" w:name="_Toc198729749"/>
      <w:bookmarkStart w:id="2271" w:name="_Toc198730864"/>
      <w:bookmarkStart w:id="2272" w:name="_Toc198471482"/>
      <w:bookmarkStart w:id="2273" w:name="_Toc198727520"/>
      <w:bookmarkStart w:id="2274" w:name="_Toc198728635"/>
      <w:bookmarkStart w:id="2275" w:name="_Toc198729750"/>
      <w:bookmarkStart w:id="2276" w:name="_Toc198730865"/>
      <w:bookmarkStart w:id="2277" w:name="_Toc198471483"/>
      <w:bookmarkStart w:id="2278" w:name="_Toc198727521"/>
      <w:bookmarkStart w:id="2279" w:name="_Toc198728636"/>
      <w:bookmarkStart w:id="2280" w:name="_Toc198729751"/>
      <w:bookmarkStart w:id="2281" w:name="_Toc198730866"/>
      <w:bookmarkStart w:id="2282" w:name="_Toc198471484"/>
      <w:bookmarkStart w:id="2283" w:name="_Toc198727522"/>
      <w:bookmarkStart w:id="2284" w:name="_Toc198728637"/>
      <w:bookmarkStart w:id="2285" w:name="_Toc198729752"/>
      <w:bookmarkStart w:id="2286" w:name="_Toc198730867"/>
      <w:bookmarkStart w:id="2287" w:name="_Toc198471485"/>
      <w:bookmarkStart w:id="2288" w:name="_Toc198727523"/>
      <w:bookmarkStart w:id="2289" w:name="_Toc198728638"/>
      <w:bookmarkStart w:id="2290" w:name="_Toc198729753"/>
      <w:bookmarkStart w:id="2291" w:name="_Toc198730868"/>
      <w:bookmarkStart w:id="2292" w:name="_Toc198471486"/>
      <w:bookmarkStart w:id="2293" w:name="_Toc198727524"/>
      <w:bookmarkStart w:id="2294" w:name="_Toc198728639"/>
      <w:bookmarkStart w:id="2295" w:name="_Toc198729754"/>
      <w:bookmarkStart w:id="2296" w:name="_Toc198730869"/>
      <w:bookmarkStart w:id="2297" w:name="_Toc198471487"/>
      <w:bookmarkStart w:id="2298" w:name="_Toc198727525"/>
      <w:bookmarkStart w:id="2299" w:name="_Toc198728640"/>
      <w:bookmarkStart w:id="2300" w:name="_Toc198729755"/>
      <w:bookmarkStart w:id="2301" w:name="_Toc198730870"/>
      <w:bookmarkStart w:id="2302" w:name="_Toc198471488"/>
      <w:bookmarkStart w:id="2303" w:name="_Toc198727526"/>
      <w:bookmarkStart w:id="2304" w:name="_Toc198728641"/>
      <w:bookmarkStart w:id="2305" w:name="_Toc198729756"/>
      <w:bookmarkStart w:id="2306" w:name="_Toc198730871"/>
      <w:bookmarkStart w:id="2307" w:name="_Toc198471489"/>
      <w:bookmarkStart w:id="2308" w:name="_Toc198727527"/>
      <w:bookmarkStart w:id="2309" w:name="_Toc198728642"/>
      <w:bookmarkStart w:id="2310" w:name="_Toc198729757"/>
      <w:bookmarkStart w:id="2311" w:name="_Toc198730872"/>
      <w:bookmarkStart w:id="2312" w:name="_Toc198471490"/>
      <w:bookmarkStart w:id="2313" w:name="_Toc198727528"/>
      <w:bookmarkStart w:id="2314" w:name="_Toc198728643"/>
      <w:bookmarkStart w:id="2315" w:name="_Toc198729758"/>
      <w:bookmarkStart w:id="2316" w:name="_Toc198730873"/>
      <w:bookmarkStart w:id="2317" w:name="_Toc198471491"/>
      <w:bookmarkStart w:id="2318" w:name="_Toc198727529"/>
      <w:bookmarkStart w:id="2319" w:name="_Toc198728644"/>
      <w:bookmarkStart w:id="2320" w:name="_Toc198729759"/>
      <w:bookmarkStart w:id="2321" w:name="_Toc198730874"/>
      <w:bookmarkStart w:id="2322" w:name="_Toc198471492"/>
      <w:bookmarkStart w:id="2323" w:name="_Toc198727530"/>
      <w:bookmarkStart w:id="2324" w:name="_Toc198728645"/>
      <w:bookmarkStart w:id="2325" w:name="_Toc198729760"/>
      <w:bookmarkStart w:id="2326" w:name="_Toc198730875"/>
      <w:bookmarkStart w:id="2327" w:name="_Toc198471493"/>
      <w:bookmarkStart w:id="2328" w:name="_Toc198727531"/>
      <w:bookmarkStart w:id="2329" w:name="_Toc198728646"/>
      <w:bookmarkStart w:id="2330" w:name="_Toc198729761"/>
      <w:bookmarkStart w:id="2331" w:name="_Toc198730876"/>
      <w:bookmarkStart w:id="2332" w:name="_Toc198471494"/>
      <w:bookmarkStart w:id="2333" w:name="_Toc198727532"/>
      <w:bookmarkStart w:id="2334" w:name="_Toc198728647"/>
      <w:bookmarkStart w:id="2335" w:name="_Toc198729762"/>
      <w:bookmarkStart w:id="2336" w:name="_Toc198730877"/>
      <w:bookmarkStart w:id="2337" w:name="_Toc198471495"/>
      <w:bookmarkStart w:id="2338" w:name="_Toc198727533"/>
      <w:bookmarkStart w:id="2339" w:name="_Toc198728648"/>
      <w:bookmarkStart w:id="2340" w:name="_Toc198729763"/>
      <w:bookmarkStart w:id="2341" w:name="_Toc198730878"/>
      <w:bookmarkStart w:id="2342" w:name="_Toc198471496"/>
      <w:bookmarkStart w:id="2343" w:name="_Toc198727534"/>
      <w:bookmarkStart w:id="2344" w:name="_Toc198728649"/>
      <w:bookmarkStart w:id="2345" w:name="_Toc198729764"/>
      <w:bookmarkStart w:id="2346" w:name="_Toc198730879"/>
      <w:bookmarkStart w:id="2347" w:name="_Toc198471497"/>
      <w:bookmarkStart w:id="2348" w:name="_Toc198727535"/>
      <w:bookmarkStart w:id="2349" w:name="_Toc198728650"/>
      <w:bookmarkStart w:id="2350" w:name="_Toc198729765"/>
      <w:bookmarkStart w:id="2351" w:name="_Toc198730880"/>
      <w:bookmarkStart w:id="2352" w:name="_Toc198471498"/>
      <w:bookmarkStart w:id="2353" w:name="_Toc198727536"/>
      <w:bookmarkStart w:id="2354" w:name="_Toc198728651"/>
      <w:bookmarkStart w:id="2355" w:name="_Toc198729766"/>
      <w:bookmarkStart w:id="2356" w:name="_Toc198730881"/>
      <w:bookmarkStart w:id="2357" w:name="_Toc198471499"/>
      <w:bookmarkStart w:id="2358" w:name="_Toc198727537"/>
      <w:bookmarkStart w:id="2359" w:name="_Toc198728652"/>
      <w:bookmarkStart w:id="2360" w:name="_Toc198729767"/>
      <w:bookmarkStart w:id="2361" w:name="_Toc198730882"/>
      <w:bookmarkStart w:id="2362" w:name="_Toc198471500"/>
      <w:bookmarkStart w:id="2363" w:name="_Toc198727538"/>
      <w:bookmarkStart w:id="2364" w:name="_Toc198728653"/>
      <w:bookmarkStart w:id="2365" w:name="_Toc198729768"/>
      <w:bookmarkStart w:id="2366" w:name="_Toc198730883"/>
      <w:bookmarkStart w:id="2367" w:name="_Toc198471501"/>
      <w:bookmarkStart w:id="2368" w:name="_Toc198727539"/>
      <w:bookmarkStart w:id="2369" w:name="_Toc198728654"/>
      <w:bookmarkStart w:id="2370" w:name="_Toc198729769"/>
      <w:bookmarkStart w:id="2371" w:name="_Toc198730884"/>
      <w:bookmarkStart w:id="2372" w:name="_Toc198471502"/>
      <w:bookmarkStart w:id="2373" w:name="_Toc198727540"/>
      <w:bookmarkStart w:id="2374" w:name="_Toc198728655"/>
      <w:bookmarkStart w:id="2375" w:name="_Toc198729770"/>
      <w:bookmarkStart w:id="2376" w:name="_Toc198730885"/>
      <w:bookmarkStart w:id="2377" w:name="_Toc198471503"/>
      <w:bookmarkStart w:id="2378" w:name="_Toc198727541"/>
      <w:bookmarkStart w:id="2379" w:name="_Toc198728656"/>
      <w:bookmarkStart w:id="2380" w:name="_Toc198729771"/>
      <w:bookmarkStart w:id="2381" w:name="_Toc198730886"/>
      <w:bookmarkStart w:id="2382" w:name="_Toc198471504"/>
      <w:bookmarkStart w:id="2383" w:name="_Toc198727542"/>
      <w:bookmarkStart w:id="2384" w:name="_Toc198728657"/>
      <w:bookmarkStart w:id="2385" w:name="_Toc198729772"/>
      <w:bookmarkStart w:id="2386" w:name="_Toc198730887"/>
      <w:bookmarkStart w:id="2387" w:name="_Toc198471505"/>
      <w:bookmarkStart w:id="2388" w:name="_Toc198727543"/>
      <w:bookmarkStart w:id="2389" w:name="_Toc198728658"/>
      <w:bookmarkStart w:id="2390" w:name="_Toc198729773"/>
      <w:bookmarkStart w:id="2391" w:name="_Toc198730888"/>
      <w:bookmarkStart w:id="2392" w:name="_Toc198471506"/>
      <w:bookmarkStart w:id="2393" w:name="_Toc198727544"/>
      <w:bookmarkStart w:id="2394" w:name="_Toc198728659"/>
      <w:bookmarkStart w:id="2395" w:name="_Toc198729774"/>
      <w:bookmarkStart w:id="2396" w:name="_Toc198730889"/>
      <w:bookmarkStart w:id="2397" w:name="_Toc198471507"/>
      <w:bookmarkStart w:id="2398" w:name="_Toc198727545"/>
      <w:bookmarkStart w:id="2399" w:name="_Toc198728660"/>
      <w:bookmarkStart w:id="2400" w:name="_Toc198729775"/>
      <w:bookmarkStart w:id="2401" w:name="_Toc198730890"/>
      <w:bookmarkStart w:id="2402" w:name="_Toc198471508"/>
      <w:bookmarkStart w:id="2403" w:name="_Toc198727546"/>
      <w:bookmarkStart w:id="2404" w:name="_Toc198728661"/>
      <w:bookmarkStart w:id="2405" w:name="_Toc198729776"/>
      <w:bookmarkStart w:id="2406" w:name="_Toc198730891"/>
      <w:bookmarkStart w:id="2407" w:name="_Toc198471509"/>
      <w:bookmarkStart w:id="2408" w:name="_Toc198727547"/>
      <w:bookmarkStart w:id="2409" w:name="_Toc198728662"/>
      <w:bookmarkStart w:id="2410" w:name="_Toc198729777"/>
      <w:bookmarkStart w:id="2411" w:name="_Toc198730892"/>
      <w:bookmarkStart w:id="2412" w:name="_Toc198471510"/>
      <w:bookmarkStart w:id="2413" w:name="_Toc198727548"/>
      <w:bookmarkStart w:id="2414" w:name="_Toc198728663"/>
      <w:bookmarkStart w:id="2415" w:name="_Toc198729778"/>
      <w:bookmarkStart w:id="2416" w:name="_Toc198730893"/>
      <w:bookmarkStart w:id="2417" w:name="_Toc198471511"/>
      <w:bookmarkStart w:id="2418" w:name="_Toc198727549"/>
      <w:bookmarkStart w:id="2419" w:name="_Toc198728664"/>
      <w:bookmarkStart w:id="2420" w:name="_Toc198729779"/>
      <w:bookmarkStart w:id="2421" w:name="_Toc198730894"/>
      <w:bookmarkStart w:id="2422" w:name="_Toc198471512"/>
      <w:bookmarkStart w:id="2423" w:name="_Toc198727550"/>
      <w:bookmarkStart w:id="2424" w:name="_Toc198728665"/>
      <w:bookmarkStart w:id="2425" w:name="_Toc198729780"/>
      <w:bookmarkStart w:id="2426" w:name="_Toc198730895"/>
      <w:bookmarkStart w:id="2427" w:name="_Toc198471513"/>
      <w:bookmarkStart w:id="2428" w:name="_Toc198727551"/>
      <w:bookmarkStart w:id="2429" w:name="_Toc198728666"/>
      <w:bookmarkStart w:id="2430" w:name="_Toc198729781"/>
      <w:bookmarkStart w:id="2431" w:name="_Toc198730896"/>
      <w:bookmarkStart w:id="2432" w:name="_Toc198471514"/>
      <w:bookmarkStart w:id="2433" w:name="_Toc198727552"/>
      <w:bookmarkStart w:id="2434" w:name="_Toc198728667"/>
      <w:bookmarkStart w:id="2435" w:name="_Toc198729782"/>
      <w:bookmarkStart w:id="2436" w:name="_Toc198730897"/>
      <w:bookmarkStart w:id="2437" w:name="_Toc198471515"/>
      <w:bookmarkStart w:id="2438" w:name="_Toc198727553"/>
      <w:bookmarkStart w:id="2439" w:name="_Toc198728668"/>
      <w:bookmarkStart w:id="2440" w:name="_Toc198729783"/>
      <w:bookmarkStart w:id="2441" w:name="_Toc198730898"/>
      <w:bookmarkStart w:id="2442" w:name="_Toc198471516"/>
      <w:bookmarkStart w:id="2443" w:name="_Toc198727554"/>
      <w:bookmarkStart w:id="2444" w:name="_Toc198728669"/>
      <w:bookmarkStart w:id="2445" w:name="_Toc198729784"/>
      <w:bookmarkStart w:id="2446" w:name="_Toc198730899"/>
      <w:bookmarkStart w:id="2447" w:name="_Toc198471517"/>
      <w:bookmarkStart w:id="2448" w:name="_Toc198727555"/>
      <w:bookmarkStart w:id="2449" w:name="_Toc198728670"/>
      <w:bookmarkStart w:id="2450" w:name="_Toc198729785"/>
      <w:bookmarkStart w:id="2451" w:name="_Toc198730900"/>
      <w:bookmarkStart w:id="2452" w:name="_Toc198471518"/>
      <w:bookmarkStart w:id="2453" w:name="_Toc198727556"/>
      <w:bookmarkStart w:id="2454" w:name="_Toc198728671"/>
      <w:bookmarkStart w:id="2455" w:name="_Toc198729786"/>
      <w:bookmarkStart w:id="2456" w:name="_Toc198730901"/>
      <w:bookmarkStart w:id="2457" w:name="_Toc198471519"/>
      <w:bookmarkStart w:id="2458" w:name="_Toc198727557"/>
      <w:bookmarkStart w:id="2459" w:name="_Toc198728672"/>
      <w:bookmarkStart w:id="2460" w:name="_Toc198729787"/>
      <w:bookmarkStart w:id="2461" w:name="_Toc198730902"/>
      <w:bookmarkStart w:id="2462" w:name="_Toc198471520"/>
      <w:bookmarkStart w:id="2463" w:name="_Toc198727558"/>
      <w:bookmarkStart w:id="2464" w:name="_Toc198728673"/>
      <w:bookmarkStart w:id="2465" w:name="_Toc198729788"/>
      <w:bookmarkStart w:id="2466" w:name="_Toc198730903"/>
      <w:bookmarkStart w:id="2467" w:name="_Toc198471521"/>
      <w:bookmarkStart w:id="2468" w:name="_Toc198727559"/>
      <w:bookmarkStart w:id="2469" w:name="_Toc198728674"/>
      <w:bookmarkStart w:id="2470" w:name="_Toc198729789"/>
      <w:bookmarkStart w:id="2471" w:name="_Toc198730904"/>
      <w:bookmarkStart w:id="2472" w:name="_Toc198471522"/>
      <w:bookmarkStart w:id="2473" w:name="_Toc198727560"/>
      <w:bookmarkStart w:id="2474" w:name="_Toc198728675"/>
      <w:bookmarkStart w:id="2475" w:name="_Toc198729790"/>
      <w:bookmarkStart w:id="2476" w:name="_Toc198730905"/>
      <w:bookmarkStart w:id="2477" w:name="_Toc198471523"/>
      <w:bookmarkStart w:id="2478" w:name="_Toc198727561"/>
      <w:bookmarkStart w:id="2479" w:name="_Toc198728676"/>
      <w:bookmarkStart w:id="2480" w:name="_Toc198729791"/>
      <w:bookmarkStart w:id="2481" w:name="_Toc198730906"/>
      <w:bookmarkStart w:id="2482" w:name="_Toc198471524"/>
      <w:bookmarkStart w:id="2483" w:name="_Toc198727562"/>
      <w:bookmarkStart w:id="2484" w:name="_Toc198728677"/>
      <w:bookmarkStart w:id="2485" w:name="_Toc198729792"/>
      <w:bookmarkStart w:id="2486" w:name="_Toc198730907"/>
      <w:bookmarkStart w:id="2487" w:name="_Toc198471525"/>
      <w:bookmarkStart w:id="2488" w:name="_Toc198727563"/>
      <w:bookmarkStart w:id="2489" w:name="_Toc198728678"/>
      <w:bookmarkStart w:id="2490" w:name="_Toc198729793"/>
      <w:bookmarkStart w:id="2491" w:name="_Toc198730908"/>
      <w:bookmarkStart w:id="2492" w:name="_Toc198471526"/>
      <w:bookmarkStart w:id="2493" w:name="_Toc198727564"/>
      <w:bookmarkStart w:id="2494" w:name="_Toc198728679"/>
      <w:bookmarkStart w:id="2495" w:name="_Toc198729794"/>
      <w:bookmarkStart w:id="2496" w:name="_Toc198730909"/>
      <w:bookmarkStart w:id="2497" w:name="_Toc198471527"/>
      <w:bookmarkStart w:id="2498" w:name="_Toc198727565"/>
      <w:bookmarkStart w:id="2499" w:name="_Toc198728680"/>
      <w:bookmarkStart w:id="2500" w:name="_Toc198729795"/>
      <w:bookmarkStart w:id="2501" w:name="_Toc198730910"/>
      <w:bookmarkStart w:id="2502" w:name="_Toc198471528"/>
      <w:bookmarkStart w:id="2503" w:name="_Toc198727566"/>
      <w:bookmarkStart w:id="2504" w:name="_Toc198728681"/>
      <w:bookmarkStart w:id="2505" w:name="_Toc198729796"/>
      <w:bookmarkStart w:id="2506" w:name="_Toc198730911"/>
      <w:bookmarkStart w:id="2507" w:name="_Toc198471529"/>
      <w:bookmarkStart w:id="2508" w:name="_Toc198727567"/>
      <w:bookmarkStart w:id="2509" w:name="_Toc198728682"/>
      <w:bookmarkStart w:id="2510" w:name="_Toc198729797"/>
      <w:bookmarkStart w:id="2511" w:name="_Toc198730912"/>
      <w:bookmarkStart w:id="2512" w:name="_Toc198471530"/>
      <w:bookmarkStart w:id="2513" w:name="_Toc198727568"/>
      <w:bookmarkStart w:id="2514" w:name="_Toc198728683"/>
      <w:bookmarkStart w:id="2515" w:name="_Toc198729798"/>
      <w:bookmarkStart w:id="2516" w:name="_Toc198730913"/>
      <w:bookmarkStart w:id="2517" w:name="_Toc198471531"/>
      <w:bookmarkStart w:id="2518" w:name="_Toc198727569"/>
      <w:bookmarkStart w:id="2519" w:name="_Toc198728684"/>
      <w:bookmarkStart w:id="2520" w:name="_Toc198729799"/>
      <w:bookmarkStart w:id="2521" w:name="_Toc198730914"/>
      <w:bookmarkStart w:id="2522" w:name="_Toc198471532"/>
      <w:bookmarkStart w:id="2523" w:name="_Toc198727570"/>
      <w:bookmarkStart w:id="2524" w:name="_Toc198728685"/>
      <w:bookmarkStart w:id="2525" w:name="_Toc198729800"/>
      <w:bookmarkStart w:id="2526" w:name="_Toc198730915"/>
      <w:bookmarkStart w:id="2527" w:name="_Toc198471533"/>
      <w:bookmarkStart w:id="2528" w:name="_Toc198727571"/>
      <w:bookmarkStart w:id="2529" w:name="_Toc198728686"/>
      <w:bookmarkStart w:id="2530" w:name="_Toc198729801"/>
      <w:bookmarkStart w:id="2531" w:name="_Toc198730916"/>
      <w:bookmarkStart w:id="2532" w:name="_Toc198471534"/>
      <w:bookmarkStart w:id="2533" w:name="_Toc198727572"/>
      <w:bookmarkStart w:id="2534" w:name="_Toc198728687"/>
      <w:bookmarkStart w:id="2535" w:name="_Toc198729802"/>
      <w:bookmarkStart w:id="2536" w:name="_Toc198730917"/>
      <w:bookmarkStart w:id="2537" w:name="_Toc198471535"/>
      <w:bookmarkStart w:id="2538" w:name="_Toc198727573"/>
      <w:bookmarkStart w:id="2539" w:name="_Toc198728688"/>
      <w:bookmarkStart w:id="2540" w:name="_Toc198729803"/>
      <w:bookmarkStart w:id="2541" w:name="_Toc198730918"/>
      <w:bookmarkStart w:id="2542" w:name="_Toc198471536"/>
      <w:bookmarkStart w:id="2543" w:name="_Toc198727574"/>
      <w:bookmarkStart w:id="2544" w:name="_Toc198728689"/>
      <w:bookmarkStart w:id="2545" w:name="_Toc198729804"/>
      <w:bookmarkStart w:id="2546" w:name="_Toc198730919"/>
      <w:bookmarkStart w:id="2547" w:name="_Toc198471537"/>
      <w:bookmarkStart w:id="2548" w:name="_Toc198727575"/>
      <w:bookmarkStart w:id="2549" w:name="_Toc198728690"/>
      <w:bookmarkStart w:id="2550" w:name="_Toc198729805"/>
      <w:bookmarkStart w:id="2551" w:name="_Toc198730920"/>
      <w:bookmarkStart w:id="2552" w:name="_Toc198471580"/>
      <w:bookmarkStart w:id="2553" w:name="_Toc198727618"/>
      <w:bookmarkStart w:id="2554" w:name="_Toc198728733"/>
      <w:bookmarkStart w:id="2555" w:name="_Toc198729848"/>
      <w:bookmarkStart w:id="2556" w:name="_Toc198730963"/>
      <w:bookmarkStart w:id="2557" w:name="_Toc198471581"/>
      <w:bookmarkStart w:id="2558" w:name="_Toc198727619"/>
      <w:bookmarkStart w:id="2559" w:name="_Toc198728734"/>
      <w:bookmarkStart w:id="2560" w:name="_Toc198729849"/>
      <w:bookmarkStart w:id="2561" w:name="_Toc198730964"/>
      <w:bookmarkStart w:id="2562" w:name="_Toc198471582"/>
      <w:bookmarkStart w:id="2563" w:name="_Toc198727620"/>
      <w:bookmarkStart w:id="2564" w:name="_Toc198728735"/>
      <w:bookmarkStart w:id="2565" w:name="_Toc198729850"/>
      <w:bookmarkStart w:id="2566" w:name="_Toc198730965"/>
      <w:bookmarkStart w:id="2567" w:name="_Toc198471583"/>
      <w:bookmarkStart w:id="2568" w:name="_Toc198727621"/>
      <w:bookmarkStart w:id="2569" w:name="_Toc198728736"/>
      <w:bookmarkStart w:id="2570" w:name="_Toc198729851"/>
      <w:bookmarkStart w:id="2571" w:name="_Toc198730966"/>
      <w:bookmarkStart w:id="2572" w:name="_Toc198471584"/>
      <w:bookmarkStart w:id="2573" w:name="_Toc198727622"/>
      <w:bookmarkStart w:id="2574" w:name="_Toc198728737"/>
      <w:bookmarkStart w:id="2575" w:name="_Toc198729852"/>
      <w:bookmarkStart w:id="2576" w:name="_Toc198730967"/>
      <w:bookmarkStart w:id="2577" w:name="_Toc198471585"/>
      <w:bookmarkStart w:id="2578" w:name="_Toc198727623"/>
      <w:bookmarkStart w:id="2579" w:name="_Toc198728738"/>
      <w:bookmarkStart w:id="2580" w:name="_Toc198729853"/>
      <w:bookmarkStart w:id="2581" w:name="_Toc198730968"/>
      <w:bookmarkStart w:id="2582" w:name="_Toc198471586"/>
      <w:bookmarkStart w:id="2583" w:name="_Toc198727624"/>
      <w:bookmarkStart w:id="2584" w:name="_Toc198728739"/>
      <w:bookmarkStart w:id="2585" w:name="_Toc198729854"/>
      <w:bookmarkStart w:id="2586" w:name="_Toc198730969"/>
      <w:bookmarkStart w:id="2587" w:name="_Toc198471587"/>
      <w:bookmarkStart w:id="2588" w:name="_Toc198727625"/>
      <w:bookmarkStart w:id="2589" w:name="_Toc198728740"/>
      <w:bookmarkStart w:id="2590" w:name="_Toc198729855"/>
      <w:bookmarkStart w:id="2591" w:name="_Toc198730970"/>
      <w:bookmarkStart w:id="2592" w:name="_Toc198471588"/>
      <w:bookmarkStart w:id="2593" w:name="_Toc198727626"/>
      <w:bookmarkStart w:id="2594" w:name="_Toc198728741"/>
      <w:bookmarkStart w:id="2595" w:name="_Toc198729856"/>
      <w:bookmarkStart w:id="2596" w:name="_Toc198730971"/>
      <w:bookmarkStart w:id="2597" w:name="_Toc198471589"/>
      <w:bookmarkStart w:id="2598" w:name="_Toc198727627"/>
      <w:bookmarkStart w:id="2599" w:name="_Toc198728742"/>
      <w:bookmarkStart w:id="2600" w:name="_Toc198729857"/>
      <w:bookmarkStart w:id="2601" w:name="_Toc198730972"/>
      <w:bookmarkStart w:id="2602" w:name="_Toc198471590"/>
      <w:bookmarkStart w:id="2603" w:name="_Toc198727628"/>
      <w:bookmarkStart w:id="2604" w:name="_Toc198728743"/>
      <w:bookmarkStart w:id="2605" w:name="_Toc198729858"/>
      <w:bookmarkStart w:id="2606" w:name="_Toc198730973"/>
      <w:bookmarkStart w:id="2607" w:name="_Toc198471591"/>
      <w:bookmarkStart w:id="2608" w:name="_Toc198727629"/>
      <w:bookmarkStart w:id="2609" w:name="_Toc198728744"/>
      <w:bookmarkStart w:id="2610" w:name="_Toc198729859"/>
      <w:bookmarkStart w:id="2611" w:name="_Toc198730974"/>
      <w:bookmarkStart w:id="2612" w:name="_Toc198471592"/>
      <w:bookmarkStart w:id="2613" w:name="_Toc198727630"/>
      <w:bookmarkStart w:id="2614" w:name="_Toc198728745"/>
      <w:bookmarkStart w:id="2615" w:name="_Toc198729860"/>
      <w:bookmarkStart w:id="2616" w:name="_Toc198730975"/>
      <w:bookmarkStart w:id="2617" w:name="_Toc198471593"/>
      <w:bookmarkStart w:id="2618" w:name="_Toc198727631"/>
      <w:bookmarkStart w:id="2619" w:name="_Toc198728746"/>
      <w:bookmarkStart w:id="2620" w:name="_Toc198729861"/>
      <w:bookmarkStart w:id="2621" w:name="_Toc198730976"/>
      <w:bookmarkStart w:id="2622" w:name="_Toc198471594"/>
      <w:bookmarkStart w:id="2623" w:name="_Toc198727632"/>
      <w:bookmarkStart w:id="2624" w:name="_Toc198728747"/>
      <w:bookmarkStart w:id="2625" w:name="_Toc198729862"/>
      <w:bookmarkStart w:id="2626" w:name="_Toc198730977"/>
      <w:bookmarkStart w:id="2627" w:name="_Toc198471595"/>
      <w:bookmarkStart w:id="2628" w:name="_Toc198727633"/>
      <w:bookmarkStart w:id="2629" w:name="_Toc198728748"/>
      <w:bookmarkStart w:id="2630" w:name="_Toc198729863"/>
      <w:bookmarkStart w:id="2631" w:name="_Toc198730978"/>
      <w:bookmarkStart w:id="2632" w:name="_Toc198471596"/>
      <w:bookmarkStart w:id="2633" w:name="_Toc198727634"/>
      <w:bookmarkStart w:id="2634" w:name="_Toc198728749"/>
      <w:bookmarkStart w:id="2635" w:name="_Toc198729864"/>
      <w:bookmarkStart w:id="2636" w:name="_Toc198730979"/>
      <w:bookmarkStart w:id="2637" w:name="_Toc198471597"/>
      <w:bookmarkStart w:id="2638" w:name="_Toc198727635"/>
      <w:bookmarkStart w:id="2639" w:name="_Toc198728750"/>
      <w:bookmarkStart w:id="2640" w:name="_Toc198729865"/>
      <w:bookmarkStart w:id="2641" w:name="_Toc198730980"/>
      <w:bookmarkStart w:id="2642" w:name="_Toc198471598"/>
      <w:bookmarkStart w:id="2643" w:name="_Toc198727636"/>
      <w:bookmarkStart w:id="2644" w:name="_Toc198728751"/>
      <w:bookmarkStart w:id="2645" w:name="_Toc198729866"/>
      <w:bookmarkStart w:id="2646" w:name="_Toc198730981"/>
      <w:bookmarkStart w:id="2647" w:name="_Toc198471599"/>
      <w:bookmarkStart w:id="2648" w:name="_Toc198727637"/>
      <w:bookmarkStart w:id="2649" w:name="_Toc198728752"/>
      <w:bookmarkStart w:id="2650" w:name="_Toc198729867"/>
      <w:bookmarkStart w:id="2651" w:name="_Toc198730982"/>
      <w:bookmarkStart w:id="2652" w:name="_Toc198471600"/>
      <w:bookmarkStart w:id="2653" w:name="_Toc198727638"/>
      <w:bookmarkStart w:id="2654" w:name="_Toc198728753"/>
      <w:bookmarkStart w:id="2655" w:name="_Toc198729868"/>
      <w:bookmarkStart w:id="2656" w:name="_Toc198730983"/>
      <w:bookmarkStart w:id="2657" w:name="_Toc198471601"/>
      <w:bookmarkStart w:id="2658" w:name="_Toc198727639"/>
      <w:bookmarkStart w:id="2659" w:name="_Toc198728754"/>
      <w:bookmarkStart w:id="2660" w:name="_Toc198729869"/>
      <w:bookmarkStart w:id="2661" w:name="_Toc198730984"/>
      <w:bookmarkStart w:id="2662" w:name="_Toc198471602"/>
      <w:bookmarkStart w:id="2663" w:name="_Toc198727640"/>
      <w:bookmarkStart w:id="2664" w:name="_Toc198728755"/>
      <w:bookmarkStart w:id="2665" w:name="_Toc198729870"/>
      <w:bookmarkStart w:id="2666" w:name="_Toc198730985"/>
      <w:bookmarkStart w:id="2667" w:name="_Toc198471603"/>
      <w:bookmarkStart w:id="2668" w:name="_Toc198727641"/>
      <w:bookmarkStart w:id="2669" w:name="_Toc198728756"/>
      <w:bookmarkStart w:id="2670" w:name="_Toc198729871"/>
      <w:bookmarkStart w:id="2671" w:name="_Toc198730986"/>
      <w:bookmarkStart w:id="2672" w:name="_Toc198471604"/>
      <w:bookmarkStart w:id="2673" w:name="_Toc198727642"/>
      <w:bookmarkStart w:id="2674" w:name="_Toc198728757"/>
      <w:bookmarkStart w:id="2675" w:name="_Toc198729872"/>
      <w:bookmarkStart w:id="2676" w:name="_Toc198730987"/>
      <w:bookmarkStart w:id="2677" w:name="_Toc198471605"/>
      <w:bookmarkStart w:id="2678" w:name="_Toc198727643"/>
      <w:bookmarkStart w:id="2679" w:name="_Toc198728758"/>
      <w:bookmarkStart w:id="2680" w:name="_Toc198729873"/>
      <w:bookmarkStart w:id="2681" w:name="_Toc198730988"/>
      <w:bookmarkStart w:id="2682" w:name="_Toc198471606"/>
      <w:bookmarkStart w:id="2683" w:name="_Toc198727644"/>
      <w:bookmarkStart w:id="2684" w:name="_Toc198728759"/>
      <w:bookmarkStart w:id="2685" w:name="_Toc198729874"/>
      <w:bookmarkStart w:id="2686" w:name="_Toc198730989"/>
      <w:bookmarkStart w:id="2687" w:name="_Toc198471607"/>
      <w:bookmarkStart w:id="2688" w:name="_Toc198727645"/>
      <w:bookmarkStart w:id="2689" w:name="_Toc198728760"/>
      <w:bookmarkStart w:id="2690" w:name="_Toc198729875"/>
      <w:bookmarkStart w:id="2691" w:name="_Toc198730990"/>
      <w:bookmarkStart w:id="2692" w:name="_Toc198471608"/>
      <w:bookmarkStart w:id="2693" w:name="_Toc198727646"/>
      <w:bookmarkStart w:id="2694" w:name="_Toc198728761"/>
      <w:bookmarkStart w:id="2695" w:name="_Toc198729876"/>
      <w:bookmarkStart w:id="2696" w:name="_Toc198730991"/>
      <w:bookmarkStart w:id="2697" w:name="_Toc198471609"/>
      <w:bookmarkStart w:id="2698" w:name="_Toc198727647"/>
      <w:bookmarkStart w:id="2699" w:name="_Toc198728762"/>
      <w:bookmarkStart w:id="2700" w:name="_Toc198729877"/>
      <w:bookmarkStart w:id="2701" w:name="_Toc198730992"/>
      <w:bookmarkStart w:id="2702" w:name="_Toc198471610"/>
      <w:bookmarkStart w:id="2703" w:name="_Toc198727648"/>
      <w:bookmarkStart w:id="2704" w:name="_Toc198728763"/>
      <w:bookmarkStart w:id="2705" w:name="_Toc198729878"/>
      <w:bookmarkStart w:id="2706" w:name="_Toc198730993"/>
      <w:bookmarkStart w:id="2707" w:name="_Toc198471611"/>
      <w:bookmarkStart w:id="2708" w:name="_Toc198727649"/>
      <w:bookmarkStart w:id="2709" w:name="_Toc198728764"/>
      <w:bookmarkStart w:id="2710" w:name="_Toc198729879"/>
      <w:bookmarkStart w:id="2711" w:name="_Toc198730994"/>
      <w:bookmarkStart w:id="2712" w:name="_Toc198471612"/>
      <w:bookmarkStart w:id="2713" w:name="_Toc198727650"/>
      <w:bookmarkStart w:id="2714" w:name="_Toc198728765"/>
      <w:bookmarkStart w:id="2715" w:name="_Toc198729880"/>
      <w:bookmarkStart w:id="2716" w:name="_Toc198730995"/>
      <w:bookmarkStart w:id="2717" w:name="_Toc198471613"/>
      <w:bookmarkStart w:id="2718" w:name="_Toc198727651"/>
      <w:bookmarkStart w:id="2719" w:name="_Toc198728766"/>
      <w:bookmarkStart w:id="2720" w:name="_Toc198729881"/>
      <w:bookmarkStart w:id="2721" w:name="_Toc198730996"/>
      <w:bookmarkStart w:id="2722" w:name="_Toc198471614"/>
      <w:bookmarkStart w:id="2723" w:name="_Toc198727652"/>
      <w:bookmarkStart w:id="2724" w:name="_Toc198728767"/>
      <w:bookmarkStart w:id="2725" w:name="_Toc198729882"/>
      <w:bookmarkStart w:id="2726" w:name="_Toc198730997"/>
      <w:bookmarkStart w:id="2727" w:name="_Toc198471615"/>
      <w:bookmarkStart w:id="2728" w:name="_Toc198727653"/>
      <w:bookmarkStart w:id="2729" w:name="_Toc198728768"/>
      <w:bookmarkStart w:id="2730" w:name="_Toc198729883"/>
      <w:bookmarkStart w:id="2731" w:name="_Toc198730998"/>
      <w:bookmarkStart w:id="2732" w:name="_Toc198471616"/>
      <w:bookmarkStart w:id="2733" w:name="_Toc198727654"/>
      <w:bookmarkStart w:id="2734" w:name="_Toc198728769"/>
      <w:bookmarkStart w:id="2735" w:name="_Toc198729884"/>
      <w:bookmarkStart w:id="2736" w:name="_Toc198730999"/>
      <w:bookmarkStart w:id="2737" w:name="_Toc198471617"/>
      <w:bookmarkStart w:id="2738" w:name="_Toc198727655"/>
      <w:bookmarkStart w:id="2739" w:name="_Toc198728770"/>
      <w:bookmarkStart w:id="2740" w:name="_Toc198729885"/>
      <w:bookmarkStart w:id="2741" w:name="_Toc198731000"/>
      <w:bookmarkStart w:id="2742" w:name="_Toc198471618"/>
      <w:bookmarkStart w:id="2743" w:name="_Toc198727656"/>
      <w:bookmarkStart w:id="2744" w:name="_Toc198728771"/>
      <w:bookmarkStart w:id="2745" w:name="_Toc198729886"/>
      <w:bookmarkStart w:id="2746" w:name="_Toc198731001"/>
      <w:bookmarkStart w:id="2747" w:name="_Toc198471619"/>
      <w:bookmarkStart w:id="2748" w:name="_Toc198727657"/>
      <w:bookmarkStart w:id="2749" w:name="_Toc198728772"/>
      <w:bookmarkStart w:id="2750" w:name="_Toc198729887"/>
      <w:bookmarkStart w:id="2751" w:name="_Toc198731002"/>
      <w:bookmarkStart w:id="2752" w:name="_Toc198471620"/>
      <w:bookmarkStart w:id="2753" w:name="_Toc198727658"/>
      <w:bookmarkStart w:id="2754" w:name="_Toc198728773"/>
      <w:bookmarkStart w:id="2755" w:name="_Toc198729888"/>
      <w:bookmarkStart w:id="2756" w:name="_Toc198731003"/>
      <w:bookmarkStart w:id="2757" w:name="_Toc198471621"/>
      <w:bookmarkStart w:id="2758" w:name="_Toc198727659"/>
      <w:bookmarkStart w:id="2759" w:name="_Toc198728774"/>
      <w:bookmarkStart w:id="2760" w:name="_Toc198729889"/>
      <w:bookmarkStart w:id="2761" w:name="_Toc198731004"/>
      <w:bookmarkStart w:id="2762" w:name="_Toc198471622"/>
      <w:bookmarkStart w:id="2763" w:name="_Toc198727660"/>
      <w:bookmarkStart w:id="2764" w:name="_Toc198728775"/>
      <w:bookmarkStart w:id="2765" w:name="_Toc198729890"/>
      <w:bookmarkStart w:id="2766" w:name="_Toc198731005"/>
      <w:bookmarkStart w:id="2767" w:name="_Toc198471623"/>
      <w:bookmarkStart w:id="2768" w:name="_Toc198727661"/>
      <w:bookmarkStart w:id="2769" w:name="_Toc198728776"/>
      <w:bookmarkStart w:id="2770" w:name="_Toc198729891"/>
      <w:bookmarkStart w:id="2771" w:name="_Toc198731006"/>
      <w:bookmarkStart w:id="2772" w:name="_Toc198471624"/>
      <w:bookmarkStart w:id="2773" w:name="_Toc198727662"/>
      <w:bookmarkStart w:id="2774" w:name="_Toc198728777"/>
      <w:bookmarkStart w:id="2775" w:name="_Toc198729892"/>
      <w:bookmarkStart w:id="2776" w:name="_Toc198731007"/>
      <w:bookmarkStart w:id="2777" w:name="_Toc198471625"/>
      <w:bookmarkStart w:id="2778" w:name="_Toc198727663"/>
      <w:bookmarkStart w:id="2779" w:name="_Toc198728778"/>
      <w:bookmarkStart w:id="2780" w:name="_Toc198729893"/>
      <w:bookmarkStart w:id="2781" w:name="_Toc198731008"/>
      <w:bookmarkStart w:id="2782" w:name="_Toc198471626"/>
      <w:bookmarkStart w:id="2783" w:name="_Toc198727664"/>
      <w:bookmarkStart w:id="2784" w:name="_Toc198728779"/>
      <w:bookmarkStart w:id="2785" w:name="_Toc198729894"/>
      <w:bookmarkStart w:id="2786" w:name="_Toc198731009"/>
      <w:bookmarkStart w:id="2787" w:name="_Toc198471627"/>
      <w:bookmarkStart w:id="2788" w:name="_Toc198727665"/>
      <w:bookmarkStart w:id="2789" w:name="_Toc198728780"/>
      <w:bookmarkStart w:id="2790" w:name="_Toc198729895"/>
      <w:bookmarkStart w:id="2791" w:name="_Toc198731010"/>
      <w:bookmarkStart w:id="2792" w:name="_Toc198471628"/>
      <w:bookmarkStart w:id="2793" w:name="_Toc198727666"/>
      <w:bookmarkStart w:id="2794" w:name="_Toc198728781"/>
      <w:bookmarkStart w:id="2795" w:name="_Toc198729896"/>
      <w:bookmarkStart w:id="2796" w:name="_Toc198731011"/>
      <w:bookmarkStart w:id="2797" w:name="_Toc198471629"/>
      <w:bookmarkStart w:id="2798" w:name="_Toc198727667"/>
      <w:bookmarkStart w:id="2799" w:name="_Toc198728782"/>
      <w:bookmarkStart w:id="2800" w:name="_Toc198729897"/>
      <w:bookmarkStart w:id="2801" w:name="_Toc198731012"/>
      <w:bookmarkStart w:id="2802" w:name="_Toc198471630"/>
      <w:bookmarkStart w:id="2803" w:name="_Toc198727668"/>
      <w:bookmarkStart w:id="2804" w:name="_Toc198728783"/>
      <w:bookmarkStart w:id="2805" w:name="_Toc198729898"/>
      <w:bookmarkStart w:id="2806" w:name="_Toc198731013"/>
      <w:bookmarkStart w:id="2807" w:name="_Toc198471631"/>
      <w:bookmarkStart w:id="2808" w:name="_Toc198727669"/>
      <w:bookmarkStart w:id="2809" w:name="_Toc198728784"/>
      <w:bookmarkStart w:id="2810" w:name="_Toc198729899"/>
      <w:bookmarkStart w:id="2811" w:name="_Toc198731014"/>
      <w:bookmarkStart w:id="2812" w:name="_Toc198471632"/>
      <w:bookmarkStart w:id="2813" w:name="_Toc198727670"/>
      <w:bookmarkStart w:id="2814" w:name="_Toc198728785"/>
      <w:bookmarkStart w:id="2815" w:name="_Toc198729900"/>
      <w:bookmarkStart w:id="2816" w:name="_Toc198731015"/>
      <w:bookmarkStart w:id="2817" w:name="_Toc198471633"/>
      <w:bookmarkStart w:id="2818" w:name="_Toc198727671"/>
      <w:bookmarkStart w:id="2819" w:name="_Toc198728786"/>
      <w:bookmarkStart w:id="2820" w:name="_Toc198729901"/>
      <w:bookmarkStart w:id="2821" w:name="_Toc198731016"/>
      <w:bookmarkStart w:id="2822" w:name="_Toc198471634"/>
      <w:bookmarkStart w:id="2823" w:name="_Toc198727672"/>
      <w:bookmarkStart w:id="2824" w:name="_Toc198728787"/>
      <w:bookmarkStart w:id="2825" w:name="_Toc198729902"/>
      <w:bookmarkStart w:id="2826" w:name="_Toc198731017"/>
      <w:bookmarkStart w:id="2827" w:name="_Toc198471635"/>
      <w:bookmarkStart w:id="2828" w:name="_Toc198727673"/>
      <w:bookmarkStart w:id="2829" w:name="_Toc198728788"/>
      <w:bookmarkStart w:id="2830" w:name="_Toc198729903"/>
      <w:bookmarkStart w:id="2831" w:name="_Toc198731018"/>
      <w:bookmarkStart w:id="2832" w:name="_Toc198471636"/>
      <w:bookmarkStart w:id="2833" w:name="_Toc198727674"/>
      <w:bookmarkStart w:id="2834" w:name="_Toc198728789"/>
      <w:bookmarkStart w:id="2835" w:name="_Toc198729904"/>
      <w:bookmarkStart w:id="2836" w:name="_Toc198731019"/>
      <w:bookmarkStart w:id="2837" w:name="_Toc198471637"/>
      <w:bookmarkStart w:id="2838" w:name="_Toc198727675"/>
      <w:bookmarkStart w:id="2839" w:name="_Toc198728790"/>
      <w:bookmarkStart w:id="2840" w:name="_Toc198729905"/>
      <w:bookmarkStart w:id="2841" w:name="_Toc198731020"/>
      <w:bookmarkStart w:id="2842" w:name="_Toc198471638"/>
      <w:bookmarkStart w:id="2843" w:name="_Toc198727676"/>
      <w:bookmarkStart w:id="2844" w:name="_Toc198728791"/>
      <w:bookmarkStart w:id="2845" w:name="_Toc198729906"/>
      <w:bookmarkStart w:id="2846" w:name="_Toc198731021"/>
      <w:bookmarkStart w:id="2847" w:name="_Toc198471639"/>
      <w:bookmarkStart w:id="2848" w:name="_Toc198727677"/>
      <w:bookmarkStart w:id="2849" w:name="_Toc198728792"/>
      <w:bookmarkStart w:id="2850" w:name="_Toc198729907"/>
      <w:bookmarkStart w:id="2851" w:name="_Toc198731022"/>
      <w:bookmarkStart w:id="2852" w:name="_Toc198471640"/>
      <w:bookmarkStart w:id="2853" w:name="_Toc198727678"/>
      <w:bookmarkStart w:id="2854" w:name="_Toc198728793"/>
      <w:bookmarkStart w:id="2855" w:name="_Toc198729908"/>
      <w:bookmarkStart w:id="2856" w:name="_Toc198731023"/>
      <w:bookmarkStart w:id="2857" w:name="_Toc198471641"/>
      <w:bookmarkStart w:id="2858" w:name="_Toc198727679"/>
      <w:bookmarkStart w:id="2859" w:name="_Toc198728794"/>
      <w:bookmarkStart w:id="2860" w:name="_Toc198729909"/>
      <w:bookmarkStart w:id="2861" w:name="_Toc198731024"/>
      <w:bookmarkStart w:id="2862" w:name="_Toc198471642"/>
      <w:bookmarkStart w:id="2863" w:name="_Toc198727680"/>
      <w:bookmarkStart w:id="2864" w:name="_Toc198728795"/>
      <w:bookmarkStart w:id="2865" w:name="_Toc198729910"/>
      <w:bookmarkStart w:id="2866" w:name="_Toc198731025"/>
      <w:bookmarkStart w:id="2867" w:name="_Toc198471643"/>
      <w:bookmarkStart w:id="2868" w:name="_Toc198727681"/>
      <w:bookmarkStart w:id="2869" w:name="_Toc198728796"/>
      <w:bookmarkStart w:id="2870" w:name="_Toc198729911"/>
      <w:bookmarkStart w:id="2871" w:name="_Toc198731026"/>
      <w:bookmarkStart w:id="2872" w:name="_Toc198471644"/>
      <w:bookmarkStart w:id="2873" w:name="_Toc198727682"/>
      <w:bookmarkStart w:id="2874" w:name="_Toc198728797"/>
      <w:bookmarkStart w:id="2875" w:name="_Toc198729912"/>
      <w:bookmarkStart w:id="2876" w:name="_Toc198731027"/>
      <w:bookmarkStart w:id="2877" w:name="_Toc198471645"/>
      <w:bookmarkStart w:id="2878" w:name="_Toc198727683"/>
      <w:bookmarkStart w:id="2879" w:name="_Toc198728798"/>
      <w:bookmarkStart w:id="2880" w:name="_Toc198729913"/>
      <w:bookmarkStart w:id="2881" w:name="_Toc198731028"/>
      <w:bookmarkStart w:id="2882" w:name="_Toc198471646"/>
      <w:bookmarkStart w:id="2883" w:name="_Toc198727684"/>
      <w:bookmarkStart w:id="2884" w:name="_Toc198728799"/>
      <w:bookmarkStart w:id="2885" w:name="_Toc198729914"/>
      <w:bookmarkStart w:id="2886" w:name="_Toc198731029"/>
      <w:bookmarkStart w:id="2887" w:name="_Toc198471647"/>
      <w:bookmarkStart w:id="2888" w:name="_Toc198727685"/>
      <w:bookmarkStart w:id="2889" w:name="_Toc198728800"/>
      <w:bookmarkStart w:id="2890" w:name="_Toc198729915"/>
      <w:bookmarkStart w:id="2891" w:name="_Toc198731030"/>
      <w:bookmarkStart w:id="2892" w:name="_Toc198471648"/>
      <w:bookmarkStart w:id="2893" w:name="_Toc198727686"/>
      <w:bookmarkStart w:id="2894" w:name="_Toc198728801"/>
      <w:bookmarkStart w:id="2895" w:name="_Toc198729916"/>
      <w:bookmarkStart w:id="2896" w:name="_Toc198731031"/>
      <w:bookmarkStart w:id="2897" w:name="_Toc198471649"/>
      <w:bookmarkStart w:id="2898" w:name="_Toc198727687"/>
      <w:bookmarkStart w:id="2899" w:name="_Toc198728802"/>
      <w:bookmarkStart w:id="2900" w:name="_Toc198729917"/>
      <w:bookmarkStart w:id="2901" w:name="_Toc198731032"/>
      <w:bookmarkStart w:id="2902" w:name="_Toc198471730"/>
      <w:bookmarkStart w:id="2903" w:name="_Toc198727768"/>
      <w:bookmarkStart w:id="2904" w:name="_Toc198728883"/>
      <w:bookmarkStart w:id="2905" w:name="_Toc198729998"/>
      <w:bookmarkStart w:id="2906" w:name="_Toc198731113"/>
      <w:bookmarkStart w:id="2907" w:name="_Toc198471731"/>
      <w:bookmarkStart w:id="2908" w:name="_Toc198727769"/>
      <w:bookmarkStart w:id="2909" w:name="_Toc198728884"/>
      <w:bookmarkStart w:id="2910" w:name="_Toc198729999"/>
      <w:bookmarkStart w:id="2911" w:name="_Toc198731114"/>
      <w:bookmarkStart w:id="2912" w:name="_Toc198471732"/>
      <w:bookmarkStart w:id="2913" w:name="_Toc198727770"/>
      <w:bookmarkStart w:id="2914" w:name="_Toc198728885"/>
      <w:bookmarkStart w:id="2915" w:name="_Toc198730000"/>
      <w:bookmarkStart w:id="2916" w:name="_Toc198731115"/>
      <w:bookmarkStart w:id="2917" w:name="_Toc198471733"/>
      <w:bookmarkStart w:id="2918" w:name="_Toc198727771"/>
      <w:bookmarkStart w:id="2919" w:name="_Toc198728886"/>
      <w:bookmarkStart w:id="2920" w:name="_Toc198730001"/>
      <w:bookmarkStart w:id="2921" w:name="_Toc198731116"/>
      <w:bookmarkStart w:id="2922" w:name="_Toc198471734"/>
      <w:bookmarkStart w:id="2923" w:name="_Toc198727772"/>
      <w:bookmarkStart w:id="2924" w:name="_Toc198728887"/>
      <w:bookmarkStart w:id="2925" w:name="_Toc198730002"/>
      <w:bookmarkStart w:id="2926" w:name="_Toc198731117"/>
      <w:bookmarkStart w:id="2927" w:name="_Toc198471735"/>
      <w:bookmarkStart w:id="2928" w:name="_Toc198727773"/>
      <w:bookmarkStart w:id="2929" w:name="_Toc198728888"/>
      <w:bookmarkStart w:id="2930" w:name="_Toc198730003"/>
      <w:bookmarkStart w:id="2931" w:name="_Toc198731118"/>
      <w:bookmarkStart w:id="2932" w:name="_Toc198471736"/>
      <w:bookmarkStart w:id="2933" w:name="_Toc198727774"/>
      <w:bookmarkStart w:id="2934" w:name="_Toc198728889"/>
      <w:bookmarkStart w:id="2935" w:name="_Toc198730004"/>
      <w:bookmarkStart w:id="2936" w:name="_Toc198731119"/>
      <w:bookmarkStart w:id="2937" w:name="_Toc198471737"/>
      <w:bookmarkStart w:id="2938" w:name="_Toc198727775"/>
      <w:bookmarkStart w:id="2939" w:name="_Toc198728890"/>
      <w:bookmarkStart w:id="2940" w:name="_Toc198730005"/>
      <w:bookmarkStart w:id="2941" w:name="_Toc198731120"/>
      <w:bookmarkStart w:id="2942" w:name="_Toc198471738"/>
      <w:bookmarkStart w:id="2943" w:name="_Toc198727776"/>
      <w:bookmarkStart w:id="2944" w:name="_Toc198728891"/>
      <w:bookmarkStart w:id="2945" w:name="_Toc198730006"/>
      <w:bookmarkStart w:id="2946" w:name="_Toc198731121"/>
      <w:bookmarkStart w:id="2947" w:name="_Toc198471739"/>
      <w:bookmarkStart w:id="2948" w:name="_Toc198727777"/>
      <w:bookmarkStart w:id="2949" w:name="_Toc198728892"/>
      <w:bookmarkStart w:id="2950" w:name="_Toc198730007"/>
      <w:bookmarkStart w:id="2951" w:name="_Toc198731122"/>
      <w:bookmarkStart w:id="2952" w:name="_Toc198471740"/>
      <w:bookmarkStart w:id="2953" w:name="_Toc198727778"/>
      <w:bookmarkStart w:id="2954" w:name="_Toc198728893"/>
      <w:bookmarkStart w:id="2955" w:name="_Toc198730008"/>
      <w:bookmarkStart w:id="2956" w:name="_Toc198731123"/>
      <w:bookmarkStart w:id="2957" w:name="_Toc198471741"/>
      <w:bookmarkStart w:id="2958" w:name="_Toc198727779"/>
      <w:bookmarkStart w:id="2959" w:name="_Toc198728894"/>
      <w:bookmarkStart w:id="2960" w:name="_Toc198730009"/>
      <w:bookmarkStart w:id="2961" w:name="_Toc198731124"/>
      <w:bookmarkStart w:id="2962" w:name="_Toc198471742"/>
      <w:bookmarkStart w:id="2963" w:name="_Toc198727780"/>
      <w:bookmarkStart w:id="2964" w:name="_Toc198728895"/>
      <w:bookmarkStart w:id="2965" w:name="_Toc198730010"/>
      <w:bookmarkStart w:id="2966" w:name="_Toc198731125"/>
      <w:bookmarkStart w:id="2967" w:name="_Toc198471743"/>
      <w:bookmarkStart w:id="2968" w:name="_Toc198727781"/>
      <w:bookmarkStart w:id="2969" w:name="_Toc198728896"/>
      <w:bookmarkStart w:id="2970" w:name="_Toc198730011"/>
      <w:bookmarkStart w:id="2971" w:name="_Toc198731126"/>
      <w:bookmarkStart w:id="2972" w:name="_Toc198471758"/>
      <w:bookmarkStart w:id="2973" w:name="_Toc198727796"/>
      <w:bookmarkStart w:id="2974" w:name="_Toc198728911"/>
      <w:bookmarkStart w:id="2975" w:name="_Toc198730026"/>
      <w:bookmarkStart w:id="2976" w:name="_Toc198731141"/>
      <w:bookmarkStart w:id="2977" w:name="_Toc198471759"/>
      <w:bookmarkStart w:id="2978" w:name="_Toc198727797"/>
      <w:bookmarkStart w:id="2979" w:name="_Toc198728912"/>
      <w:bookmarkStart w:id="2980" w:name="_Toc198730027"/>
      <w:bookmarkStart w:id="2981" w:name="_Toc198731142"/>
      <w:bookmarkStart w:id="2982" w:name="_Toc198471760"/>
      <w:bookmarkStart w:id="2983" w:name="_Toc198727798"/>
      <w:bookmarkStart w:id="2984" w:name="_Toc198728913"/>
      <w:bookmarkStart w:id="2985" w:name="_Toc198730028"/>
      <w:bookmarkStart w:id="2986" w:name="_Toc198731143"/>
      <w:bookmarkStart w:id="2987" w:name="_Toc198471761"/>
      <w:bookmarkStart w:id="2988" w:name="_Toc198727799"/>
      <w:bookmarkStart w:id="2989" w:name="_Toc198728914"/>
      <w:bookmarkStart w:id="2990" w:name="_Toc198730029"/>
      <w:bookmarkStart w:id="2991" w:name="_Toc198731144"/>
      <w:bookmarkStart w:id="2992" w:name="_Toc198471762"/>
      <w:bookmarkStart w:id="2993" w:name="_Toc198727800"/>
      <w:bookmarkStart w:id="2994" w:name="_Toc198728915"/>
      <w:bookmarkStart w:id="2995" w:name="_Toc198730030"/>
      <w:bookmarkStart w:id="2996" w:name="_Toc198731145"/>
      <w:bookmarkStart w:id="2997" w:name="_Toc198471763"/>
      <w:bookmarkStart w:id="2998" w:name="_Toc198727801"/>
      <w:bookmarkStart w:id="2999" w:name="_Toc198728916"/>
      <w:bookmarkStart w:id="3000" w:name="_Toc198730031"/>
      <w:bookmarkStart w:id="3001" w:name="_Toc198731146"/>
      <w:bookmarkStart w:id="3002" w:name="_Toc198471764"/>
      <w:bookmarkStart w:id="3003" w:name="_Toc198727802"/>
      <w:bookmarkStart w:id="3004" w:name="_Toc198728917"/>
      <w:bookmarkStart w:id="3005" w:name="_Toc198730032"/>
      <w:bookmarkStart w:id="3006" w:name="_Toc198731147"/>
      <w:bookmarkStart w:id="3007" w:name="_Toc198471765"/>
      <w:bookmarkStart w:id="3008" w:name="_Toc198727803"/>
      <w:bookmarkStart w:id="3009" w:name="_Toc198728918"/>
      <w:bookmarkStart w:id="3010" w:name="_Toc198730033"/>
      <w:bookmarkStart w:id="3011" w:name="_Toc198731148"/>
      <w:bookmarkStart w:id="3012" w:name="_Toc198471766"/>
      <w:bookmarkStart w:id="3013" w:name="_Toc198727804"/>
      <w:bookmarkStart w:id="3014" w:name="_Toc198728919"/>
      <w:bookmarkStart w:id="3015" w:name="_Toc198730034"/>
      <w:bookmarkStart w:id="3016" w:name="_Toc198731149"/>
      <w:bookmarkStart w:id="3017" w:name="_Toc198471767"/>
      <w:bookmarkStart w:id="3018" w:name="_Toc198727805"/>
      <w:bookmarkStart w:id="3019" w:name="_Toc198728920"/>
      <w:bookmarkStart w:id="3020" w:name="_Toc198730035"/>
      <w:bookmarkStart w:id="3021" w:name="_Toc198731150"/>
      <w:bookmarkStart w:id="3022" w:name="_Toc198471768"/>
      <w:bookmarkStart w:id="3023" w:name="_Toc198727806"/>
      <w:bookmarkStart w:id="3024" w:name="_Toc198728921"/>
      <w:bookmarkStart w:id="3025" w:name="_Toc198730036"/>
      <w:bookmarkStart w:id="3026" w:name="_Toc198731151"/>
      <w:bookmarkStart w:id="3027" w:name="_Toc198471769"/>
      <w:bookmarkStart w:id="3028" w:name="_Toc198727807"/>
      <w:bookmarkStart w:id="3029" w:name="_Toc198728922"/>
      <w:bookmarkStart w:id="3030" w:name="_Toc198730037"/>
      <w:bookmarkStart w:id="3031" w:name="_Toc198731152"/>
      <w:bookmarkStart w:id="3032" w:name="_Toc198471770"/>
      <w:bookmarkStart w:id="3033" w:name="_Toc198727808"/>
      <w:bookmarkStart w:id="3034" w:name="_Toc198728923"/>
      <w:bookmarkStart w:id="3035" w:name="_Toc198730038"/>
      <w:bookmarkStart w:id="3036" w:name="_Toc198731153"/>
      <w:bookmarkStart w:id="3037" w:name="_Toc198471771"/>
      <w:bookmarkStart w:id="3038" w:name="_Toc198727809"/>
      <w:bookmarkStart w:id="3039" w:name="_Toc198728924"/>
      <w:bookmarkStart w:id="3040" w:name="_Toc198730039"/>
      <w:bookmarkStart w:id="3041" w:name="_Toc198731154"/>
      <w:bookmarkStart w:id="3042" w:name="_Toc198471772"/>
      <w:bookmarkStart w:id="3043" w:name="_Toc198727810"/>
      <w:bookmarkStart w:id="3044" w:name="_Toc198728925"/>
      <w:bookmarkStart w:id="3045" w:name="_Toc198730040"/>
      <w:bookmarkStart w:id="3046" w:name="_Toc198731155"/>
      <w:bookmarkStart w:id="3047" w:name="_Toc198471773"/>
      <w:bookmarkStart w:id="3048" w:name="_Toc198727811"/>
      <w:bookmarkStart w:id="3049" w:name="_Toc198728926"/>
      <w:bookmarkStart w:id="3050" w:name="_Toc198730041"/>
      <w:bookmarkStart w:id="3051" w:name="_Toc198731156"/>
      <w:bookmarkStart w:id="3052" w:name="_Toc198471774"/>
      <w:bookmarkStart w:id="3053" w:name="_Toc198727812"/>
      <w:bookmarkStart w:id="3054" w:name="_Toc198728927"/>
      <w:bookmarkStart w:id="3055" w:name="_Toc198730042"/>
      <w:bookmarkStart w:id="3056" w:name="_Toc198731157"/>
      <w:bookmarkStart w:id="3057" w:name="_Toc198471775"/>
      <w:bookmarkStart w:id="3058" w:name="_Toc198727813"/>
      <w:bookmarkStart w:id="3059" w:name="_Toc198728928"/>
      <w:bookmarkStart w:id="3060" w:name="_Toc198730043"/>
      <w:bookmarkStart w:id="3061" w:name="_Toc198731158"/>
      <w:bookmarkStart w:id="3062" w:name="_Toc198471776"/>
      <w:bookmarkStart w:id="3063" w:name="_Toc198727814"/>
      <w:bookmarkStart w:id="3064" w:name="_Toc198728929"/>
      <w:bookmarkStart w:id="3065" w:name="_Toc198730044"/>
      <w:bookmarkStart w:id="3066" w:name="_Toc198731159"/>
      <w:bookmarkStart w:id="3067" w:name="_Toc198471777"/>
      <w:bookmarkStart w:id="3068" w:name="_Toc198727815"/>
      <w:bookmarkStart w:id="3069" w:name="_Toc198728930"/>
      <w:bookmarkStart w:id="3070" w:name="_Toc198730045"/>
      <w:bookmarkStart w:id="3071" w:name="_Toc198731160"/>
      <w:bookmarkStart w:id="3072" w:name="_Toc198471778"/>
      <w:bookmarkStart w:id="3073" w:name="_Toc198727816"/>
      <w:bookmarkStart w:id="3074" w:name="_Toc198728931"/>
      <w:bookmarkStart w:id="3075" w:name="_Toc198730046"/>
      <w:bookmarkStart w:id="3076" w:name="_Toc198731161"/>
      <w:bookmarkStart w:id="3077" w:name="_Toc198471779"/>
      <w:bookmarkStart w:id="3078" w:name="_Toc198727817"/>
      <w:bookmarkStart w:id="3079" w:name="_Toc198728932"/>
      <w:bookmarkStart w:id="3080" w:name="_Toc198730047"/>
      <w:bookmarkStart w:id="3081" w:name="_Toc198731162"/>
      <w:bookmarkStart w:id="3082" w:name="_Toc198471780"/>
      <w:bookmarkStart w:id="3083" w:name="_Toc198727818"/>
      <w:bookmarkStart w:id="3084" w:name="_Toc198728933"/>
      <w:bookmarkStart w:id="3085" w:name="_Toc198730048"/>
      <w:bookmarkStart w:id="3086" w:name="_Toc198731163"/>
      <w:bookmarkStart w:id="3087" w:name="_Toc198471781"/>
      <w:bookmarkStart w:id="3088" w:name="_Toc198727819"/>
      <w:bookmarkStart w:id="3089" w:name="_Toc198728934"/>
      <w:bookmarkStart w:id="3090" w:name="_Toc198730049"/>
      <w:bookmarkStart w:id="3091" w:name="_Toc198731164"/>
      <w:bookmarkStart w:id="3092" w:name="_Toc198471782"/>
      <w:bookmarkStart w:id="3093" w:name="_Toc198727820"/>
      <w:bookmarkStart w:id="3094" w:name="_Toc198728935"/>
      <w:bookmarkStart w:id="3095" w:name="_Toc198730050"/>
      <w:bookmarkStart w:id="3096" w:name="_Toc198731165"/>
      <w:bookmarkStart w:id="3097" w:name="_Toc198471783"/>
      <w:bookmarkStart w:id="3098" w:name="_Toc198727821"/>
      <w:bookmarkStart w:id="3099" w:name="_Toc198728936"/>
      <w:bookmarkStart w:id="3100" w:name="_Toc198730051"/>
      <w:bookmarkStart w:id="3101" w:name="_Toc198731166"/>
      <w:bookmarkStart w:id="3102" w:name="_Toc198471784"/>
      <w:bookmarkStart w:id="3103" w:name="_Toc198727822"/>
      <w:bookmarkStart w:id="3104" w:name="_Toc198728937"/>
      <w:bookmarkStart w:id="3105" w:name="_Toc198730052"/>
      <w:bookmarkStart w:id="3106" w:name="_Toc198731167"/>
      <w:bookmarkStart w:id="3107" w:name="_Toc198471785"/>
      <w:bookmarkStart w:id="3108" w:name="_Toc198727823"/>
      <w:bookmarkStart w:id="3109" w:name="_Toc198728938"/>
      <w:bookmarkStart w:id="3110" w:name="_Toc198730053"/>
      <w:bookmarkStart w:id="3111" w:name="_Toc198731168"/>
      <w:bookmarkStart w:id="3112" w:name="_Toc198471786"/>
      <w:bookmarkStart w:id="3113" w:name="_Toc198727824"/>
      <w:bookmarkStart w:id="3114" w:name="_Toc198728939"/>
      <w:bookmarkStart w:id="3115" w:name="_Toc198730054"/>
      <w:bookmarkStart w:id="3116" w:name="_Toc198731169"/>
      <w:bookmarkStart w:id="3117" w:name="_Toc198471787"/>
      <w:bookmarkStart w:id="3118" w:name="_Toc198727825"/>
      <w:bookmarkStart w:id="3119" w:name="_Toc198728940"/>
      <w:bookmarkStart w:id="3120" w:name="_Toc198730055"/>
      <w:bookmarkStart w:id="3121" w:name="_Toc198731170"/>
      <w:bookmarkStart w:id="3122" w:name="_Toc192423597"/>
      <w:bookmarkStart w:id="3123" w:name="_Toc192425139"/>
      <w:bookmarkStart w:id="3124" w:name="_Toc192442258"/>
      <w:bookmarkStart w:id="3125" w:name="_Toc198471788"/>
      <w:bookmarkStart w:id="3126" w:name="_Toc198727826"/>
      <w:bookmarkStart w:id="3127" w:name="_Toc198728941"/>
      <w:bookmarkStart w:id="3128" w:name="_Toc198730056"/>
      <w:bookmarkStart w:id="3129" w:name="_Toc198731171"/>
      <w:bookmarkStart w:id="3130" w:name="_Toc198471789"/>
      <w:bookmarkStart w:id="3131" w:name="_Toc198727827"/>
      <w:bookmarkStart w:id="3132" w:name="_Toc198728942"/>
      <w:bookmarkStart w:id="3133" w:name="_Toc198730057"/>
      <w:bookmarkStart w:id="3134" w:name="_Toc198731172"/>
      <w:bookmarkStart w:id="3135" w:name="_Toc198471790"/>
      <w:bookmarkStart w:id="3136" w:name="_Toc198727828"/>
      <w:bookmarkStart w:id="3137" w:name="_Toc198728943"/>
      <w:bookmarkStart w:id="3138" w:name="_Toc198730058"/>
      <w:bookmarkStart w:id="3139" w:name="_Toc198731173"/>
      <w:bookmarkStart w:id="3140" w:name="_Toc198471791"/>
      <w:bookmarkStart w:id="3141" w:name="_Toc198727829"/>
      <w:bookmarkStart w:id="3142" w:name="_Toc198728944"/>
      <w:bookmarkStart w:id="3143" w:name="_Toc198730059"/>
      <w:bookmarkStart w:id="3144" w:name="_Toc198731174"/>
      <w:bookmarkStart w:id="3145" w:name="_Toc198471792"/>
      <w:bookmarkStart w:id="3146" w:name="_Toc198727830"/>
      <w:bookmarkStart w:id="3147" w:name="_Toc198728945"/>
      <w:bookmarkStart w:id="3148" w:name="_Toc198730060"/>
      <w:bookmarkStart w:id="3149" w:name="_Toc198731175"/>
      <w:bookmarkStart w:id="3150" w:name="_Toc198471793"/>
      <w:bookmarkStart w:id="3151" w:name="_Toc198727831"/>
      <w:bookmarkStart w:id="3152" w:name="_Toc198728946"/>
      <w:bookmarkStart w:id="3153" w:name="_Toc198730061"/>
      <w:bookmarkStart w:id="3154" w:name="_Toc198731176"/>
      <w:bookmarkStart w:id="3155" w:name="_Toc198471794"/>
      <w:bookmarkStart w:id="3156" w:name="_Toc198727832"/>
      <w:bookmarkStart w:id="3157" w:name="_Toc198728947"/>
      <w:bookmarkStart w:id="3158" w:name="_Toc198730062"/>
      <w:bookmarkStart w:id="3159" w:name="_Toc198731177"/>
      <w:bookmarkStart w:id="3160" w:name="_Toc198471795"/>
      <w:bookmarkStart w:id="3161" w:name="_Toc198727833"/>
      <w:bookmarkStart w:id="3162" w:name="_Toc198728948"/>
      <w:bookmarkStart w:id="3163" w:name="_Toc198730063"/>
      <w:bookmarkStart w:id="3164" w:name="_Toc198731178"/>
      <w:bookmarkStart w:id="3165" w:name="_Toc198471796"/>
      <w:bookmarkStart w:id="3166" w:name="_Toc198727834"/>
      <w:bookmarkStart w:id="3167" w:name="_Toc198728949"/>
      <w:bookmarkStart w:id="3168" w:name="_Toc198730064"/>
      <w:bookmarkStart w:id="3169" w:name="_Toc198731179"/>
      <w:bookmarkStart w:id="3170" w:name="_Toc198471797"/>
      <w:bookmarkStart w:id="3171" w:name="_Toc198727835"/>
      <w:bookmarkStart w:id="3172" w:name="_Toc198728950"/>
      <w:bookmarkStart w:id="3173" w:name="_Toc198730065"/>
      <w:bookmarkStart w:id="3174" w:name="_Toc198731180"/>
      <w:bookmarkStart w:id="3175" w:name="_Toc198471798"/>
      <w:bookmarkStart w:id="3176" w:name="_Toc198727836"/>
      <w:bookmarkStart w:id="3177" w:name="_Toc198728951"/>
      <w:bookmarkStart w:id="3178" w:name="_Toc198730066"/>
      <w:bookmarkStart w:id="3179" w:name="_Toc198731181"/>
      <w:bookmarkStart w:id="3180" w:name="_Toc198471799"/>
      <w:bookmarkStart w:id="3181" w:name="_Toc198727837"/>
      <w:bookmarkStart w:id="3182" w:name="_Toc198728952"/>
      <w:bookmarkStart w:id="3183" w:name="_Toc198730067"/>
      <w:bookmarkStart w:id="3184" w:name="_Toc198731182"/>
      <w:bookmarkStart w:id="3185" w:name="_Toc198471800"/>
      <w:bookmarkStart w:id="3186" w:name="_Toc198727838"/>
      <w:bookmarkStart w:id="3187" w:name="_Toc198728953"/>
      <w:bookmarkStart w:id="3188" w:name="_Toc198730068"/>
      <w:bookmarkStart w:id="3189" w:name="_Toc198731183"/>
      <w:bookmarkStart w:id="3190" w:name="_Toc198471801"/>
      <w:bookmarkStart w:id="3191" w:name="_Toc198727839"/>
      <w:bookmarkStart w:id="3192" w:name="_Toc198728954"/>
      <w:bookmarkStart w:id="3193" w:name="_Toc198730069"/>
      <w:bookmarkStart w:id="3194" w:name="_Toc198731184"/>
      <w:bookmarkStart w:id="3195" w:name="_Toc198471802"/>
      <w:bookmarkStart w:id="3196" w:name="_Toc198727840"/>
      <w:bookmarkStart w:id="3197" w:name="_Toc198728955"/>
      <w:bookmarkStart w:id="3198" w:name="_Toc198730070"/>
      <w:bookmarkStart w:id="3199" w:name="_Toc198731185"/>
      <w:bookmarkStart w:id="3200" w:name="_Toc192442262"/>
      <w:bookmarkStart w:id="3201" w:name="_Toc192442356"/>
      <w:bookmarkStart w:id="3202" w:name="_Toc198471803"/>
      <w:bookmarkStart w:id="3203" w:name="_Toc198727841"/>
      <w:bookmarkStart w:id="3204" w:name="_Toc198728956"/>
      <w:bookmarkStart w:id="3205" w:name="_Toc198730071"/>
      <w:bookmarkStart w:id="3206" w:name="_Toc198731186"/>
      <w:bookmarkStart w:id="3207" w:name="_Toc198471804"/>
      <w:bookmarkStart w:id="3208" w:name="_Toc198727842"/>
      <w:bookmarkStart w:id="3209" w:name="_Toc198728957"/>
      <w:bookmarkStart w:id="3210" w:name="_Toc198730072"/>
      <w:bookmarkStart w:id="3211" w:name="_Toc198731187"/>
      <w:bookmarkStart w:id="3212" w:name="_Toc198471805"/>
      <w:bookmarkStart w:id="3213" w:name="_Toc198727843"/>
      <w:bookmarkStart w:id="3214" w:name="_Toc198728958"/>
      <w:bookmarkStart w:id="3215" w:name="_Toc198730073"/>
      <w:bookmarkStart w:id="3216" w:name="_Toc198731188"/>
      <w:bookmarkStart w:id="3217" w:name="_Toc198471806"/>
      <w:bookmarkStart w:id="3218" w:name="_Toc198727844"/>
      <w:bookmarkStart w:id="3219" w:name="_Toc198728959"/>
      <w:bookmarkStart w:id="3220" w:name="_Toc198730074"/>
      <w:bookmarkStart w:id="3221" w:name="_Toc198731189"/>
      <w:bookmarkStart w:id="3222" w:name="_Toc198471807"/>
      <w:bookmarkStart w:id="3223" w:name="_Toc198727845"/>
      <w:bookmarkStart w:id="3224" w:name="_Toc198728960"/>
      <w:bookmarkStart w:id="3225" w:name="_Toc198730075"/>
      <w:bookmarkStart w:id="3226" w:name="_Toc198731190"/>
      <w:bookmarkStart w:id="3227" w:name="_Toc198471808"/>
      <w:bookmarkStart w:id="3228" w:name="_Toc198727846"/>
      <w:bookmarkStart w:id="3229" w:name="_Toc198728961"/>
      <w:bookmarkStart w:id="3230" w:name="_Toc198730076"/>
      <w:bookmarkStart w:id="3231" w:name="_Toc198731191"/>
      <w:bookmarkStart w:id="3232" w:name="_Toc198471809"/>
      <w:bookmarkStart w:id="3233" w:name="_Toc198727847"/>
      <w:bookmarkStart w:id="3234" w:name="_Toc198728962"/>
      <w:bookmarkStart w:id="3235" w:name="_Toc198730077"/>
      <w:bookmarkStart w:id="3236" w:name="_Toc198731192"/>
      <w:bookmarkStart w:id="3237" w:name="_Toc198471810"/>
      <w:bookmarkStart w:id="3238" w:name="_Toc198727848"/>
      <w:bookmarkStart w:id="3239" w:name="_Toc198728963"/>
      <w:bookmarkStart w:id="3240" w:name="_Toc198730078"/>
      <w:bookmarkStart w:id="3241" w:name="_Toc198731193"/>
      <w:bookmarkStart w:id="3242" w:name="_Toc198471811"/>
      <w:bookmarkStart w:id="3243" w:name="_Toc198727849"/>
      <w:bookmarkStart w:id="3244" w:name="_Toc198728964"/>
      <w:bookmarkStart w:id="3245" w:name="_Toc198730079"/>
      <w:bookmarkStart w:id="3246" w:name="_Toc198731194"/>
      <w:bookmarkStart w:id="3247" w:name="_Toc198471812"/>
      <w:bookmarkStart w:id="3248" w:name="_Toc198727850"/>
      <w:bookmarkStart w:id="3249" w:name="_Toc198728965"/>
      <w:bookmarkStart w:id="3250" w:name="_Toc198730080"/>
      <w:bookmarkStart w:id="3251" w:name="_Toc198731195"/>
      <w:bookmarkStart w:id="3252" w:name="_Toc198471813"/>
      <w:bookmarkStart w:id="3253" w:name="_Toc198727851"/>
      <w:bookmarkStart w:id="3254" w:name="_Toc198728966"/>
      <w:bookmarkStart w:id="3255" w:name="_Toc198730081"/>
      <w:bookmarkStart w:id="3256" w:name="_Toc198731196"/>
      <w:bookmarkStart w:id="3257" w:name="_Toc198471814"/>
      <w:bookmarkStart w:id="3258" w:name="_Toc198727852"/>
      <w:bookmarkStart w:id="3259" w:name="_Toc198728967"/>
      <w:bookmarkStart w:id="3260" w:name="_Toc198730082"/>
      <w:bookmarkStart w:id="3261" w:name="_Toc198731197"/>
      <w:bookmarkStart w:id="3262" w:name="_Toc198471815"/>
      <w:bookmarkStart w:id="3263" w:name="_Toc198727853"/>
      <w:bookmarkStart w:id="3264" w:name="_Toc198728968"/>
      <w:bookmarkStart w:id="3265" w:name="_Toc198730083"/>
      <w:bookmarkStart w:id="3266" w:name="_Toc198731198"/>
      <w:bookmarkStart w:id="3267" w:name="_Toc198471816"/>
      <w:bookmarkStart w:id="3268" w:name="_Toc198727854"/>
      <w:bookmarkStart w:id="3269" w:name="_Toc198728969"/>
      <w:bookmarkStart w:id="3270" w:name="_Toc198730084"/>
      <w:bookmarkStart w:id="3271" w:name="_Toc198731199"/>
      <w:bookmarkStart w:id="3272" w:name="_Toc198471817"/>
      <w:bookmarkStart w:id="3273" w:name="_Toc198727855"/>
      <w:bookmarkStart w:id="3274" w:name="_Toc198728970"/>
      <w:bookmarkStart w:id="3275" w:name="_Toc198730085"/>
      <w:bookmarkStart w:id="3276" w:name="_Toc198731200"/>
      <w:bookmarkStart w:id="3277" w:name="_Toc198471818"/>
      <w:bookmarkStart w:id="3278" w:name="_Toc198727856"/>
      <w:bookmarkStart w:id="3279" w:name="_Toc198728971"/>
      <w:bookmarkStart w:id="3280" w:name="_Toc198730086"/>
      <w:bookmarkStart w:id="3281" w:name="_Toc198731201"/>
      <w:bookmarkStart w:id="3282" w:name="_Toc198471819"/>
      <w:bookmarkStart w:id="3283" w:name="_Toc198727857"/>
      <w:bookmarkStart w:id="3284" w:name="_Toc198728972"/>
      <w:bookmarkStart w:id="3285" w:name="_Toc198730087"/>
      <w:bookmarkStart w:id="3286" w:name="_Toc198731202"/>
      <w:bookmarkStart w:id="3287" w:name="_Toc198471820"/>
      <w:bookmarkStart w:id="3288" w:name="_Toc198727858"/>
      <w:bookmarkStart w:id="3289" w:name="_Toc198728973"/>
      <w:bookmarkStart w:id="3290" w:name="_Toc198730088"/>
      <w:bookmarkStart w:id="3291" w:name="_Toc198731203"/>
      <w:bookmarkStart w:id="3292" w:name="_Toc198471821"/>
      <w:bookmarkStart w:id="3293" w:name="_Toc198727859"/>
      <w:bookmarkStart w:id="3294" w:name="_Toc198728974"/>
      <w:bookmarkStart w:id="3295" w:name="_Toc198730089"/>
      <w:bookmarkStart w:id="3296" w:name="_Toc198731204"/>
      <w:bookmarkStart w:id="3297" w:name="_Toc198471822"/>
      <w:bookmarkStart w:id="3298" w:name="_Toc198727860"/>
      <w:bookmarkStart w:id="3299" w:name="_Toc198728975"/>
      <w:bookmarkStart w:id="3300" w:name="_Toc198730090"/>
      <w:bookmarkStart w:id="3301" w:name="_Toc198731205"/>
      <w:bookmarkStart w:id="3302" w:name="_Toc198471823"/>
      <w:bookmarkStart w:id="3303" w:name="_Toc198727861"/>
      <w:bookmarkStart w:id="3304" w:name="_Toc198728976"/>
      <w:bookmarkStart w:id="3305" w:name="_Toc198730091"/>
      <w:bookmarkStart w:id="3306" w:name="_Toc198731206"/>
      <w:bookmarkStart w:id="3307" w:name="_Toc198471824"/>
      <w:bookmarkStart w:id="3308" w:name="_Toc198727862"/>
      <w:bookmarkStart w:id="3309" w:name="_Toc198728977"/>
      <w:bookmarkStart w:id="3310" w:name="_Toc198730092"/>
      <w:bookmarkStart w:id="3311" w:name="_Toc198731207"/>
      <w:bookmarkStart w:id="3312" w:name="_Toc198471825"/>
      <w:bookmarkStart w:id="3313" w:name="_Toc198727863"/>
      <w:bookmarkStart w:id="3314" w:name="_Toc198728978"/>
      <w:bookmarkStart w:id="3315" w:name="_Toc198730093"/>
      <w:bookmarkStart w:id="3316" w:name="_Toc198731208"/>
      <w:bookmarkStart w:id="3317" w:name="_Toc198471826"/>
      <w:bookmarkStart w:id="3318" w:name="_Toc198727864"/>
      <w:bookmarkStart w:id="3319" w:name="_Toc198728979"/>
      <w:bookmarkStart w:id="3320" w:name="_Toc198730094"/>
      <w:bookmarkStart w:id="3321" w:name="_Toc198731209"/>
      <w:bookmarkStart w:id="3322" w:name="_Toc198471827"/>
      <w:bookmarkStart w:id="3323" w:name="_Toc198727865"/>
      <w:bookmarkStart w:id="3324" w:name="_Toc198728980"/>
      <w:bookmarkStart w:id="3325" w:name="_Toc198730095"/>
      <w:bookmarkStart w:id="3326" w:name="_Toc198731210"/>
      <w:bookmarkStart w:id="3327" w:name="_Toc198471828"/>
      <w:bookmarkStart w:id="3328" w:name="_Toc198727866"/>
      <w:bookmarkStart w:id="3329" w:name="_Toc198728981"/>
      <w:bookmarkStart w:id="3330" w:name="_Toc198730096"/>
      <w:bookmarkStart w:id="3331" w:name="_Toc198731211"/>
      <w:bookmarkStart w:id="3332" w:name="_Toc198471829"/>
      <w:bookmarkStart w:id="3333" w:name="_Toc198727867"/>
      <w:bookmarkStart w:id="3334" w:name="_Toc198728982"/>
      <w:bookmarkStart w:id="3335" w:name="_Toc198730097"/>
      <w:bookmarkStart w:id="3336" w:name="_Toc198731212"/>
      <w:bookmarkStart w:id="3337" w:name="_Toc198471830"/>
      <w:bookmarkStart w:id="3338" w:name="_Toc198727868"/>
      <w:bookmarkStart w:id="3339" w:name="_Toc198728983"/>
      <w:bookmarkStart w:id="3340" w:name="_Toc198730098"/>
      <w:bookmarkStart w:id="3341" w:name="_Toc198731213"/>
      <w:bookmarkStart w:id="3342" w:name="_Toc198471831"/>
      <w:bookmarkStart w:id="3343" w:name="_Toc198727869"/>
      <w:bookmarkStart w:id="3344" w:name="_Toc198728984"/>
      <w:bookmarkStart w:id="3345" w:name="_Toc198730099"/>
      <w:bookmarkStart w:id="3346" w:name="_Toc198731214"/>
      <w:bookmarkStart w:id="3347" w:name="_Toc198471832"/>
      <w:bookmarkStart w:id="3348" w:name="_Toc198727870"/>
      <w:bookmarkStart w:id="3349" w:name="_Toc198728985"/>
      <w:bookmarkStart w:id="3350" w:name="_Toc198730100"/>
      <w:bookmarkStart w:id="3351" w:name="_Toc198731215"/>
      <w:bookmarkStart w:id="3352" w:name="_Toc198471833"/>
      <w:bookmarkStart w:id="3353" w:name="_Toc198727871"/>
      <w:bookmarkStart w:id="3354" w:name="_Toc198728986"/>
      <w:bookmarkStart w:id="3355" w:name="_Toc198730101"/>
      <w:bookmarkStart w:id="3356" w:name="_Toc198731216"/>
      <w:bookmarkStart w:id="3357" w:name="_Toc198471834"/>
      <w:bookmarkStart w:id="3358" w:name="_Toc198727872"/>
      <w:bookmarkStart w:id="3359" w:name="_Toc198728987"/>
      <w:bookmarkStart w:id="3360" w:name="_Toc198730102"/>
      <w:bookmarkStart w:id="3361" w:name="_Toc198731217"/>
      <w:bookmarkStart w:id="3362" w:name="_Toc198471835"/>
      <w:bookmarkStart w:id="3363" w:name="_Toc198727873"/>
      <w:bookmarkStart w:id="3364" w:name="_Toc198728988"/>
      <w:bookmarkStart w:id="3365" w:name="_Toc198730103"/>
      <w:bookmarkStart w:id="3366" w:name="_Toc198731218"/>
      <w:bookmarkStart w:id="3367" w:name="_Toc198471836"/>
      <w:bookmarkStart w:id="3368" w:name="_Toc198727874"/>
      <w:bookmarkStart w:id="3369" w:name="_Toc198728989"/>
      <w:bookmarkStart w:id="3370" w:name="_Toc198730104"/>
      <w:bookmarkStart w:id="3371" w:name="_Toc198731219"/>
      <w:bookmarkStart w:id="3372" w:name="_Toc198471837"/>
      <w:bookmarkStart w:id="3373" w:name="_Toc198727875"/>
      <w:bookmarkStart w:id="3374" w:name="_Toc198728990"/>
      <w:bookmarkStart w:id="3375" w:name="_Toc198730105"/>
      <w:bookmarkStart w:id="3376" w:name="_Toc198731220"/>
      <w:bookmarkStart w:id="3377" w:name="_Toc198471838"/>
      <w:bookmarkStart w:id="3378" w:name="_Toc198727876"/>
      <w:bookmarkStart w:id="3379" w:name="_Toc198728991"/>
      <w:bookmarkStart w:id="3380" w:name="_Toc198730106"/>
      <w:bookmarkStart w:id="3381" w:name="_Toc198731221"/>
      <w:bookmarkStart w:id="3382" w:name="_Toc198471839"/>
      <w:bookmarkStart w:id="3383" w:name="_Toc198727877"/>
      <w:bookmarkStart w:id="3384" w:name="_Toc198728992"/>
      <w:bookmarkStart w:id="3385" w:name="_Toc198730107"/>
      <w:bookmarkStart w:id="3386" w:name="_Toc198731222"/>
      <w:bookmarkStart w:id="3387" w:name="_Toc198471840"/>
      <w:bookmarkStart w:id="3388" w:name="_Toc198727878"/>
      <w:bookmarkStart w:id="3389" w:name="_Toc198728993"/>
      <w:bookmarkStart w:id="3390" w:name="_Toc198730108"/>
      <w:bookmarkStart w:id="3391" w:name="_Toc198731223"/>
      <w:bookmarkStart w:id="3392" w:name="_Toc198471841"/>
      <w:bookmarkStart w:id="3393" w:name="_Toc198727879"/>
      <w:bookmarkStart w:id="3394" w:name="_Toc198728994"/>
      <w:bookmarkStart w:id="3395" w:name="_Toc198730109"/>
      <w:bookmarkStart w:id="3396" w:name="_Toc198731224"/>
      <w:bookmarkStart w:id="3397" w:name="_Toc198471842"/>
      <w:bookmarkStart w:id="3398" w:name="_Toc198727880"/>
      <w:bookmarkStart w:id="3399" w:name="_Toc198728995"/>
      <w:bookmarkStart w:id="3400" w:name="_Toc198730110"/>
      <w:bookmarkStart w:id="3401" w:name="_Toc198731225"/>
      <w:bookmarkStart w:id="3402" w:name="_Toc198471843"/>
      <w:bookmarkStart w:id="3403" w:name="_Toc198727881"/>
      <w:bookmarkStart w:id="3404" w:name="_Toc198728996"/>
      <w:bookmarkStart w:id="3405" w:name="_Toc198730111"/>
      <w:bookmarkStart w:id="3406" w:name="_Toc198731226"/>
      <w:bookmarkStart w:id="3407" w:name="_Toc198471844"/>
      <w:bookmarkStart w:id="3408" w:name="_Toc198727882"/>
      <w:bookmarkStart w:id="3409" w:name="_Toc198728997"/>
      <w:bookmarkStart w:id="3410" w:name="_Toc198730112"/>
      <w:bookmarkStart w:id="3411" w:name="_Toc198731227"/>
      <w:bookmarkStart w:id="3412" w:name="_Toc198471845"/>
      <w:bookmarkStart w:id="3413" w:name="_Toc198727883"/>
      <w:bookmarkStart w:id="3414" w:name="_Toc198728998"/>
      <w:bookmarkStart w:id="3415" w:name="_Toc198730113"/>
      <w:bookmarkStart w:id="3416" w:name="_Toc198731228"/>
      <w:bookmarkStart w:id="3417" w:name="_Toc198471846"/>
      <w:bookmarkStart w:id="3418" w:name="_Toc198727884"/>
      <w:bookmarkStart w:id="3419" w:name="_Toc198728999"/>
      <w:bookmarkStart w:id="3420" w:name="_Toc198730114"/>
      <w:bookmarkStart w:id="3421" w:name="_Toc198731229"/>
      <w:bookmarkStart w:id="3422" w:name="_Toc198471847"/>
      <w:bookmarkStart w:id="3423" w:name="_Toc198727885"/>
      <w:bookmarkStart w:id="3424" w:name="_Toc198729000"/>
      <w:bookmarkStart w:id="3425" w:name="_Toc198730115"/>
      <w:bookmarkStart w:id="3426" w:name="_Toc198731230"/>
      <w:bookmarkStart w:id="3427" w:name="_Toc198471848"/>
      <w:bookmarkStart w:id="3428" w:name="_Toc198727886"/>
      <w:bookmarkStart w:id="3429" w:name="_Toc198729001"/>
      <w:bookmarkStart w:id="3430" w:name="_Toc198730116"/>
      <w:bookmarkStart w:id="3431" w:name="_Toc198731231"/>
      <w:bookmarkStart w:id="3432" w:name="_Toc198471849"/>
      <w:bookmarkStart w:id="3433" w:name="_Toc198727887"/>
      <w:bookmarkStart w:id="3434" w:name="_Toc198729002"/>
      <w:bookmarkStart w:id="3435" w:name="_Toc198730117"/>
      <w:bookmarkStart w:id="3436" w:name="_Toc198731232"/>
      <w:bookmarkStart w:id="3437" w:name="_Toc198471850"/>
      <w:bookmarkStart w:id="3438" w:name="_Toc198727888"/>
      <w:bookmarkStart w:id="3439" w:name="_Toc198729003"/>
      <w:bookmarkStart w:id="3440" w:name="_Toc198730118"/>
      <w:bookmarkStart w:id="3441" w:name="_Toc198731233"/>
      <w:bookmarkStart w:id="3442" w:name="_Toc198471851"/>
      <w:bookmarkStart w:id="3443" w:name="_Toc198727889"/>
      <w:bookmarkStart w:id="3444" w:name="_Toc198729004"/>
      <w:bookmarkStart w:id="3445" w:name="_Toc198730119"/>
      <w:bookmarkStart w:id="3446" w:name="_Toc198731234"/>
      <w:bookmarkStart w:id="3447" w:name="_Toc198471852"/>
      <w:bookmarkStart w:id="3448" w:name="_Toc198727890"/>
      <w:bookmarkStart w:id="3449" w:name="_Toc198729005"/>
      <w:bookmarkStart w:id="3450" w:name="_Toc198730120"/>
      <w:bookmarkStart w:id="3451" w:name="_Toc198731235"/>
      <w:bookmarkStart w:id="3452" w:name="_Toc198471853"/>
      <w:bookmarkStart w:id="3453" w:name="_Toc198727891"/>
      <w:bookmarkStart w:id="3454" w:name="_Toc198729006"/>
      <w:bookmarkStart w:id="3455" w:name="_Toc198730121"/>
      <w:bookmarkStart w:id="3456" w:name="_Toc198731236"/>
      <w:bookmarkStart w:id="3457" w:name="_Toc198471854"/>
      <w:bookmarkStart w:id="3458" w:name="_Toc198727892"/>
      <w:bookmarkStart w:id="3459" w:name="_Toc198729007"/>
      <w:bookmarkStart w:id="3460" w:name="_Toc198730122"/>
      <w:bookmarkStart w:id="3461" w:name="_Toc198731237"/>
      <w:bookmarkStart w:id="3462" w:name="_Toc198471855"/>
      <w:bookmarkStart w:id="3463" w:name="_Toc198727893"/>
      <w:bookmarkStart w:id="3464" w:name="_Toc198729008"/>
      <w:bookmarkStart w:id="3465" w:name="_Toc198730123"/>
      <w:bookmarkStart w:id="3466" w:name="_Toc198731238"/>
      <w:bookmarkStart w:id="3467" w:name="_Toc198471856"/>
      <w:bookmarkStart w:id="3468" w:name="_Toc198727894"/>
      <w:bookmarkStart w:id="3469" w:name="_Toc198729009"/>
      <w:bookmarkStart w:id="3470" w:name="_Toc198730124"/>
      <w:bookmarkStart w:id="3471" w:name="_Toc198731239"/>
      <w:bookmarkStart w:id="3472" w:name="_Toc198471857"/>
      <w:bookmarkStart w:id="3473" w:name="_Toc198727895"/>
      <w:bookmarkStart w:id="3474" w:name="_Toc198729010"/>
      <w:bookmarkStart w:id="3475" w:name="_Toc198730125"/>
      <w:bookmarkStart w:id="3476" w:name="_Toc198731240"/>
      <w:bookmarkStart w:id="3477" w:name="_Toc198471858"/>
      <w:bookmarkStart w:id="3478" w:name="_Toc198727896"/>
      <w:bookmarkStart w:id="3479" w:name="_Toc198729011"/>
      <w:bookmarkStart w:id="3480" w:name="_Toc198730126"/>
      <w:bookmarkStart w:id="3481" w:name="_Toc198731241"/>
      <w:bookmarkStart w:id="3482" w:name="_Toc198471859"/>
      <w:bookmarkStart w:id="3483" w:name="_Toc198727897"/>
      <w:bookmarkStart w:id="3484" w:name="_Toc198729012"/>
      <w:bookmarkStart w:id="3485" w:name="_Toc198730127"/>
      <w:bookmarkStart w:id="3486" w:name="_Toc198731242"/>
      <w:bookmarkStart w:id="3487" w:name="_Toc198471860"/>
      <w:bookmarkStart w:id="3488" w:name="_Toc198727898"/>
      <w:bookmarkStart w:id="3489" w:name="_Toc198729013"/>
      <w:bookmarkStart w:id="3490" w:name="_Toc198730128"/>
      <w:bookmarkStart w:id="3491" w:name="_Toc198731243"/>
      <w:bookmarkStart w:id="3492" w:name="_Toc198471861"/>
      <w:bookmarkStart w:id="3493" w:name="_Toc198727899"/>
      <w:bookmarkStart w:id="3494" w:name="_Toc198729014"/>
      <w:bookmarkStart w:id="3495" w:name="_Toc198730129"/>
      <w:bookmarkStart w:id="3496" w:name="_Toc198731244"/>
      <w:bookmarkStart w:id="3497" w:name="_Toc198471862"/>
      <w:bookmarkStart w:id="3498" w:name="_Toc198727900"/>
      <w:bookmarkStart w:id="3499" w:name="_Toc198729015"/>
      <w:bookmarkStart w:id="3500" w:name="_Toc198730130"/>
      <w:bookmarkStart w:id="3501" w:name="_Toc198731245"/>
      <w:bookmarkStart w:id="3502" w:name="_Toc198471863"/>
      <w:bookmarkStart w:id="3503" w:name="_Toc198727901"/>
      <w:bookmarkStart w:id="3504" w:name="_Toc198729016"/>
      <w:bookmarkStart w:id="3505" w:name="_Toc198730131"/>
      <w:bookmarkStart w:id="3506" w:name="_Toc198731246"/>
      <w:bookmarkStart w:id="3507" w:name="_Toc198471864"/>
      <w:bookmarkStart w:id="3508" w:name="_Toc198727902"/>
      <w:bookmarkStart w:id="3509" w:name="_Toc198729017"/>
      <w:bookmarkStart w:id="3510" w:name="_Toc198730132"/>
      <w:bookmarkStart w:id="3511" w:name="_Toc198731247"/>
      <w:bookmarkStart w:id="3512" w:name="_Toc198471865"/>
      <w:bookmarkStart w:id="3513" w:name="_Toc198727903"/>
      <w:bookmarkStart w:id="3514" w:name="_Toc198729018"/>
      <w:bookmarkStart w:id="3515" w:name="_Toc198730133"/>
      <w:bookmarkStart w:id="3516" w:name="_Toc198731248"/>
      <w:bookmarkStart w:id="3517" w:name="_Toc198471866"/>
      <w:bookmarkStart w:id="3518" w:name="_Toc198727904"/>
      <w:bookmarkStart w:id="3519" w:name="_Toc198729019"/>
      <w:bookmarkStart w:id="3520" w:name="_Toc198730134"/>
      <w:bookmarkStart w:id="3521" w:name="_Toc198731249"/>
      <w:bookmarkStart w:id="3522" w:name="_Toc198471867"/>
      <w:bookmarkStart w:id="3523" w:name="_Toc198727905"/>
      <w:bookmarkStart w:id="3524" w:name="_Toc198729020"/>
      <w:bookmarkStart w:id="3525" w:name="_Toc198730135"/>
      <w:bookmarkStart w:id="3526" w:name="_Toc198731250"/>
      <w:bookmarkStart w:id="3527" w:name="_Toc198471868"/>
      <w:bookmarkStart w:id="3528" w:name="_Toc198727906"/>
      <w:bookmarkStart w:id="3529" w:name="_Toc198729021"/>
      <w:bookmarkStart w:id="3530" w:name="_Toc198730136"/>
      <w:bookmarkStart w:id="3531" w:name="_Toc198731251"/>
      <w:bookmarkStart w:id="3532" w:name="_Toc198471869"/>
      <w:bookmarkStart w:id="3533" w:name="_Toc198727907"/>
      <w:bookmarkStart w:id="3534" w:name="_Toc198729022"/>
      <w:bookmarkStart w:id="3535" w:name="_Toc198730137"/>
      <w:bookmarkStart w:id="3536" w:name="_Toc198731252"/>
      <w:bookmarkStart w:id="3537" w:name="_Toc198471870"/>
      <w:bookmarkStart w:id="3538" w:name="_Toc198727908"/>
      <w:bookmarkStart w:id="3539" w:name="_Toc198729023"/>
      <w:bookmarkStart w:id="3540" w:name="_Toc198730138"/>
      <w:bookmarkStart w:id="3541" w:name="_Toc198731253"/>
      <w:bookmarkStart w:id="3542" w:name="_Toc198471871"/>
      <w:bookmarkStart w:id="3543" w:name="_Toc198727909"/>
      <w:bookmarkStart w:id="3544" w:name="_Toc198729024"/>
      <w:bookmarkStart w:id="3545" w:name="_Toc198730139"/>
      <w:bookmarkStart w:id="3546" w:name="_Toc198731254"/>
      <w:bookmarkStart w:id="3547" w:name="_Toc198471872"/>
      <w:bookmarkStart w:id="3548" w:name="_Toc198727910"/>
      <w:bookmarkStart w:id="3549" w:name="_Toc198729025"/>
      <w:bookmarkStart w:id="3550" w:name="_Toc198730140"/>
      <w:bookmarkStart w:id="3551" w:name="_Toc198731255"/>
      <w:bookmarkStart w:id="3552" w:name="_Toc198471873"/>
      <w:bookmarkStart w:id="3553" w:name="_Toc198727911"/>
      <w:bookmarkStart w:id="3554" w:name="_Toc198729026"/>
      <w:bookmarkStart w:id="3555" w:name="_Toc198730141"/>
      <w:bookmarkStart w:id="3556" w:name="_Toc198731256"/>
      <w:bookmarkStart w:id="3557" w:name="_Toc198471874"/>
      <w:bookmarkStart w:id="3558" w:name="_Toc198727912"/>
      <w:bookmarkStart w:id="3559" w:name="_Toc198729027"/>
      <w:bookmarkStart w:id="3560" w:name="_Toc198730142"/>
      <w:bookmarkStart w:id="3561" w:name="_Toc198731257"/>
      <w:bookmarkStart w:id="3562" w:name="_Toc198471875"/>
      <w:bookmarkStart w:id="3563" w:name="_Toc198727913"/>
      <w:bookmarkStart w:id="3564" w:name="_Toc198729028"/>
      <w:bookmarkStart w:id="3565" w:name="_Toc198730143"/>
      <w:bookmarkStart w:id="3566" w:name="_Toc198731258"/>
      <w:bookmarkStart w:id="3567" w:name="_Toc198471876"/>
      <w:bookmarkStart w:id="3568" w:name="_Toc198727914"/>
      <w:bookmarkStart w:id="3569" w:name="_Toc198729029"/>
      <w:bookmarkStart w:id="3570" w:name="_Toc198730144"/>
      <w:bookmarkStart w:id="3571" w:name="_Toc198731259"/>
      <w:bookmarkStart w:id="3572" w:name="_Toc198471877"/>
      <w:bookmarkStart w:id="3573" w:name="_Toc198727915"/>
      <w:bookmarkStart w:id="3574" w:name="_Toc198729030"/>
      <w:bookmarkStart w:id="3575" w:name="_Toc198730145"/>
      <w:bookmarkStart w:id="3576" w:name="_Toc198731260"/>
      <w:bookmarkStart w:id="3577" w:name="_Toc198471878"/>
      <w:bookmarkStart w:id="3578" w:name="_Toc198727916"/>
      <w:bookmarkStart w:id="3579" w:name="_Toc198729031"/>
      <w:bookmarkStart w:id="3580" w:name="_Toc198730146"/>
      <w:bookmarkStart w:id="3581" w:name="_Toc198731261"/>
      <w:bookmarkStart w:id="3582" w:name="_Toc198471879"/>
      <w:bookmarkStart w:id="3583" w:name="_Toc198727917"/>
      <w:bookmarkStart w:id="3584" w:name="_Toc198729032"/>
      <w:bookmarkStart w:id="3585" w:name="_Toc198730147"/>
      <w:bookmarkStart w:id="3586" w:name="_Toc198731262"/>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br w:type="page"/>
      </w:r>
      <w:bookmarkStart w:id="3587" w:name="_Toc192423604"/>
      <w:bookmarkStart w:id="3588" w:name="_Toc192425146"/>
      <w:bookmarkStart w:id="3589" w:name="_Toc192442360"/>
      <w:bookmarkStart w:id="3590" w:name="_Toc192423605"/>
      <w:bookmarkStart w:id="3591" w:name="_Toc192425147"/>
      <w:bookmarkStart w:id="3592" w:name="_Toc192442361"/>
      <w:bookmarkStart w:id="3593" w:name="_Toc192423606"/>
      <w:bookmarkStart w:id="3594" w:name="_Toc192425148"/>
      <w:bookmarkStart w:id="3595" w:name="_Toc192442362"/>
      <w:bookmarkStart w:id="3596" w:name="_Toc192423607"/>
      <w:bookmarkStart w:id="3597" w:name="_Toc192425149"/>
      <w:bookmarkStart w:id="3598" w:name="_Toc192442363"/>
      <w:bookmarkStart w:id="3599" w:name="_Toc192423608"/>
      <w:bookmarkStart w:id="3600" w:name="_Toc192425150"/>
      <w:bookmarkStart w:id="3601" w:name="_Toc192442364"/>
      <w:bookmarkStart w:id="3602" w:name="_Toc192423609"/>
      <w:bookmarkStart w:id="3603" w:name="_Toc192425151"/>
      <w:bookmarkStart w:id="3604" w:name="_Toc192442365"/>
      <w:bookmarkStart w:id="3605" w:name="_Toc192423610"/>
      <w:bookmarkStart w:id="3606" w:name="_Toc192425152"/>
      <w:bookmarkStart w:id="3607" w:name="_Toc192442366"/>
      <w:bookmarkStart w:id="3608" w:name="_Toc192423611"/>
      <w:bookmarkStart w:id="3609" w:name="_Toc192425153"/>
      <w:bookmarkStart w:id="3610" w:name="_Toc192442367"/>
      <w:bookmarkStart w:id="3611" w:name="_Toc192423612"/>
      <w:bookmarkStart w:id="3612" w:name="_Toc192425154"/>
      <w:bookmarkStart w:id="3613" w:name="_Toc192442368"/>
      <w:bookmarkStart w:id="3614" w:name="_Toc192423613"/>
      <w:bookmarkStart w:id="3615" w:name="_Toc192425155"/>
      <w:bookmarkStart w:id="3616" w:name="_Toc192442369"/>
      <w:bookmarkStart w:id="3617" w:name="_Toc192423615"/>
      <w:bookmarkStart w:id="3618" w:name="_Toc192425157"/>
      <w:bookmarkStart w:id="3619" w:name="_Toc192442371"/>
      <w:bookmarkStart w:id="3620" w:name="_Toc192423616"/>
      <w:bookmarkStart w:id="3621" w:name="_Toc192425158"/>
      <w:bookmarkStart w:id="3622" w:name="_Toc192442372"/>
      <w:bookmarkStart w:id="3623" w:name="_Toc192423617"/>
      <w:bookmarkStart w:id="3624" w:name="_Toc192425159"/>
      <w:bookmarkStart w:id="3625" w:name="_Toc192442373"/>
      <w:bookmarkStart w:id="3626" w:name="_Toc192423618"/>
      <w:bookmarkStart w:id="3627" w:name="_Toc192425160"/>
      <w:bookmarkStart w:id="3628" w:name="_Toc192442374"/>
      <w:bookmarkStart w:id="3629" w:name="_Toc192423620"/>
      <w:bookmarkStart w:id="3630" w:name="_Toc192425162"/>
      <w:bookmarkStart w:id="3631" w:name="_Toc192442376"/>
      <w:bookmarkStart w:id="3632" w:name="_Toc192423621"/>
      <w:bookmarkStart w:id="3633" w:name="_Toc192425163"/>
      <w:bookmarkStart w:id="3634" w:name="_Toc192442377"/>
      <w:bookmarkStart w:id="3635" w:name="_Toc192423622"/>
      <w:bookmarkStart w:id="3636" w:name="_Toc192425164"/>
      <w:bookmarkStart w:id="3637" w:name="_Toc192442378"/>
      <w:bookmarkStart w:id="3638" w:name="_Toc192423623"/>
      <w:bookmarkStart w:id="3639" w:name="_Toc192425165"/>
      <w:bookmarkStart w:id="3640" w:name="_Toc192442379"/>
      <w:bookmarkStart w:id="3641" w:name="_Toc192423625"/>
      <w:bookmarkStart w:id="3642" w:name="_Toc192425167"/>
      <w:bookmarkStart w:id="3643" w:name="_Toc192442381"/>
      <w:bookmarkStart w:id="3644" w:name="_Toc192423626"/>
      <w:bookmarkStart w:id="3645" w:name="_Toc192425168"/>
      <w:bookmarkStart w:id="3646" w:name="_Toc192442382"/>
      <w:bookmarkStart w:id="3647" w:name="_Toc192423627"/>
      <w:bookmarkStart w:id="3648" w:name="_Toc192425169"/>
      <w:bookmarkStart w:id="3649" w:name="_Toc192442383"/>
      <w:bookmarkStart w:id="3650" w:name="_Toc192423628"/>
      <w:bookmarkStart w:id="3651" w:name="_Toc192425170"/>
      <w:bookmarkStart w:id="3652" w:name="_Toc192442384"/>
      <w:bookmarkStart w:id="3653" w:name="_Toc192423630"/>
      <w:bookmarkStart w:id="3654" w:name="_Toc192425172"/>
      <w:bookmarkStart w:id="3655" w:name="_Toc192442386"/>
      <w:bookmarkStart w:id="3656" w:name="_Toc192423631"/>
      <w:bookmarkStart w:id="3657" w:name="_Toc192425173"/>
      <w:bookmarkStart w:id="3658" w:name="_Toc192442387"/>
      <w:bookmarkStart w:id="3659" w:name="_Toc192423632"/>
      <w:bookmarkStart w:id="3660" w:name="_Toc192425174"/>
      <w:bookmarkStart w:id="3661" w:name="_Toc192442388"/>
      <w:bookmarkStart w:id="3662" w:name="_Toc192423633"/>
      <w:bookmarkStart w:id="3663" w:name="_Toc192425175"/>
      <w:bookmarkStart w:id="3664" w:name="_Toc192442389"/>
      <w:bookmarkStart w:id="3665" w:name="_Toc192423635"/>
      <w:bookmarkStart w:id="3666" w:name="_Toc192425177"/>
      <w:bookmarkStart w:id="3667" w:name="_Toc192442391"/>
      <w:bookmarkStart w:id="3668" w:name="_Toc192423636"/>
      <w:bookmarkStart w:id="3669" w:name="_Toc192425178"/>
      <w:bookmarkStart w:id="3670" w:name="_Toc192442392"/>
      <w:bookmarkStart w:id="3671" w:name="_Toc192423637"/>
      <w:bookmarkStart w:id="3672" w:name="_Toc192425179"/>
      <w:bookmarkStart w:id="3673" w:name="_Toc192442393"/>
      <w:bookmarkStart w:id="3674" w:name="_Toc192423638"/>
      <w:bookmarkStart w:id="3675" w:name="_Toc192425180"/>
      <w:bookmarkStart w:id="3676" w:name="_Toc192442394"/>
      <w:bookmarkStart w:id="3677" w:name="_Toc192423640"/>
      <w:bookmarkStart w:id="3678" w:name="_Toc192425182"/>
      <w:bookmarkStart w:id="3679" w:name="_Toc192442396"/>
      <w:bookmarkStart w:id="3680" w:name="_Toc192423641"/>
      <w:bookmarkStart w:id="3681" w:name="_Toc192425183"/>
      <w:bookmarkStart w:id="3682" w:name="_Toc192442397"/>
      <w:bookmarkStart w:id="3683" w:name="_Toc192423642"/>
      <w:bookmarkStart w:id="3684" w:name="_Toc192425184"/>
      <w:bookmarkStart w:id="3685" w:name="_Toc192442398"/>
      <w:bookmarkStart w:id="3686" w:name="_Toc192423643"/>
      <w:bookmarkStart w:id="3687" w:name="_Toc192425185"/>
      <w:bookmarkStart w:id="3688" w:name="_Toc192442399"/>
      <w:bookmarkStart w:id="3689" w:name="_Toc192423645"/>
      <w:bookmarkStart w:id="3690" w:name="_Toc192425187"/>
      <w:bookmarkStart w:id="3691" w:name="_Toc192442401"/>
      <w:bookmarkStart w:id="3692" w:name="_Toc192423646"/>
      <w:bookmarkStart w:id="3693" w:name="_Toc192425188"/>
      <w:bookmarkStart w:id="3694" w:name="_Toc192442402"/>
      <w:bookmarkStart w:id="3695" w:name="_Toc192423647"/>
      <w:bookmarkStart w:id="3696" w:name="_Toc192425189"/>
      <w:bookmarkStart w:id="3697" w:name="_Toc192442403"/>
      <w:bookmarkStart w:id="3698" w:name="_Toc192423648"/>
      <w:bookmarkStart w:id="3699" w:name="_Toc192425190"/>
      <w:bookmarkStart w:id="3700" w:name="_Toc192442404"/>
      <w:bookmarkStart w:id="3701" w:name="_Toc192423650"/>
      <w:bookmarkStart w:id="3702" w:name="_Toc192425192"/>
      <w:bookmarkStart w:id="3703" w:name="_Toc192442406"/>
      <w:bookmarkStart w:id="3704" w:name="_Toc192423651"/>
      <w:bookmarkStart w:id="3705" w:name="_Toc192425193"/>
      <w:bookmarkStart w:id="3706" w:name="_Toc192442407"/>
      <w:bookmarkStart w:id="3707" w:name="_Toc192423652"/>
      <w:bookmarkStart w:id="3708" w:name="_Toc192425194"/>
      <w:bookmarkStart w:id="3709" w:name="_Toc192442408"/>
      <w:bookmarkStart w:id="3710" w:name="_Toc192423653"/>
      <w:bookmarkStart w:id="3711" w:name="_Toc192425195"/>
      <w:bookmarkStart w:id="3712" w:name="_Toc192442409"/>
      <w:bookmarkStart w:id="3713" w:name="_Toc192423655"/>
      <w:bookmarkStart w:id="3714" w:name="_Toc192425197"/>
      <w:bookmarkStart w:id="3715" w:name="_Toc192442411"/>
      <w:bookmarkStart w:id="3716" w:name="_Toc192423656"/>
      <w:bookmarkStart w:id="3717" w:name="_Toc192425198"/>
      <w:bookmarkStart w:id="3718" w:name="_Toc192442412"/>
      <w:bookmarkStart w:id="3719" w:name="_Toc192423657"/>
      <w:bookmarkStart w:id="3720" w:name="_Toc192425199"/>
      <w:bookmarkStart w:id="3721" w:name="_Toc192442413"/>
      <w:bookmarkStart w:id="3722" w:name="_Toc192423658"/>
      <w:bookmarkStart w:id="3723" w:name="_Toc192425200"/>
      <w:bookmarkStart w:id="3724" w:name="_Toc192442414"/>
      <w:bookmarkStart w:id="3725" w:name="_Toc192423660"/>
      <w:bookmarkStart w:id="3726" w:name="_Toc192425202"/>
      <w:bookmarkStart w:id="3727" w:name="_Toc192442416"/>
      <w:bookmarkStart w:id="3728" w:name="_Toc192423661"/>
      <w:bookmarkStart w:id="3729" w:name="_Toc192425203"/>
      <w:bookmarkStart w:id="3730" w:name="_Toc192442417"/>
      <w:bookmarkStart w:id="3731" w:name="_Toc192423662"/>
      <w:bookmarkStart w:id="3732" w:name="_Toc192425204"/>
      <w:bookmarkStart w:id="3733" w:name="_Toc192442418"/>
      <w:bookmarkStart w:id="3734" w:name="_Toc192423663"/>
      <w:bookmarkStart w:id="3735" w:name="_Toc192425205"/>
      <w:bookmarkStart w:id="3736" w:name="_Toc192442419"/>
      <w:bookmarkStart w:id="3737" w:name="_Toc192423665"/>
      <w:bookmarkStart w:id="3738" w:name="_Toc192425207"/>
      <w:bookmarkStart w:id="3739" w:name="_Toc192442421"/>
      <w:bookmarkStart w:id="3740" w:name="_Toc192423666"/>
      <w:bookmarkStart w:id="3741" w:name="_Toc192425208"/>
      <w:bookmarkStart w:id="3742" w:name="_Toc192442422"/>
      <w:bookmarkStart w:id="3743" w:name="_Toc192423667"/>
      <w:bookmarkStart w:id="3744" w:name="_Toc192425209"/>
      <w:bookmarkStart w:id="3745" w:name="_Toc192442423"/>
      <w:bookmarkStart w:id="3746" w:name="_Toc192423668"/>
      <w:bookmarkStart w:id="3747" w:name="_Toc192425210"/>
      <w:bookmarkStart w:id="3748" w:name="_Toc192442424"/>
      <w:bookmarkStart w:id="3749" w:name="_Toc192423670"/>
      <w:bookmarkStart w:id="3750" w:name="_Toc192425212"/>
      <w:bookmarkStart w:id="3751" w:name="_Toc192442426"/>
      <w:bookmarkStart w:id="3752" w:name="_Toc192423671"/>
      <w:bookmarkStart w:id="3753" w:name="_Toc192425213"/>
      <w:bookmarkStart w:id="3754" w:name="_Toc192442427"/>
      <w:bookmarkStart w:id="3755" w:name="_Toc192423672"/>
      <w:bookmarkStart w:id="3756" w:name="_Toc192425214"/>
      <w:bookmarkStart w:id="3757" w:name="_Toc192442428"/>
      <w:bookmarkStart w:id="3758" w:name="_Toc192423673"/>
      <w:bookmarkStart w:id="3759" w:name="_Toc192425215"/>
      <w:bookmarkStart w:id="3760" w:name="_Toc192442429"/>
      <w:bookmarkStart w:id="3761" w:name="_Toc192423675"/>
      <w:bookmarkStart w:id="3762" w:name="_Toc192425217"/>
      <w:bookmarkStart w:id="3763" w:name="_Toc192442431"/>
      <w:bookmarkStart w:id="3764" w:name="_Toc192423676"/>
      <w:bookmarkStart w:id="3765" w:name="_Toc192425218"/>
      <w:bookmarkStart w:id="3766" w:name="_Toc192442432"/>
      <w:bookmarkStart w:id="3767" w:name="_Toc192423677"/>
      <w:bookmarkStart w:id="3768" w:name="_Toc192425219"/>
      <w:bookmarkStart w:id="3769" w:name="_Toc192442433"/>
      <w:bookmarkStart w:id="3770" w:name="_Toc192423678"/>
      <w:bookmarkStart w:id="3771" w:name="_Toc192425220"/>
      <w:bookmarkStart w:id="3772" w:name="_Toc192442434"/>
      <w:bookmarkStart w:id="3773" w:name="_Toc192423680"/>
      <w:bookmarkStart w:id="3774" w:name="_Toc192425222"/>
      <w:bookmarkStart w:id="3775" w:name="_Toc192442436"/>
      <w:bookmarkStart w:id="3776" w:name="_Toc192423681"/>
      <w:bookmarkStart w:id="3777" w:name="_Toc192425223"/>
      <w:bookmarkStart w:id="3778" w:name="_Toc192442437"/>
      <w:bookmarkStart w:id="3779" w:name="_Toc192423682"/>
      <w:bookmarkStart w:id="3780" w:name="_Toc192425224"/>
      <w:bookmarkStart w:id="3781" w:name="_Toc192442438"/>
      <w:bookmarkStart w:id="3782" w:name="_Toc192423683"/>
      <w:bookmarkStart w:id="3783" w:name="_Toc192425225"/>
      <w:bookmarkStart w:id="3784" w:name="_Toc192442439"/>
      <w:bookmarkStart w:id="3785" w:name="_Toc192423685"/>
      <w:bookmarkStart w:id="3786" w:name="_Toc192425227"/>
      <w:bookmarkStart w:id="3787" w:name="_Toc192442441"/>
      <w:bookmarkStart w:id="3788" w:name="_Toc192423686"/>
      <w:bookmarkStart w:id="3789" w:name="_Toc192425228"/>
      <w:bookmarkStart w:id="3790" w:name="_Toc192442442"/>
      <w:bookmarkStart w:id="3791" w:name="_Toc192423687"/>
      <w:bookmarkStart w:id="3792" w:name="_Toc192425229"/>
      <w:bookmarkStart w:id="3793" w:name="_Toc192442443"/>
      <w:bookmarkStart w:id="3794" w:name="_Toc192423688"/>
      <w:bookmarkStart w:id="3795" w:name="_Toc192425230"/>
      <w:bookmarkStart w:id="3796" w:name="_Toc192442444"/>
      <w:bookmarkStart w:id="3797" w:name="_Toc192423689"/>
      <w:bookmarkStart w:id="3798" w:name="_Toc192425231"/>
      <w:bookmarkStart w:id="3799" w:name="_Toc192442445"/>
      <w:bookmarkStart w:id="3800" w:name="_Toc192423690"/>
      <w:bookmarkStart w:id="3801" w:name="_Toc192425232"/>
      <w:bookmarkStart w:id="3802" w:name="_Toc192442446"/>
      <w:bookmarkStart w:id="3803" w:name="_Toc192423691"/>
      <w:bookmarkStart w:id="3804" w:name="_Toc192425233"/>
      <w:bookmarkStart w:id="3805" w:name="_Toc192442447"/>
      <w:bookmarkStart w:id="3806" w:name="_Toc192423693"/>
      <w:bookmarkStart w:id="3807" w:name="_Toc192425235"/>
      <w:bookmarkStart w:id="3808" w:name="_Toc192442449"/>
      <w:bookmarkStart w:id="3809" w:name="_Toc192423694"/>
      <w:bookmarkStart w:id="3810" w:name="_Toc192425236"/>
      <w:bookmarkStart w:id="3811" w:name="_Toc192442450"/>
      <w:bookmarkStart w:id="3812" w:name="_Toc192423695"/>
      <w:bookmarkStart w:id="3813" w:name="_Toc192425237"/>
      <w:bookmarkStart w:id="3814" w:name="_Toc192442451"/>
      <w:bookmarkStart w:id="3815" w:name="_Toc192423697"/>
      <w:bookmarkStart w:id="3816" w:name="_Toc192425239"/>
      <w:bookmarkStart w:id="3817" w:name="_Toc192442453"/>
      <w:bookmarkStart w:id="3818" w:name="_Toc192423698"/>
      <w:bookmarkStart w:id="3819" w:name="_Toc192425240"/>
      <w:bookmarkStart w:id="3820" w:name="_Toc192442454"/>
      <w:bookmarkStart w:id="3821" w:name="_Toc192423699"/>
      <w:bookmarkStart w:id="3822" w:name="_Toc192425241"/>
      <w:bookmarkStart w:id="3823" w:name="_Toc192442455"/>
      <w:bookmarkStart w:id="3824" w:name="_Toc192423701"/>
      <w:bookmarkStart w:id="3825" w:name="_Toc192425243"/>
      <w:bookmarkStart w:id="3826" w:name="_Toc192442457"/>
      <w:bookmarkStart w:id="3827" w:name="_Toc192423702"/>
      <w:bookmarkStart w:id="3828" w:name="_Toc192425244"/>
      <w:bookmarkStart w:id="3829" w:name="_Toc192442458"/>
      <w:bookmarkStart w:id="3830" w:name="_Toc192423703"/>
      <w:bookmarkStart w:id="3831" w:name="_Toc192425245"/>
      <w:bookmarkStart w:id="3832" w:name="_Toc192442459"/>
      <w:bookmarkStart w:id="3833" w:name="_Toc192423705"/>
      <w:bookmarkStart w:id="3834" w:name="_Toc192425247"/>
      <w:bookmarkStart w:id="3835" w:name="_Toc192442461"/>
      <w:bookmarkStart w:id="3836" w:name="_Toc192423706"/>
      <w:bookmarkStart w:id="3837" w:name="_Toc192425248"/>
      <w:bookmarkStart w:id="3838" w:name="_Toc192442462"/>
      <w:bookmarkStart w:id="3839" w:name="_Toc192423707"/>
      <w:bookmarkStart w:id="3840" w:name="_Toc192425249"/>
      <w:bookmarkStart w:id="3841" w:name="_Toc192442463"/>
      <w:bookmarkStart w:id="3842" w:name="_Toc192423709"/>
      <w:bookmarkStart w:id="3843" w:name="_Toc192425251"/>
      <w:bookmarkStart w:id="3844" w:name="_Toc192442465"/>
      <w:bookmarkStart w:id="3845" w:name="_Toc192423710"/>
      <w:bookmarkStart w:id="3846" w:name="_Toc192425252"/>
      <w:bookmarkStart w:id="3847" w:name="_Toc192442466"/>
      <w:bookmarkStart w:id="3848" w:name="_Toc192423711"/>
      <w:bookmarkStart w:id="3849" w:name="_Toc192425253"/>
      <w:bookmarkStart w:id="3850" w:name="_Toc192442467"/>
      <w:bookmarkStart w:id="3851" w:name="_Toc192423713"/>
      <w:bookmarkStart w:id="3852" w:name="_Toc192425255"/>
      <w:bookmarkStart w:id="3853" w:name="_Toc192442469"/>
      <w:bookmarkStart w:id="3854" w:name="_Toc192423714"/>
      <w:bookmarkStart w:id="3855" w:name="_Toc192425256"/>
      <w:bookmarkStart w:id="3856" w:name="_Toc192442470"/>
      <w:bookmarkStart w:id="3857" w:name="_Toc192423715"/>
      <w:bookmarkStart w:id="3858" w:name="_Toc192425257"/>
      <w:bookmarkStart w:id="3859" w:name="_Toc192442471"/>
      <w:bookmarkStart w:id="3860" w:name="_Toc192423717"/>
      <w:bookmarkStart w:id="3861" w:name="_Toc192425259"/>
      <w:bookmarkStart w:id="3862" w:name="_Toc192442473"/>
      <w:bookmarkStart w:id="3863" w:name="_Toc192423718"/>
      <w:bookmarkStart w:id="3864" w:name="_Toc192425260"/>
      <w:bookmarkStart w:id="3865" w:name="_Toc192442474"/>
      <w:bookmarkStart w:id="3866" w:name="_Toc192423719"/>
      <w:bookmarkStart w:id="3867" w:name="_Toc192425261"/>
      <w:bookmarkStart w:id="3868" w:name="_Toc192442475"/>
      <w:bookmarkStart w:id="3869" w:name="_Toc192423721"/>
      <w:bookmarkStart w:id="3870" w:name="_Toc192425263"/>
      <w:bookmarkStart w:id="3871" w:name="_Toc192442477"/>
      <w:bookmarkStart w:id="3872" w:name="_Toc192423722"/>
      <w:bookmarkStart w:id="3873" w:name="_Toc192425264"/>
      <w:bookmarkStart w:id="3874" w:name="_Toc192442478"/>
      <w:bookmarkStart w:id="3875" w:name="_Toc192423723"/>
      <w:bookmarkStart w:id="3876" w:name="_Toc192425265"/>
      <w:bookmarkStart w:id="3877" w:name="_Toc192442479"/>
      <w:bookmarkStart w:id="3878" w:name="_Toc192423725"/>
      <w:bookmarkStart w:id="3879" w:name="_Toc192425267"/>
      <w:bookmarkStart w:id="3880" w:name="_Toc192442481"/>
      <w:bookmarkStart w:id="3881" w:name="_Toc192423726"/>
      <w:bookmarkStart w:id="3882" w:name="_Toc192425268"/>
      <w:bookmarkStart w:id="3883" w:name="_Toc192442482"/>
      <w:bookmarkStart w:id="3884" w:name="_Toc192423727"/>
      <w:bookmarkStart w:id="3885" w:name="_Toc192425269"/>
      <w:bookmarkStart w:id="3886" w:name="_Toc192442483"/>
      <w:bookmarkStart w:id="3887" w:name="_Toc192423729"/>
      <w:bookmarkStart w:id="3888" w:name="_Toc192425271"/>
      <w:bookmarkStart w:id="3889" w:name="_Toc192442485"/>
      <w:bookmarkStart w:id="3890" w:name="_Toc192423730"/>
      <w:bookmarkStart w:id="3891" w:name="_Toc192425272"/>
      <w:bookmarkStart w:id="3892" w:name="_Toc192442486"/>
      <w:bookmarkStart w:id="3893" w:name="_Toc192423731"/>
      <w:bookmarkStart w:id="3894" w:name="_Toc192425273"/>
      <w:bookmarkStart w:id="3895" w:name="_Toc192442487"/>
      <w:bookmarkStart w:id="3896" w:name="_Toc192423733"/>
      <w:bookmarkStart w:id="3897" w:name="_Toc192425275"/>
      <w:bookmarkStart w:id="3898" w:name="_Toc192442489"/>
      <w:bookmarkStart w:id="3899" w:name="_Toc192423734"/>
      <w:bookmarkStart w:id="3900" w:name="_Toc192425276"/>
      <w:bookmarkStart w:id="3901" w:name="_Toc192442490"/>
      <w:bookmarkStart w:id="3902" w:name="_Toc192423735"/>
      <w:bookmarkStart w:id="3903" w:name="_Toc192425277"/>
      <w:bookmarkStart w:id="3904" w:name="_Toc192442491"/>
      <w:bookmarkStart w:id="3905" w:name="_Toc192423737"/>
      <w:bookmarkStart w:id="3906" w:name="_Toc192425279"/>
      <w:bookmarkStart w:id="3907" w:name="_Toc192442493"/>
      <w:bookmarkStart w:id="3908" w:name="_Toc192423738"/>
      <w:bookmarkStart w:id="3909" w:name="_Toc192425280"/>
      <w:bookmarkStart w:id="3910" w:name="_Toc192442494"/>
      <w:bookmarkStart w:id="3911" w:name="_Toc192423739"/>
      <w:bookmarkStart w:id="3912" w:name="_Toc192425281"/>
      <w:bookmarkStart w:id="3913" w:name="_Toc192442495"/>
      <w:bookmarkStart w:id="3914" w:name="_Toc192423741"/>
      <w:bookmarkStart w:id="3915" w:name="_Toc192425283"/>
      <w:bookmarkStart w:id="3916" w:name="_Toc192442497"/>
      <w:bookmarkStart w:id="3917" w:name="_Toc192423742"/>
      <w:bookmarkStart w:id="3918" w:name="_Toc192425284"/>
      <w:bookmarkStart w:id="3919" w:name="_Toc192442498"/>
      <w:bookmarkStart w:id="3920" w:name="_Toc192423743"/>
      <w:bookmarkStart w:id="3921" w:name="_Toc192425285"/>
      <w:bookmarkStart w:id="3922" w:name="_Toc192442499"/>
      <w:bookmarkStart w:id="3923" w:name="_Toc192423745"/>
      <w:bookmarkStart w:id="3924" w:name="_Toc192425287"/>
      <w:bookmarkStart w:id="3925" w:name="_Toc192442501"/>
      <w:bookmarkStart w:id="3926" w:name="_Toc192423746"/>
      <w:bookmarkStart w:id="3927" w:name="_Toc192425288"/>
      <w:bookmarkStart w:id="3928" w:name="_Toc192442502"/>
      <w:bookmarkStart w:id="3929" w:name="_Toc192423747"/>
      <w:bookmarkStart w:id="3930" w:name="_Toc192425289"/>
      <w:bookmarkStart w:id="3931" w:name="_Toc192442503"/>
      <w:bookmarkStart w:id="3932" w:name="_Toc192423749"/>
      <w:bookmarkStart w:id="3933" w:name="_Toc192425291"/>
      <w:bookmarkStart w:id="3934" w:name="_Toc192442505"/>
      <w:bookmarkStart w:id="3935" w:name="_Toc192423750"/>
      <w:bookmarkStart w:id="3936" w:name="_Toc192425292"/>
      <w:bookmarkStart w:id="3937" w:name="_Toc192442506"/>
      <w:bookmarkStart w:id="3938" w:name="_Toc192423751"/>
      <w:bookmarkStart w:id="3939" w:name="_Toc192425293"/>
      <w:bookmarkStart w:id="3940" w:name="_Toc192442507"/>
      <w:bookmarkStart w:id="3941" w:name="_Toc192423753"/>
      <w:bookmarkStart w:id="3942" w:name="_Toc192425295"/>
      <w:bookmarkStart w:id="3943" w:name="_Toc192442509"/>
      <w:bookmarkStart w:id="3944" w:name="_Toc192423754"/>
      <w:bookmarkStart w:id="3945" w:name="_Toc192425296"/>
      <w:bookmarkStart w:id="3946" w:name="_Toc192442510"/>
      <w:bookmarkStart w:id="3947" w:name="_Toc192423755"/>
      <w:bookmarkStart w:id="3948" w:name="_Toc192425297"/>
      <w:bookmarkStart w:id="3949" w:name="_Toc192442511"/>
      <w:bookmarkStart w:id="3950" w:name="_Toc192423757"/>
      <w:bookmarkStart w:id="3951" w:name="_Toc192425299"/>
      <w:bookmarkStart w:id="3952" w:name="_Toc192442513"/>
      <w:bookmarkStart w:id="3953" w:name="_Toc192423758"/>
      <w:bookmarkStart w:id="3954" w:name="_Toc192425300"/>
      <w:bookmarkStart w:id="3955" w:name="_Toc192442514"/>
      <w:bookmarkStart w:id="3956" w:name="_Toc192423759"/>
      <w:bookmarkStart w:id="3957" w:name="_Toc192425301"/>
      <w:bookmarkStart w:id="3958" w:name="_Toc192442515"/>
      <w:bookmarkStart w:id="3959" w:name="_Toc192423761"/>
      <w:bookmarkStart w:id="3960" w:name="_Toc192425303"/>
      <w:bookmarkStart w:id="3961" w:name="_Toc192442517"/>
      <w:bookmarkStart w:id="3962" w:name="_Toc192423762"/>
      <w:bookmarkStart w:id="3963" w:name="_Toc192425304"/>
      <w:bookmarkStart w:id="3964" w:name="_Toc192442518"/>
      <w:bookmarkStart w:id="3965" w:name="_Toc192423763"/>
      <w:bookmarkStart w:id="3966" w:name="_Toc192425305"/>
      <w:bookmarkStart w:id="3967" w:name="_Toc192442519"/>
      <w:bookmarkStart w:id="3968" w:name="_Toc192423765"/>
      <w:bookmarkStart w:id="3969" w:name="_Toc192425307"/>
      <w:bookmarkStart w:id="3970" w:name="_Toc192442521"/>
      <w:bookmarkStart w:id="3971" w:name="_Toc192423766"/>
      <w:bookmarkStart w:id="3972" w:name="_Toc192425308"/>
      <w:bookmarkStart w:id="3973" w:name="_Toc192442522"/>
      <w:bookmarkStart w:id="3974" w:name="_Toc192423767"/>
      <w:bookmarkStart w:id="3975" w:name="_Toc192425309"/>
      <w:bookmarkStart w:id="3976" w:name="_Toc192442523"/>
      <w:bookmarkStart w:id="3977" w:name="_Toc192423769"/>
      <w:bookmarkStart w:id="3978" w:name="_Toc192425311"/>
      <w:bookmarkStart w:id="3979" w:name="_Toc192442525"/>
      <w:bookmarkStart w:id="3980" w:name="_Toc192423770"/>
      <w:bookmarkStart w:id="3981" w:name="_Toc192425312"/>
      <w:bookmarkStart w:id="3982" w:name="_Toc192442526"/>
      <w:bookmarkStart w:id="3983" w:name="_Toc192423771"/>
      <w:bookmarkStart w:id="3984" w:name="_Toc192425313"/>
      <w:bookmarkStart w:id="3985" w:name="_Toc192442527"/>
      <w:bookmarkStart w:id="3986" w:name="_Toc192423773"/>
      <w:bookmarkStart w:id="3987" w:name="_Toc192425315"/>
      <w:bookmarkStart w:id="3988" w:name="_Toc192442529"/>
      <w:bookmarkStart w:id="3989" w:name="_Toc192423774"/>
      <w:bookmarkStart w:id="3990" w:name="_Toc192425316"/>
      <w:bookmarkStart w:id="3991" w:name="_Toc192442530"/>
      <w:bookmarkStart w:id="3992" w:name="_Toc192423775"/>
      <w:bookmarkStart w:id="3993" w:name="_Toc192425317"/>
      <w:bookmarkStart w:id="3994" w:name="_Toc192442531"/>
      <w:bookmarkStart w:id="3995" w:name="_Toc192423777"/>
      <w:bookmarkStart w:id="3996" w:name="_Toc192425319"/>
      <w:bookmarkStart w:id="3997" w:name="_Toc192442533"/>
      <w:bookmarkStart w:id="3998" w:name="_Toc192423778"/>
      <w:bookmarkStart w:id="3999" w:name="_Toc192425320"/>
      <w:bookmarkStart w:id="4000" w:name="_Toc192442534"/>
      <w:bookmarkStart w:id="4001" w:name="_Toc192423779"/>
      <w:bookmarkStart w:id="4002" w:name="_Toc192425321"/>
      <w:bookmarkStart w:id="4003" w:name="_Toc192442535"/>
      <w:bookmarkStart w:id="4004" w:name="_Toc192423781"/>
      <w:bookmarkStart w:id="4005" w:name="_Toc192425323"/>
      <w:bookmarkStart w:id="4006" w:name="_Toc192442537"/>
      <w:bookmarkStart w:id="4007" w:name="_Toc192423782"/>
      <w:bookmarkStart w:id="4008" w:name="_Toc192425324"/>
      <w:bookmarkStart w:id="4009" w:name="_Toc192442538"/>
      <w:bookmarkStart w:id="4010" w:name="_Toc192423783"/>
      <w:bookmarkStart w:id="4011" w:name="_Toc192425325"/>
      <w:bookmarkStart w:id="4012" w:name="_Toc192442539"/>
      <w:bookmarkStart w:id="4013" w:name="_Toc192423785"/>
      <w:bookmarkStart w:id="4014" w:name="_Toc192425327"/>
      <w:bookmarkStart w:id="4015" w:name="_Toc192442541"/>
      <w:bookmarkStart w:id="4016" w:name="_Toc192423786"/>
      <w:bookmarkStart w:id="4017" w:name="_Toc192425328"/>
      <w:bookmarkStart w:id="4018" w:name="_Toc192442542"/>
      <w:bookmarkStart w:id="4019" w:name="_Toc192423787"/>
      <w:bookmarkStart w:id="4020" w:name="_Toc192425329"/>
      <w:bookmarkStart w:id="4021" w:name="_Toc192442543"/>
      <w:bookmarkStart w:id="4022" w:name="_Toc192423789"/>
      <w:bookmarkStart w:id="4023" w:name="_Toc192425331"/>
      <w:bookmarkStart w:id="4024" w:name="_Toc192442545"/>
      <w:bookmarkStart w:id="4025" w:name="_Toc192423790"/>
      <w:bookmarkStart w:id="4026" w:name="_Toc192425332"/>
      <w:bookmarkStart w:id="4027" w:name="_Toc192442546"/>
      <w:bookmarkStart w:id="4028" w:name="_Toc192423791"/>
      <w:bookmarkStart w:id="4029" w:name="_Toc192425333"/>
      <w:bookmarkStart w:id="4030" w:name="_Toc192442547"/>
      <w:bookmarkStart w:id="4031" w:name="_Toc192423793"/>
      <w:bookmarkStart w:id="4032" w:name="_Toc192425335"/>
      <w:bookmarkStart w:id="4033" w:name="_Toc192442549"/>
      <w:bookmarkStart w:id="4034" w:name="_Toc192423794"/>
      <w:bookmarkStart w:id="4035" w:name="_Toc192425336"/>
      <w:bookmarkStart w:id="4036" w:name="_Toc192442550"/>
      <w:bookmarkStart w:id="4037" w:name="_Toc192423795"/>
      <w:bookmarkStart w:id="4038" w:name="_Toc192425337"/>
      <w:bookmarkStart w:id="4039" w:name="_Toc192442551"/>
      <w:bookmarkStart w:id="4040" w:name="_Toc192423797"/>
      <w:bookmarkStart w:id="4041" w:name="_Toc192425339"/>
      <w:bookmarkStart w:id="4042" w:name="_Toc192442553"/>
      <w:bookmarkStart w:id="4043" w:name="_Toc192423798"/>
      <w:bookmarkStart w:id="4044" w:name="_Toc192425340"/>
      <w:bookmarkStart w:id="4045" w:name="_Toc192442554"/>
      <w:bookmarkStart w:id="4046" w:name="_Toc192423799"/>
      <w:bookmarkStart w:id="4047" w:name="_Toc192425341"/>
      <w:bookmarkStart w:id="4048" w:name="_Toc192442555"/>
      <w:bookmarkStart w:id="4049" w:name="_Toc192423801"/>
      <w:bookmarkStart w:id="4050" w:name="_Toc192425343"/>
      <w:bookmarkStart w:id="4051" w:name="_Toc192442557"/>
      <w:bookmarkStart w:id="4052" w:name="_Toc192423802"/>
      <w:bookmarkStart w:id="4053" w:name="_Toc192425344"/>
      <w:bookmarkStart w:id="4054" w:name="_Toc192442558"/>
      <w:bookmarkStart w:id="4055" w:name="_Toc192423803"/>
      <w:bookmarkStart w:id="4056" w:name="_Toc192425345"/>
      <w:bookmarkStart w:id="4057" w:name="_Toc192442559"/>
      <w:bookmarkStart w:id="4058" w:name="_Toc192423804"/>
      <w:bookmarkStart w:id="4059" w:name="_Toc192425346"/>
      <w:bookmarkStart w:id="4060" w:name="_Toc192442560"/>
      <w:bookmarkStart w:id="4061" w:name="_Toc192423806"/>
      <w:bookmarkStart w:id="4062" w:name="_Toc192425348"/>
      <w:bookmarkStart w:id="4063" w:name="_Toc192442562"/>
      <w:bookmarkStart w:id="4064" w:name="_Toc192423807"/>
      <w:bookmarkStart w:id="4065" w:name="_Toc192425349"/>
      <w:bookmarkStart w:id="4066" w:name="_Toc192442563"/>
      <w:bookmarkStart w:id="4067" w:name="_Toc192423809"/>
      <w:bookmarkStart w:id="4068" w:name="_Toc192425351"/>
      <w:bookmarkStart w:id="4069" w:name="_Toc192442565"/>
      <w:bookmarkStart w:id="4070" w:name="_Toc192423810"/>
      <w:bookmarkStart w:id="4071" w:name="_Toc192425352"/>
      <w:bookmarkStart w:id="4072" w:name="_Toc192442566"/>
      <w:bookmarkStart w:id="4073" w:name="_Toc192423812"/>
      <w:bookmarkStart w:id="4074" w:name="_Toc192425354"/>
      <w:bookmarkStart w:id="4075" w:name="_Toc192442568"/>
      <w:bookmarkStart w:id="4076" w:name="_Toc192423813"/>
      <w:bookmarkStart w:id="4077" w:name="_Toc192425355"/>
      <w:bookmarkStart w:id="4078" w:name="_Toc192442569"/>
      <w:bookmarkStart w:id="4079" w:name="_Toc192423815"/>
      <w:bookmarkStart w:id="4080" w:name="_Toc192425357"/>
      <w:bookmarkStart w:id="4081" w:name="_Toc192442571"/>
      <w:bookmarkStart w:id="4082" w:name="_Toc192423816"/>
      <w:bookmarkStart w:id="4083" w:name="_Toc192425358"/>
      <w:bookmarkStart w:id="4084" w:name="_Toc192442572"/>
      <w:bookmarkStart w:id="4085" w:name="_Toc192423818"/>
      <w:bookmarkStart w:id="4086" w:name="_Toc192425360"/>
      <w:bookmarkStart w:id="4087" w:name="_Toc192442574"/>
      <w:bookmarkStart w:id="4088" w:name="_Toc192423819"/>
      <w:bookmarkStart w:id="4089" w:name="_Toc192425361"/>
      <w:bookmarkStart w:id="4090" w:name="_Toc192442575"/>
      <w:bookmarkStart w:id="4091" w:name="_Toc192423821"/>
      <w:bookmarkStart w:id="4092" w:name="_Toc192425363"/>
      <w:bookmarkStart w:id="4093" w:name="_Toc192442577"/>
      <w:bookmarkStart w:id="4094" w:name="_Toc192423822"/>
      <w:bookmarkStart w:id="4095" w:name="_Toc192425364"/>
      <w:bookmarkStart w:id="4096" w:name="_Toc192442578"/>
      <w:bookmarkStart w:id="4097" w:name="_Toc192423824"/>
      <w:bookmarkStart w:id="4098" w:name="_Toc192425366"/>
      <w:bookmarkStart w:id="4099" w:name="_Toc192442580"/>
      <w:bookmarkStart w:id="4100" w:name="_Toc192423825"/>
      <w:bookmarkStart w:id="4101" w:name="_Toc192425367"/>
      <w:bookmarkStart w:id="4102" w:name="_Toc192442581"/>
      <w:bookmarkStart w:id="4103" w:name="_Toc192423827"/>
      <w:bookmarkStart w:id="4104" w:name="_Toc192425369"/>
      <w:bookmarkStart w:id="4105" w:name="_Toc192442583"/>
      <w:bookmarkStart w:id="4106" w:name="_Toc192423828"/>
      <w:bookmarkStart w:id="4107" w:name="_Toc192425370"/>
      <w:bookmarkStart w:id="4108" w:name="_Toc192442584"/>
      <w:bookmarkStart w:id="4109" w:name="_Toc192423830"/>
      <w:bookmarkStart w:id="4110" w:name="_Toc192425372"/>
      <w:bookmarkStart w:id="4111" w:name="_Toc192442586"/>
      <w:bookmarkStart w:id="4112" w:name="_Toc192423831"/>
      <w:bookmarkStart w:id="4113" w:name="_Toc192425373"/>
      <w:bookmarkStart w:id="4114" w:name="_Toc192442587"/>
      <w:bookmarkStart w:id="4115" w:name="_Toc192423833"/>
      <w:bookmarkStart w:id="4116" w:name="_Toc192425375"/>
      <w:bookmarkStart w:id="4117" w:name="_Toc192442589"/>
      <w:bookmarkStart w:id="4118" w:name="_Toc192423834"/>
      <w:bookmarkStart w:id="4119" w:name="_Toc192425376"/>
      <w:bookmarkStart w:id="4120" w:name="_Toc192442590"/>
      <w:bookmarkStart w:id="4121" w:name="_Toc192423836"/>
      <w:bookmarkStart w:id="4122" w:name="_Toc192425378"/>
      <w:bookmarkStart w:id="4123" w:name="_Toc192442592"/>
      <w:bookmarkStart w:id="4124" w:name="_Toc192423837"/>
      <w:bookmarkStart w:id="4125" w:name="_Toc192425379"/>
      <w:bookmarkStart w:id="4126" w:name="_Toc192442593"/>
      <w:bookmarkStart w:id="4127" w:name="_Toc192423839"/>
      <w:bookmarkStart w:id="4128" w:name="_Toc192425381"/>
      <w:bookmarkStart w:id="4129" w:name="_Toc192442595"/>
      <w:bookmarkStart w:id="4130" w:name="_Toc192423840"/>
      <w:bookmarkStart w:id="4131" w:name="_Toc192425382"/>
      <w:bookmarkStart w:id="4132" w:name="_Toc192442596"/>
      <w:bookmarkStart w:id="4133" w:name="_Toc192423842"/>
      <w:bookmarkStart w:id="4134" w:name="_Toc192425384"/>
      <w:bookmarkStart w:id="4135" w:name="_Toc192442598"/>
      <w:bookmarkStart w:id="4136" w:name="_Toc192423843"/>
      <w:bookmarkStart w:id="4137" w:name="_Toc192425385"/>
      <w:bookmarkStart w:id="4138" w:name="_Toc192442599"/>
      <w:bookmarkStart w:id="4139" w:name="_Toc192423845"/>
      <w:bookmarkStart w:id="4140" w:name="_Toc192425387"/>
      <w:bookmarkStart w:id="4141" w:name="_Toc192442601"/>
      <w:bookmarkStart w:id="4142" w:name="_Toc192423846"/>
      <w:bookmarkStart w:id="4143" w:name="_Toc192425388"/>
      <w:bookmarkStart w:id="4144" w:name="_Toc192442602"/>
      <w:bookmarkStart w:id="4145" w:name="_Toc192423848"/>
      <w:bookmarkStart w:id="4146" w:name="_Toc192425390"/>
      <w:bookmarkStart w:id="4147" w:name="_Toc192442604"/>
      <w:bookmarkStart w:id="4148" w:name="_Toc192423849"/>
      <w:bookmarkStart w:id="4149" w:name="_Toc192425391"/>
      <w:bookmarkStart w:id="4150" w:name="_Toc192442605"/>
      <w:bookmarkStart w:id="4151" w:name="_Toc192423851"/>
      <w:bookmarkStart w:id="4152" w:name="_Toc192425393"/>
      <w:bookmarkStart w:id="4153" w:name="_Toc192442607"/>
      <w:bookmarkStart w:id="4154" w:name="_Toc192423852"/>
      <w:bookmarkStart w:id="4155" w:name="_Toc192425394"/>
      <w:bookmarkStart w:id="4156" w:name="_Toc192442608"/>
      <w:bookmarkStart w:id="4157" w:name="_Toc192423854"/>
      <w:bookmarkStart w:id="4158" w:name="_Toc192425396"/>
      <w:bookmarkStart w:id="4159" w:name="_Toc192442610"/>
      <w:bookmarkStart w:id="4160" w:name="_Toc192423855"/>
      <w:bookmarkStart w:id="4161" w:name="_Toc192425397"/>
      <w:bookmarkStart w:id="4162" w:name="_Toc192442611"/>
      <w:bookmarkStart w:id="4163" w:name="_Toc192423857"/>
      <w:bookmarkStart w:id="4164" w:name="_Toc192425399"/>
      <w:bookmarkStart w:id="4165" w:name="_Toc192442613"/>
      <w:bookmarkStart w:id="4166" w:name="_Toc192423858"/>
      <w:bookmarkStart w:id="4167" w:name="_Toc192425400"/>
      <w:bookmarkStart w:id="4168" w:name="_Toc192442614"/>
      <w:bookmarkStart w:id="4169" w:name="_Toc192423860"/>
      <w:bookmarkStart w:id="4170" w:name="_Toc192425402"/>
      <w:bookmarkStart w:id="4171" w:name="_Toc192442616"/>
      <w:bookmarkStart w:id="4172" w:name="_Toc192423861"/>
      <w:bookmarkStart w:id="4173" w:name="_Toc192425403"/>
      <w:bookmarkStart w:id="4174" w:name="_Toc192442617"/>
      <w:bookmarkStart w:id="4175" w:name="_Toc192423863"/>
      <w:bookmarkStart w:id="4176" w:name="_Toc192425405"/>
      <w:bookmarkStart w:id="4177" w:name="_Toc192442619"/>
      <w:bookmarkStart w:id="4178" w:name="_Toc192423864"/>
      <w:bookmarkStart w:id="4179" w:name="_Toc192425406"/>
      <w:bookmarkStart w:id="4180" w:name="_Toc192442620"/>
      <w:bookmarkStart w:id="4181" w:name="_Toc192423866"/>
      <w:bookmarkStart w:id="4182" w:name="_Toc192425408"/>
      <w:bookmarkStart w:id="4183" w:name="_Toc192442622"/>
      <w:bookmarkStart w:id="4184" w:name="_Toc192423867"/>
      <w:bookmarkStart w:id="4185" w:name="_Toc192425409"/>
      <w:bookmarkStart w:id="4186" w:name="_Toc192442623"/>
      <w:bookmarkStart w:id="4187" w:name="_Toc192423869"/>
      <w:bookmarkStart w:id="4188" w:name="_Toc192425411"/>
      <w:bookmarkStart w:id="4189" w:name="_Toc192442625"/>
      <w:bookmarkStart w:id="4190" w:name="_Toc192423870"/>
      <w:bookmarkStart w:id="4191" w:name="_Toc192425412"/>
      <w:bookmarkStart w:id="4192" w:name="_Toc192442626"/>
      <w:bookmarkStart w:id="4193" w:name="_Toc192423872"/>
      <w:bookmarkStart w:id="4194" w:name="_Toc192425414"/>
      <w:bookmarkStart w:id="4195" w:name="_Toc192442628"/>
      <w:bookmarkStart w:id="4196" w:name="_Toc192423873"/>
      <w:bookmarkStart w:id="4197" w:name="_Toc192425415"/>
      <w:bookmarkStart w:id="4198" w:name="_Toc192442629"/>
      <w:bookmarkStart w:id="4199" w:name="_Toc192423875"/>
      <w:bookmarkStart w:id="4200" w:name="_Toc192425417"/>
      <w:bookmarkStart w:id="4201" w:name="_Toc192442631"/>
      <w:bookmarkStart w:id="4202" w:name="_Toc192423876"/>
      <w:bookmarkStart w:id="4203" w:name="_Toc192425418"/>
      <w:bookmarkStart w:id="4204" w:name="_Toc192442632"/>
      <w:bookmarkStart w:id="4205" w:name="_Toc192423878"/>
      <w:bookmarkStart w:id="4206" w:name="_Toc192425420"/>
      <w:bookmarkStart w:id="4207" w:name="_Toc192442634"/>
      <w:bookmarkStart w:id="4208" w:name="_Toc192423879"/>
      <w:bookmarkStart w:id="4209" w:name="_Toc192425421"/>
      <w:bookmarkStart w:id="4210" w:name="_Toc192442635"/>
      <w:bookmarkStart w:id="4211" w:name="_Toc192423881"/>
      <w:bookmarkStart w:id="4212" w:name="_Toc192425423"/>
      <w:bookmarkStart w:id="4213" w:name="_Toc192442637"/>
      <w:bookmarkStart w:id="4214" w:name="_Toc192423882"/>
      <w:bookmarkStart w:id="4215" w:name="_Toc192425424"/>
      <w:bookmarkStart w:id="4216" w:name="_Toc192442638"/>
      <w:bookmarkStart w:id="4217" w:name="_Toc192423884"/>
      <w:bookmarkStart w:id="4218" w:name="_Toc192425426"/>
      <w:bookmarkStart w:id="4219" w:name="_Toc192442640"/>
      <w:bookmarkStart w:id="4220" w:name="_Toc192423885"/>
      <w:bookmarkStart w:id="4221" w:name="_Toc192425427"/>
      <w:bookmarkStart w:id="4222" w:name="_Toc192442641"/>
      <w:bookmarkStart w:id="4223" w:name="_Toc192423887"/>
      <w:bookmarkStart w:id="4224" w:name="_Toc192425429"/>
      <w:bookmarkStart w:id="4225" w:name="_Toc192442643"/>
      <w:bookmarkStart w:id="4226" w:name="_Toc192423888"/>
      <w:bookmarkStart w:id="4227" w:name="_Toc192425430"/>
      <w:bookmarkStart w:id="4228" w:name="_Toc192442644"/>
      <w:bookmarkStart w:id="4229" w:name="_Toc192423890"/>
      <w:bookmarkStart w:id="4230" w:name="_Toc192425432"/>
      <w:bookmarkStart w:id="4231" w:name="_Toc192442646"/>
      <w:bookmarkStart w:id="4232" w:name="_Toc192423891"/>
      <w:bookmarkStart w:id="4233" w:name="_Toc192425433"/>
      <w:bookmarkStart w:id="4234" w:name="_Toc192442647"/>
      <w:bookmarkStart w:id="4235" w:name="_Toc192423893"/>
      <w:bookmarkStart w:id="4236" w:name="_Toc192425435"/>
      <w:bookmarkStart w:id="4237" w:name="_Toc192442649"/>
      <w:bookmarkStart w:id="4238" w:name="_Toc192423894"/>
      <w:bookmarkStart w:id="4239" w:name="_Toc192425436"/>
      <w:bookmarkStart w:id="4240" w:name="_Toc192442650"/>
      <w:bookmarkStart w:id="4241" w:name="_Toc192423896"/>
      <w:bookmarkStart w:id="4242" w:name="_Toc192425438"/>
      <w:bookmarkStart w:id="4243" w:name="_Toc192442652"/>
      <w:bookmarkStart w:id="4244" w:name="_Toc192423897"/>
      <w:bookmarkStart w:id="4245" w:name="_Toc192425439"/>
      <w:bookmarkStart w:id="4246" w:name="_Toc192442653"/>
      <w:bookmarkStart w:id="4247" w:name="_Toc192423899"/>
      <w:bookmarkStart w:id="4248" w:name="_Toc192425441"/>
      <w:bookmarkStart w:id="4249" w:name="_Toc192442655"/>
      <w:bookmarkStart w:id="4250" w:name="_Toc192423900"/>
      <w:bookmarkStart w:id="4251" w:name="_Toc192425442"/>
      <w:bookmarkStart w:id="4252" w:name="_Toc192442656"/>
      <w:bookmarkStart w:id="4253" w:name="_Toc192423901"/>
      <w:bookmarkStart w:id="4254" w:name="_Toc192425443"/>
      <w:bookmarkStart w:id="4255" w:name="_Toc192442657"/>
      <w:bookmarkStart w:id="4256" w:name="_Toc192423902"/>
      <w:bookmarkStart w:id="4257" w:name="_Toc192425444"/>
      <w:bookmarkStart w:id="4258" w:name="_Toc192442658"/>
      <w:bookmarkStart w:id="4259" w:name="_Toc192423903"/>
      <w:bookmarkStart w:id="4260" w:name="_Toc192425445"/>
      <w:bookmarkStart w:id="4261" w:name="_Toc192442659"/>
      <w:bookmarkStart w:id="4262" w:name="_Toc192423905"/>
      <w:bookmarkStart w:id="4263" w:name="_Toc192425447"/>
      <w:bookmarkStart w:id="4264" w:name="_Toc192442661"/>
      <w:bookmarkStart w:id="4265" w:name="_Toc192423906"/>
      <w:bookmarkStart w:id="4266" w:name="_Toc192425448"/>
      <w:bookmarkStart w:id="4267" w:name="_Toc192442662"/>
      <w:bookmarkStart w:id="4268" w:name="_Toc192423908"/>
      <w:bookmarkStart w:id="4269" w:name="_Toc192425450"/>
      <w:bookmarkStart w:id="4270" w:name="_Toc192442664"/>
      <w:bookmarkStart w:id="4271" w:name="_Toc192423909"/>
      <w:bookmarkStart w:id="4272" w:name="_Toc192425451"/>
      <w:bookmarkStart w:id="4273" w:name="_Toc192442665"/>
      <w:bookmarkStart w:id="4274" w:name="_Toc192423911"/>
      <w:bookmarkStart w:id="4275" w:name="_Toc192425453"/>
      <w:bookmarkStart w:id="4276" w:name="_Toc192442667"/>
      <w:bookmarkStart w:id="4277" w:name="_Toc192423912"/>
      <w:bookmarkStart w:id="4278" w:name="_Toc192425454"/>
      <w:bookmarkStart w:id="4279" w:name="_Toc192442668"/>
      <w:bookmarkStart w:id="4280" w:name="_Toc192423914"/>
      <w:bookmarkStart w:id="4281" w:name="_Toc192425456"/>
      <w:bookmarkStart w:id="4282" w:name="_Toc192442670"/>
      <w:bookmarkStart w:id="4283" w:name="_Toc192423915"/>
      <w:bookmarkStart w:id="4284" w:name="_Toc192425457"/>
      <w:bookmarkStart w:id="4285" w:name="_Toc192442671"/>
      <w:bookmarkStart w:id="4286" w:name="_Toc192423917"/>
      <w:bookmarkStart w:id="4287" w:name="_Toc192425459"/>
      <w:bookmarkStart w:id="4288" w:name="_Toc192442673"/>
      <w:bookmarkStart w:id="4289" w:name="_Toc192423918"/>
      <w:bookmarkStart w:id="4290" w:name="_Toc192425460"/>
      <w:bookmarkStart w:id="4291" w:name="_Toc192442674"/>
      <w:bookmarkStart w:id="4292" w:name="_Toc192423920"/>
      <w:bookmarkStart w:id="4293" w:name="_Toc192425462"/>
      <w:bookmarkStart w:id="4294" w:name="_Toc192442676"/>
      <w:bookmarkStart w:id="4295" w:name="_Toc192423921"/>
      <w:bookmarkStart w:id="4296" w:name="_Toc192425463"/>
      <w:bookmarkStart w:id="4297" w:name="_Toc192442677"/>
      <w:bookmarkStart w:id="4298" w:name="_Toc192423923"/>
      <w:bookmarkStart w:id="4299" w:name="_Toc192425465"/>
      <w:bookmarkStart w:id="4300" w:name="_Toc192442679"/>
      <w:bookmarkStart w:id="4301" w:name="_Toc192423924"/>
      <w:bookmarkStart w:id="4302" w:name="_Toc192425466"/>
      <w:bookmarkStart w:id="4303" w:name="_Toc192442680"/>
      <w:bookmarkStart w:id="4304" w:name="_Toc192423926"/>
      <w:bookmarkStart w:id="4305" w:name="_Toc192425468"/>
      <w:bookmarkStart w:id="4306" w:name="_Toc192442682"/>
      <w:bookmarkStart w:id="4307" w:name="_Toc192423927"/>
      <w:bookmarkStart w:id="4308" w:name="_Toc192425469"/>
      <w:bookmarkStart w:id="4309" w:name="_Toc192442683"/>
      <w:bookmarkStart w:id="4310" w:name="_Toc192423929"/>
      <w:bookmarkStart w:id="4311" w:name="_Toc192425471"/>
      <w:bookmarkStart w:id="4312" w:name="_Toc192442685"/>
      <w:bookmarkStart w:id="4313" w:name="_Toc192423930"/>
      <w:bookmarkStart w:id="4314" w:name="_Toc192425472"/>
      <w:bookmarkStart w:id="4315" w:name="_Toc192442686"/>
      <w:bookmarkStart w:id="4316" w:name="_Toc192423932"/>
      <w:bookmarkStart w:id="4317" w:name="_Toc192425474"/>
      <w:bookmarkStart w:id="4318" w:name="_Toc192442688"/>
      <w:bookmarkStart w:id="4319" w:name="_Toc192423933"/>
      <w:bookmarkStart w:id="4320" w:name="_Toc192425475"/>
      <w:bookmarkStart w:id="4321" w:name="_Toc192442689"/>
      <w:bookmarkStart w:id="4322" w:name="_Toc192423935"/>
      <w:bookmarkStart w:id="4323" w:name="_Toc192425477"/>
      <w:bookmarkStart w:id="4324" w:name="_Toc192442691"/>
      <w:bookmarkStart w:id="4325" w:name="_Toc192423936"/>
      <w:bookmarkStart w:id="4326" w:name="_Toc192425478"/>
      <w:bookmarkStart w:id="4327" w:name="_Toc192442692"/>
      <w:bookmarkStart w:id="4328" w:name="_Toc192423938"/>
      <w:bookmarkStart w:id="4329" w:name="_Toc192425480"/>
      <w:bookmarkStart w:id="4330" w:name="_Toc192442694"/>
      <w:bookmarkStart w:id="4331" w:name="_Toc192423939"/>
      <w:bookmarkStart w:id="4332" w:name="_Toc192425481"/>
      <w:bookmarkStart w:id="4333" w:name="_Toc192442695"/>
      <w:bookmarkStart w:id="4334" w:name="_Toc192423941"/>
      <w:bookmarkStart w:id="4335" w:name="_Toc192425483"/>
      <w:bookmarkStart w:id="4336" w:name="_Toc192442697"/>
      <w:bookmarkStart w:id="4337" w:name="_Toc192423942"/>
      <w:bookmarkStart w:id="4338" w:name="_Toc192425484"/>
      <w:bookmarkStart w:id="4339" w:name="_Toc192442698"/>
      <w:bookmarkStart w:id="4340" w:name="_Toc192423944"/>
      <w:bookmarkStart w:id="4341" w:name="_Toc192425486"/>
      <w:bookmarkStart w:id="4342" w:name="_Toc192442700"/>
      <w:bookmarkStart w:id="4343" w:name="_Toc192423945"/>
      <w:bookmarkStart w:id="4344" w:name="_Toc192425487"/>
      <w:bookmarkStart w:id="4345" w:name="_Toc192442701"/>
      <w:bookmarkStart w:id="4346" w:name="_Toc192423947"/>
      <w:bookmarkStart w:id="4347" w:name="_Toc192425489"/>
      <w:bookmarkStart w:id="4348" w:name="_Toc192442703"/>
      <w:bookmarkStart w:id="4349" w:name="_Toc192423948"/>
      <w:bookmarkStart w:id="4350" w:name="_Toc192425490"/>
      <w:bookmarkStart w:id="4351" w:name="_Toc192442704"/>
      <w:bookmarkStart w:id="4352" w:name="_Toc192423949"/>
      <w:bookmarkStart w:id="4353" w:name="_Toc192425491"/>
      <w:bookmarkStart w:id="4354" w:name="_Toc192442705"/>
      <w:bookmarkStart w:id="4355" w:name="_Toc192423950"/>
      <w:bookmarkStart w:id="4356" w:name="_Toc192425492"/>
      <w:bookmarkStart w:id="4357" w:name="_Toc192442706"/>
      <w:bookmarkStart w:id="4358" w:name="_Toc192423951"/>
      <w:bookmarkStart w:id="4359" w:name="_Toc192425493"/>
      <w:bookmarkStart w:id="4360" w:name="_Toc192442707"/>
      <w:bookmarkStart w:id="4361" w:name="_Toc192423953"/>
      <w:bookmarkStart w:id="4362" w:name="_Toc192425495"/>
      <w:bookmarkStart w:id="4363" w:name="_Toc192442709"/>
      <w:bookmarkStart w:id="4364" w:name="_Toc192423954"/>
      <w:bookmarkStart w:id="4365" w:name="_Toc192425496"/>
      <w:bookmarkStart w:id="4366" w:name="_Toc192442710"/>
      <w:bookmarkStart w:id="4367" w:name="_Toc192423956"/>
      <w:bookmarkStart w:id="4368" w:name="_Toc192425498"/>
      <w:bookmarkStart w:id="4369" w:name="_Toc192442712"/>
      <w:bookmarkStart w:id="4370" w:name="_Toc192423957"/>
      <w:bookmarkStart w:id="4371" w:name="_Toc192425499"/>
      <w:bookmarkStart w:id="4372" w:name="_Toc192442713"/>
      <w:bookmarkStart w:id="4373" w:name="_Toc192423959"/>
      <w:bookmarkStart w:id="4374" w:name="_Toc192425501"/>
      <w:bookmarkStart w:id="4375" w:name="_Toc192442715"/>
      <w:bookmarkStart w:id="4376" w:name="_Toc192423960"/>
      <w:bookmarkStart w:id="4377" w:name="_Toc192425502"/>
      <w:bookmarkStart w:id="4378" w:name="_Toc192442716"/>
      <w:bookmarkStart w:id="4379" w:name="_Toc192423962"/>
      <w:bookmarkStart w:id="4380" w:name="_Toc192425504"/>
      <w:bookmarkStart w:id="4381" w:name="_Toc192442718"/>
      <w:bookmarkStart w:id="4382" w:name="_Toc192423963"/>
      <w:bookmarkStart w:id="4383" w:name="_Toc192425505"/>
      <w:bookmarkStart w:id="4384" w:name="_Toc192442719"/>
      <w:bookmarkStart w:id="4385" w:name="_Toc192423965"/>
      <w:bookmarkStart w:id="4386" w:name="_Toc192425507"/>
      <w:bookmarkStart w:id="4387" w:name="_Toc192442721"/>
      <w:bookmarkStart w:id="4388" w:name="_Toc192423966"/>
      <w:bookmarkStart w:id="4389" w:name="_Toc192425508"/>
      <w:bookmarkStart w:id="4390" w:name="_Toc192442722"/>
      <w:bookmarkStart w:id="4391" w:name="_Toc192423968"/>
      <w:bookmarkStart w:id="4392" w:name="_Toc192425510"/>
      <w:bookmarkStart w:id="4393" w:name="_Toc192442724"/>
      <w:bookmarkStart w:id="4394" w:name="_Toc192423969"/>
      <w:bookmarkStart w:id="4395" w:name="_Toc192425511"/>
      <w:bookmarkStart w:id="4396" w:name="_Toc192442725"/>
      <w:bookmarkStart w:id="4397" w:name="_Toc192423970"/>
      <w:bookmarkStart w:id="4398" w:name="_Toc192425512"/>
      <w:bookmarkStart w:id="4399" w:name="_Toc192442726"/>
      <w:bookmarkStart w:id="4400" w:name="_Toc192423971"/>
      <w:bookmarkStart w:id="4401" w:name="_Toc192425513"/>
      <w:bookmarkStart w:id="4402" w:name="_Toc192442727"/>
      <w:bookmarkStart w:id="4403" w:name="_Toc192423972"/>
      <w:bookmarkStart w:id="4404" w:name="_Toc192425514"/>
      <w:bookmarkStart w:id="4405" w:name="_Toc192442728"/>
      <w:bookmarkStart w:id="4406" w:name="_Toc192423973"/>
      <w:bookmarkStart w:id="4407" w:name="_Toc192425515"/>
      <w:bookmarkStart w:id="4408" w:name="_Toc192442729"/>
      <w:bookmarkStart w:id="4409" w:name="_Toc192423974"/>
      <w:bookmarkStart w:id="4410" w:name="_Toc192425516"/>
      <w:bookmarkStart w:id="4411" w:name="_Toc192442730"/>
      <w:bookmarkStart w:id="4412" w:name="_Toc192423975"/>
      <w:bookmarkStart w:id="4413" w:name="_Toc192425517"/>
      <w:bookmarkStart w:id="4414" w:name="_Toc192442731"/>
      <w:bookmarkStart w:id="4415" w:name="_Toc192423976"/>
      <w:bookmarkStart w:id="4416" w:name="_Toc192425518"/>
      <w:bookmarkStart w:id="4417" w:name="_Toc192442732"/>
      <w:bookmarkStart w:id="4418" w:name="_Toc192423977"/>
      <w:bookmarkStart w:id="4419" w:name="_Toc192425519"/>
      <w:bookmarkStart w:id="4420" w:name="_Toc192442733"/>
      <w:bookmarkStart w:id="4421" w:name="_Toc192423978"/>
      <w:bookmarkStart w:id="4422" w:name="_Toc192425520"/>
      <w:bookmarkStart w:id="4423" w:name="_Toc192442734"/>
      <w:bookmarkStart w:id="4424" w:name="_Toc192423979"/>
      <w:bookmarkStart w:id="4425" w:name="_Toc192425521"/>
      <w:bookmarkStart w:id="4426" w:name="_Toc192442735"/>
      <w:bookmarkStart w:id="4427" w:name="_Toc192423980"/>
      <w:bookmarkStart w:id="4428" w:name="_Toc192425522"/>
      <w:bookmarkStart w:id="4429" w:name="_Toc192442736"/>
      <w:bookmarkStart w:id="4430" w:name="_Toc192423981"/>
      <w:bookmarkStart w:id="4431" w:name="_Toc192425523"/>
      <w:bookmarkStart w:id="4432" w:name="_Toc192442737"/>
      <w:bookmarkStart w:id="4433" w:name="_Toc192423982"/>
      <w:bookmarkStart w:id="4434" w:name="_Toc192425524"/>
      <w:bookmarkStart w:id="4435" w:name="_Toc192442738"/>
      <w:bookmarkStart w:id="4436" w:name="_Toc192423983"/>
      <w:bookmarkStart w:id="4437" w:name="_Toc192425525"/>
      <w:bookmarkStart w:id="4438" w:name="_Toc192442739"/>
      <w:bookmarkStart w:id="4439" w:name="_Toc192423984"/>
      <w:bookmarkStart w:id="4440" w:name="_Toc192425526"/>
      <w:bookmarkStart w:id="4441" w:name="_Toc192442740"/>
      <w:bookmarkStart w:id="4442" w:name="_Toc192423985"/>
      <w:bookmarkStart w:id="4443" w:name="_Toc192425527"/>
      <w:bookmarkStart w:id="4444" w:name="_Toc192442741"/>
      <w:bookmarkStart w:id="4445" w:name="_Toc192423986"/>
      <w:bookmarkStart w:id="4446" w:name="_Toc192425528"/>
      <w:bookmarkStart w:id="4447" w:name="_Toc192442742"/>
      <w:bookmarkStart w:id="4448" w:name="_Toc192423987"/>
      <w:bookmarkStart w:id="4449" w:name="_Toc192425529"/>
      <w:bookmarkStart w:id="4450" w:name="_Toc192442743"/>
      <w:bookmarkStart w:id="4451" w:name="_Toc192423988"/>
      <w:bookmarkStart w:id="4452" w:name="_Toc192425530"/>
      <w:bookmarkStart w:id="4453" w:name="_Toc192442744"/>
      <w:bookmarkStart w:id="4454" w:name="_Toc192423989"/>
      <w:bookmarkStart w:id="4455" w:name="_Toc192425531"/>
      <w:bookmarkStart w:id="4456" w:name="_Toc192442745"/>
      <w:bookmarkStart w:id="4457" w:name="_Toc192423990"/>
      <w:bookmarkStart w:id="4458" w:name="_Toc192425532"/>
      <w:bookmarkStart w:id="4459" w:name="_Toc192442746"/>
      <w:bookmarkStart w:id="4460" w:name="_Toc192423992"/>
      <w:bookmarkStart w:id="4461" w:name="_Toc192425534"/>
      <w:bookmarkStart w:id="4462" w:name="_Toc192442748"/>
      <w:bookmarkStart w:id="4463" w:name="_Toc192423993"/>
      <w:bookmarkStart w:id="4464" w:name="_Toc192425535"/>
      <w:bookmarkStart w:id="4465" w:name="_Toc192442749"/>
      <w:bookmarkStart w:id="4466" w:name="_Toc192423994"/>
      <w:bookmarkStart w:id="4467" w:name="_Toc192425536"/>
      <w:bookmarkStart w:id="4468" w:name="_Toc192442750"/>
      <w:bookmarkStart w:id="4469" w:name="_Toc192423995"/>
      <w:bookmarkStart w:id="4470" w:name="_Toc192425537"/>
      <w:bookmarkStart w:id="4471" w:name="_Toc192442751"/>
      <w:bookmarkStart w:id="4472" w:name="_Toc192423996"/>
      <w:bookmarkStart w:id="4473" w:name="_Toc192425538"/>
      <w:bookmarkStart w:id="4474" w:name="_Toc192442752"/>
      <w:bookmarkStart w:id="4475" w:name="_Toc192423997"/>
      <w:bookmarkStart w:id="4476" w:name="_Toc192425539"/>
      <w:bookmarkStart w:id="4477" w:name="_Toc192442753"/>
      <w:bookmarkStart w:id="4478" w:name="_Toc192423998"/>
      <w:bookmarkStart w:id="4479" w:name="_Toc192425540"/>
      <w:bookmarkStart w:id="4480" w:name="_Toc192442754"/>
      <w:bookmarkStart w:id="4481" w:name="_Toc192424000"/>
      <w:bookmarkStart w:id="4482" w:name="_Toc192425542"/>
      <w:bookmarkStart w:id="4483" w:name="_Toc192442756"/>
      <w:bookmarkStart w:id="4484" w:name="_Toc192424001"/>
      <w:bookmarkStart w:id="4485" w:name="_Toc192425543"/>
      <w:bookmarkStart w:id="4486" w:name="_Toc192442757"/>
      <w:bookmarkStart w:id="4487" w:name="_Toc192424002"/>
      <w:bookmarkStart w:id="4488" w:name="_Toc192425544"/>
      <w:bookmarkStart w:id="4489" w:name="_Toc192442758"/>
      <w:bookmarkStart w:id="4490" w:name="_Toc192424003"/>
      <w:bookmarkStart w:id="4491" w:name="_Toc192425545"/>
      <w:bookmarkStart w:id="4492" w:name="_Toc192442759"/>
      <w:bookmarkStart w:id="4493" w:name="_Toc192424004"/>
      <w:bookmarkStart w:id="4494" w:name="_Toc192425546"/>
      <w:bookmarkStart w:id="4495" w:name="_Toc192442760"/>
      <w:bookmarkStart w:id="4496" w:name="_Toc192424005"/>
      <w:bookmarkStart w:id="4497" w:name="_Toc192425547"/>
      <w:bookmarkStart w:id="4498" w:name="_Toc192442761"/>
      <w:bookmarkStart w:id="4499" w:name="_Toc192424006"/>
      <w:bookmarkStart w:id="4500" w:name="_Toc192425548"/>
      <w:bookmarkStart w:id="4501" w:name="_Toc192442762"/>
      <w:bookmarkStart w:id="4502" w:name="_Toc192424008"/>
      <w:bookmarkStart w:id="4503" w:name="_Toc192425550"/>
      <w:bookmarkStart w:id="4504" w:name="_Toc192442764"/>
      <w:bookmarkStart w:id="4505" w:name="_Toc192424009"/>
      <w:bookmarkStart w:id="4506" w:name="_Toc192425551"/>
      <w:bookmarkStart w:id="4507" w:name="_Toc192442765"/>
      <w:bookmarkStart w:id="4508" w:name="_Toc192424010"/>
      <w:bookmarkStart w:id="4509" w:name="_Toc192425552"/>
      <w:bookmarkStart w:id="4510" w:name="_Toc192442766"/>
      <w:bookmarkStart w:id="4511" w:name="_Toc192424011"/>
      <w:bookmarkStart w:id="4512" w:name="_Toc192425553"/>
      <w:bookmarkStart w:id="4513" w:name="_Toc192442767"/>
      <w:bookmarkStart w:id="4514" w:name="_Toc192424012"/>
      <w:bookmarkStart w:id="4515" w:name="_Toc192425554"/>
      <w:bookmarkStart w:id="4516" w:name="_Toc192442768"/>
      <w:bookmarkStart w:id="4517" w:name="_Toc192424013"/>
      <w:bookmarkStart w:id="4518" w:name="_Toc192425555"/>
      <w:bookmarkStart w:id="4519" w:name="_Toc192442769"/>
      <w:bookmarkStart w:id="4520" w:name="_Toc192424014"/>
      <w:bookmarkStart w:id="4521" w:name="_Toc192425556"/>
      <w:bookmarkStart w:id="4522" w:name="_Toc192442770"/>
      <w:bookmarkStart w:id="4523" w:name="_Toc192424016"/>
      <w:bookmarkStart w:id="4524" w:name="_Toc192425558"/>
      <w:bookmarkStart w:id="4525" w:name="_Toc192442772"/>
      <w:bookmarkStart w:id="4526" w:name="_Toc192424017"/>
      <w:bookmarkStart w:id="4527" w:name="_Toc192425559"/>
      <w:bookmarkStart w:id="4528" w:name="_Toc192442773"/>
      <w:bookmarkStart w:id="4529" w:name="_Toc192424018"/>
      <w:bookmarkStart w:id="4530" w:name="_Toc192425560"/>
      <w:bookmarkStart w:id="4531" w:name="_Toc192442774"/>
      <w:bookmarkStart w:id="4532" w:name="_Toc192424019"/>
      <w:bookmarkStart w:id="4533" w:name="_Toc192425561"/>
      <w:bookmarkStart w:id="4534" w:name="_Toc192442775"/>
      <w:bookmarkStart w:id="4535" w:name="_Toc192424020"/>
      <w:bookmarkStart w:id="4536" w:name="_Toc192425562"/>
      <w:bookmarkStart w:id="4537" w:name="_Toc192442776"/>
      <w:bookmarkStart w:id="4538" w:name="_Toc192424021"/>
      <w:bookmarkStart w:id="4539" w:name="_Toc192425563"/>
      <w:bookmarkStart w:id="4540" w:name="_Toc192442777"/>
      <w:bookmarkStart w:id="4541" w:name="_Toc192424022"/>
      <w:bookmarkStart w:id="4542" w:name="_Toc192425564"/>
      <w:bookmarkStart w:id="4543" w:name="_Toc192442778"/>
      <w:bookmarkStart w:id="4544" w:name="_Toc192424024"/>
      <w:bookmarkStart w:id="4545" w:name="_Toc192425566"/>
      <w:bookmarkStart w:id="4546" w:name="_Toc192442780"/>
      <w:bookmarkStart w:id="4547" w:name="_Toc192424025"/>
      <w:bookmarkStart w:id="4548" w:name="_Toc192425567"/>
      <w:bookmarkStart w:id="4549" w:name="_Toc192442781"/>
      <w:bookmarkStart w:id="4550" w:name="_Toc192424026"/>
      <w:bookmarkStart w:id="4551" w:name="_Toc192425568"/>
      <w:bookmarkStart w:id="4552" w:name="_Toc192442782"/>
      <w:bookmarkStart w:id="4553" w:name="_Toc192424027"/>
      <w:bookmarkStart w:id="4554" w:name="_Toc192425569"/>
      <w:bookmarkStart w:id="4555" w:name="_Toc192442783"/>
      <w:bookmarkStart w:id="4556" w:name="_Toc192424028"/>
      <w:bookmarkStart w:id="4557" w:name="_Toc192425570"/>
      <w:bookmarkStart w:id="4558" w:name="_Toc192442784"/>
      <w:bookmarkStart w:id="4559" w:name="_Toc192424029"/>
      <w:bookmarkStart w:id="4560" w:name="_Toc192425571"/>
      <w:bookmarkStart w:id="4561" w:name="_Toc192442785"/>
      <w:bookmarkStart w:id="4562" w:name="_Toc192424030"/>
      <w:bookmarkStart w:id="4563" w:name="_Toc192425572"/>
      <w:bookmarkStart w:id="4564" w:name="_Toc192442786"/>
      <w:bookmarkStart w:id="4565" w:name="_Toc192424032"/>
      <w:bookmarkStart w:id="4566" w:name="_Toc192425574"/>
      <w:bookmarkStart w:id="4567" w:name="_Toc192442788"/>
      <w:bookmarkStart w:id="4568" w:name="_Toc192424033"/>
      <w:bookmarkStart w:id="4569" w:name="_Toc192425575"/>
      <w:bookmarkStart w:id="4570" w:name="_Toc192442789"/>
      <w:bookmarkStart w:id="4571" w:name="_Toc192424034"/>
      <w:bookmarkStart w:id="4572" w:name="_Toc192425576"/>
      <w:bookmarkStart w:id="4573" w:name="_Toc192442790"/>
      <w:bookmarkStart w:id="4574" w:name="_Toc192424035"/>
      <w:bookmarkStart w:id="4575" w:name="_Toc192425577"/>
      <w:bookmarkStart w:id="4576" w:name="_Toc192442791"/>
      <w:bookmarkStart w:id="4577" w:name="_Toc192424036"/>
      <w:bookmarkStart w:id="4578" w:name="_Toc192425578"/>
      <w:bookmarkStart w:id="4579" w:name="_Toc192442792"/>
      <w:bookmarkStart w:id="4580" w:name="_Toc192424037"/>
      <w:bookmarkStart w:id="4581" w:name="_Toc192425579"/>
      <w:bookmarkStart w:id="4582" w:name="_Toc192442793"/>
      <w:bookmarkStart w:id="4583" w:name="_Toc192424038"/>
      <w:bookmarkStart w:id="4584" w:name="_Toc192425580"/>
      <w:bookmarkStart w:id="4585" w:name="_Toc192442794"/>
      <w:bookmarkStart w:id="4586" w:name="_Toc192424040"/>
      <w:bookmarkStart w:id="4587" w:name="_Toc192425582"/>
      <w:bookmarkStart w:id="4588" w:name="_Toc192442796"/>
      <w:bookmarkStart w:id="4589" w:name="_Toc192424041"/>
      <w:bookmarkStart w:id="4590" w:name="_Toc192425583"/>
      <w:bookmarkStart w:id="4591" w:name="_Toc192442797"/>
      <w:bookmarkStart w:id="4592" w:name="_Toc192424042"/>
      <w:bookmarkStart w:id="4593" w:name="_Toc192425584"/>
      <w:bookmarkStart w:id="4594" w:name="_Toc192442798"/>
      <w:bookmarkStart w:id="4595" w:name="_Toc192424043"/>
      <w:bookmarkStart w:id="4596" w:name="_Toc192425585"/>
      <w:bookmarkStart w:id="4597" w:name="_Toc192442799"/>
      <w:bookmarkStart w:id="4598" w:name="_Toc192424044"/>
      <w:bookmarkStart w:id="4599" w:name="_Toc192425586"/>
      <w:bookmarkStart w:id="4600" w:name="_Toc192442800"/>
      <w:bookmarkStart w:id="4601" w:name="_Toc192424045"/>
      <w:bookmarkStart w:id="4602" w:name="_Toc192425587"/>
      <w:bookmarkStart w:id="4603" w:name="_Toc192442801"/>
      <w:bookmarkStart w:id="4604" w:name="_Toc192424046"/>
      <w:bookmarkStart w:id="4605" w:name="_Toc192425588"/>
      <w:bookmarkStart w:id="4606" w:name="_Toc192442802"/>
      <w:bookmarkStart w:id="4607" w:name="_Toc192424047"/>
      <w:bookmarkStart w:id="4608" w:name="_Toc192425589"/>
      <w:bookmarkStart w:id="4609" w:name="_Toc192442803"/>
      <w:bookmarkStart w:id="4610" w:name="_Toc192424048"/>
      <w:bookmarkStart w:id="4611" w:name="_Toc192425590"/>
      <w:bookmarkStart w:id="4612" w:name="_Toc192442804"/>
      <w:bookmarkStart w:id="4613" w:name="_Toc192424049"/>
      <w:bookmarkStart w:id="4614" w:name="_Toc192425591"/>
      <w:bookmarkStart w:id="4615" w:name="_Toc192442805"/>
      <w:bookmarkStart w:id="4616" w:name="_Toc192424050"/>
      <w:bookmarkStart w:id="4617" w:name="_Toc192425592"/>
      <w:bookmarkStart w:id="4618" w:name="_Toc192442806"/>
      <w:bookmarkStart w:id="4619" w:name="_Toc192424051"/>
      <w:bookmarkStart w:id="4620" w:name="_Toc192425593"/>
      <w:bookmarkStart w:id="4621" w:name="_Toc192442807"/>
      <w:bookmarkStart w:id="4622" w:name="_Toc192424052"/>
      <w:bookmarkStart w:id="4623" w:name="_Toc192425594"/>
      <w:bookmarkStart w:id="4624" w:name="_Toc192442808"/>
      <w:bookmarkStart w:id="4625" w:name="_Toc192424053"/>
      <w:bookmarkStart w:id="4626" w:name="_Toc192425595"/>
      <w:bookmarkStart w:id="4627" w:name="_Toc192442809"/>
      <w:bookmarkStart w:id="4628" w:name="_Toc192424054"/>
      <w:bookmarkStart w:id="4629" w:name="_Toc192425596"/>
      <w:bookmarkStart w:id="4630" w:name="_Toc192442810"/>
      <w:bookmarkStart w:id="4631" w:name="_Toc192424055"/>
      <w:bookmarkStart w:id="4632" w:name="_Toc192425597"/>
      <w:bookmarkStart w:id="4633" w:name="_Toc192442811"/>
      <w:bookmarkStart w:id="4634" w:name="_Toc192424056"/>
      <w:bookmarkStart w:id="4635" w:name="_Toc192425598"/>
      <w:bookmarkStart w:id="4636" w:name="_Toc192442812"/>
      <w:bookmarkStart w:id="4637" w:name="_Toc192424057"/>
      <w:bookmarkStart w:id="4638" w:name="_Toc192425599"/>
      <w:bookmarkStart w:id="4639" w:name="_Toc192442813"/>
      <w:bookmarkStart w:id="4640" w:name="_Toc192424058"/>
      <w:bookmarkStart w:id="4641" w:name="_Toc192425600"/>
      <w:bookmarkStart w:id="4642" w:name="_Toc192442814"/>
      <w:bookmarkStart w:id="4643" w:name="_Toc192424060"/>
      <w:bookmarkStart w:id="4644" w:name="_Toc192425602"/>
      <w:bookmarkStart w:id="4645" w:name="_Toc192442816"/>
      <w:bookmarkStart w:id="4646" w:name="_Toc192424061"/>
      <w:bookmarkStart w:id="4647" w:name="_Toc192425603"/>
      <w:bookmarkStart w:id="4648" w:name="_Toc192442817"/>
      <w:bookmarkStart w:id="4649" w:name="_Toc192424062"/>
      <w:bookmarkStart w:id="4650" w:name="_Toc192425604"/>
      <w:bookmarkStart w:id="4651" w:name="_Toc192442818"/>
      <w:bookmarkStart w:id="4652" w:name="_Toc192424063"/>
      <w:bookmarkStart w:id="4653" w:name="_Toc192425605"/>
      <w:bookmarkStart w:id="4654" w:name="_Toc192442819"/>
      <w:bookmarkStart w:id="4655" w:name="_Toc192424064"/>
      <w:bookmarkStart w:id="4656" w:name="_Toc192425606"/>
      <w:bookmarkStart w:id="4657" w:name="_Toc192442820"/>
      <w:bookmarkStart w:id="4658" w:name="_Toc192424065"/>
      <w:bookmarkStart w:id="4659" w:name="_Toc192425607"/>
      <w:bookmarkStart w:id="4660" w:name="_Toc192442821"/>
      <w:bookmarkStart w:id="4661" w:name="_Toc192424066"/>
      <w:bookmarkStart w:id="4662" w:name="_Toc192425608"/>
      <w:bookmarkStart w:id="4663" w:name="_Toc192442822"/>
      <w:bookmarkStart w:id="4664" w:name="_Toc192424068"/>
      <w:bookmarkStart w:id="4665" w:name="_Toc192425610"/>
      <w:bookmarkStart w:id="4666" w:name="_Toc192442824"/>
      <w:bookmarkStart w:id="4667" w:name="_Toc192424069"/>
      <w:bookmarkStart w:id="4668" w:name="_Toc192425611"/>
      <w:bookmarkStart w:id="4669" w:name="_Toc192442825"/>
      <w:bookmarkStart w:id="4670" w:name="_Toc192424070"/>
      <w:bookmarkStart w:id="4671" w:name="_Toc192425612"/>
      <w:bookmarkStart w:id="4672" w:name="_Toc192442826"/>
      <w:bookmarkStart w:id="4673" w:name="_Toc192424071"/>
      <w:bookmarkStart w:id="4674" w:name="_Toc192425613"/>
      <w:bookmarkStart w:id="4675" w:name="_Toc192442827"/>
      <w:bookmarkStart w:id="4676" w:name="_Toc192424072"/>
      <w:bookmarkStart w:id="4677" w:name="_Toc192425614"/>
      <w:bookmarkStart w:id="4678" w:name="_Toc192442828"/>
      <w:bookmarkStart w:id="4679" w:name="_Toc192424073"/>
      <w:bookmarkStart w:id="4680" w:name="_Toc192425615"/>
      <w:bookmarkStart w:id="4681" w:name="_Toc192442829"/>
      <w:bookmarkStart w:id="4682" w:name="_Toc192424074"/>
      <w:bookmarkStart w:id="4683" w:name="_Toc192425616"/>
      <w:bookmarkStart w:id="4684" w:name="_Toc192442830"/>
      <w:bookmarkStart w:id="4685" w:name="_Toc192424076"/>
      <w:bookmarkStart w:id="4686" w:name="_Toc192425618"/>
      <w:bookmarkStart w:id="4687" w:name="_Toc192442832"/>
      <w:bookmarkStart w:id="4688" w:name="_Toc192424077"/>
      <w:bookmarkStart w:id="4689" w:name="_Toc192425619"/>
      <w:bookmarkStart w:id="4690" w:name="_Toc192442833"/>
      <w:bookmarkStart w:id="4691" w:name="_Toc192424078"/>
      <w:bookmarkStart w:id="4692" w:name="_Toc192425620"/>
      <w:bookmarkStart w:id="4693" w:name="_Toc192442834"/>
      <w:bookmarkStart w:id="4694" w:name="_Toc192424079"/>
      <w:bookmarkStart w:id="4695" w:name="_Toc192425621"/>
      <w:bookmarkStart w:id="4696" w:name="_Toc192442835"/>
      <w:bookmarkStart w:id="4697" w:name="_Toc192424080"/>
      <w:bookmarkStart w:id="4698" w:name="_Toc192425622"/>
      <w:bookmarkStart w:id="4699" w:name="_Toc192442836"/>
      <w:bookmarkStart w:id="4700" w:name="_Toc192424081"/>
      <w:bookmarkStart w:id="4701" w:name="_Toc192425623"/>
      <w:bookmarkStart w:id="4702" w:name="_Toc192442837"/>
      <w:bookmarkStart w:id="4703" w:name="_Toc192424082"/>
      <w:bookmarkStart w:id="4704" w:name="_Toc192425624"/>
      <w:bookmarkStart w:id="4705" w:name="_Toc192442838"/>
      <w:bookmarkStart w:id="4706" w:name="_Toc192424084"/>
      <w:bookmarkStart w:id="4707" w:name="_Toc192425626"/>
      <w:bookmarkStart w:id="4708" w:name="_Toc192442840"/>
      <w:bookmarkStart w:id="4709" w:name="_Toc192424085"/>
      <w:bookmarkStart w:id="4710" w:name="_Toc192425627"/>
      <w:bookmarkStart w:id="4711" w:name="_Toc192442841"/>
      <w:bookmarkStart w:id="4712" w:name="_Toc192424086"/>
      <w:bookmarkStart w:id="4713" w:name="_Toc192425628"/>
      <w:bookmarkStart w:id="4714" w:name="_Toc192442842"/>
      <w:bookmarkStart w:id="4715" w:name="_Toc192424087"/>
      <w:bookmarkStart w:id="4716" w:name="_Toc192425629"/>
      <w:bookmarkStart w:id="4717" w:name="_Toc192442843"/>
      <w:bookmarkStart w:id="4718" w:name="_Toc192424088"/>
      <w:bookmarkStart w:id="4719" w:name="_Toc192425630"/>
      <w:bookmarkStart w:id="4720" w:name="_Toc192442844"/>
      <w:bookmarkStart w:id="4721" w:name="_Toc192424089"/>
      <w:bookmarkStart w:id="4722" w:name="_Toc192425631"/>
      <w:bookmarkStart w:id="4723" w:name="_Toc192442845"/>
      <w:bookmarkStart w:id="4724" w:name="_Toc192424090"/>
      <w:bookmarkStart w:id="4725" w:name="_Toc192425632"/>
      <w:bookmarkStart w:id="4726" w:name="_Toc192442846"/>
      <w:bookmarkStart w:id="4727" w:name="_Toc192424092"/>
      <w:bookmarkStart w:id="4728" w:name="_Toc192425634"/>
      <w:bookmarkStart w:id="4729" w:name="_Toc192442848"/>
      <w:bookmarkStart w:id="4730" w:name="_Toc192424093"/>
      <w:bookmarkStart w:id="4731" w:name="_Toc192425635"/>
      <w:bookmarkStart w:id="4732" w:name="_Toc192442849"/>
      <w:bookmarkStart w:id="4733" w:name="_Toc192424094"/>
      <w:bookmarkStart w:id="4734" w:name="_Toc192425636"/>
      <w:bookmarkStart w:id="4735" w:name="_Toc192442850"/>
      <w:bookmarkStart w:id="4736" w:name="_Toc192424095"/>
      <w:bookmarkStart w:id="4737" w:name="_Toc192425637"/>
      <w:bookmarkStart w:id="4738" w:name="_Toc192442851"/>
      <w:bookmarkStart w:id="4739" w:name="_Toc192424096"/>
      <w:bookmarkStart w:id="4740" w:name="_Toc192425638"/>
      <w:bookmarkStart w:id="4741" w:name="_Toc192442852"/>
      <w:bookmarkStart w:id="4742" w:name="_Toc192424097"/>
      <w:bookmarkStart w:id="4743" w:name="_Toc192425639"/>
      <w:bookmarkStart w:id="4744" w:name="_Toc192442853"/>
      <w:bookmarkStart w:id="4745" w:name="_Toc192424098"/>
      <w:bookmarkStart w:id="4746" w:name="_Toc192425640"/>
      <w:bookmarkStart w:id="4747" w:name="_Toc192442854"/>
      <w:bookmarkStart w:id="4748" w:name="_Toc192424100"/>
      <w:bookmarkStart w:id="4749" w:name="_Toc192425642"/>
      <w:bookmarkStart w:id="4750" w:name="_Toc192442856"/>
      <w:bookmarkStart w:id="4751" w:name="_Toc192424101"/>
      <w:bookmarkStart w:id="4752" w:name="_Toc192425643"/>
      <w:bookmarkStart w:id="4753" w:name="_Toc192442857"/>
      <w:bookmarkStart w:id="4754" w:name="_Toc192424102"/>
      <w:bookmarkStart w:id="4755" w:name="_Toc192425644"/>
      <w:bookmarkStart w:id="4756" w:name="_Toc192442858"/>
      <w:bookmarkStart w:id="4757" w:name="_Toc192424103"/>
      <w:bookmarkStart w:id="4758" w:name="_Toc192425645"/>
      <w:bookmarkStart w:id="4759" w:name="_Toc192442859"/>
      <w:bookmarkStart w:id="4760" w:name="_Toc192424104"/>
      <w:bookmarkStart w:id="4761" w:name="_Toc192425646"/>
      <w:bookmarkStart w:id="4762" w:name="_Toc192442860"/>
      <w:bookmarkStart w:id="4763" w:name="_Toc192424105"/>
      <w:bookmarkStart w:id="4764" w:name="_Toc192425647"/>
      <w:bookmarkStart w:id="4765" w:name="_Toc192442861"/>
      <w:bookmarkStart w:id="4766" w:name="_Toc192424106"/>
      <w:bookmarkStart w:id="4767" w:name="_Toc192425648"/>
      <w:bookmarkStart w:id="4768" w:name="_Toc192442862"/>
      <w:bookmarkStart w:id="4769" w:name="_Toc192424108"/>
      <w:bookmarkStart w:id="4770" w:name="_Toc192425650"/>
      <w:bookmarkStart w:id="4771" w:name="_Toc192442864"/>
      <w:bookmarkStart w:id="4772" w:name="_Toc192424109"/>
      <w:bookmarkStart w:id="4773" w:name="_Toc192425651"/>
      <w:bookmarkStart w:id="4774" w:name="_Toc192442865"/>
      <w:bookmarkStart w:id="4775" w:name="_Toc192424110"/>
      <w:bookmarkStart w:id="4776" w:name="_Toc192425652"/>
      <w:bookmarkStart w:id="4777" w:name="_Toc192442866"/>
      <w:bookmarkStart w:id="4778" w:name="_Toc192424111"/>
      <w:bookmarkStart w:id="4779" w:name="_Toc192425653"/>
      <w:bookmarkStart w:id="4780" w:name="_Toc192442867"/>
      <w:bookmarkStart w:id="4781" w:name="_Toc192424112"/>
      <w:bookmarkStart w:id="4782" w:name="_Toc192425654"/>
      <w:bookmarkStart w:id="4783" w:name="_Toc192442868"/>
      <w:bookmarkStart w:id="4784" w:name="_Toc192424113"/>
      <w:bookmarkStart w:id="4785" w:name="_Toc192425655"/>
      <w:bookmarkStart w:id="4786" w:name="_Toc192442869"/>
      <w:bookmarkStart w:id="4787" w:name="_Toc192424114"/>
      <w:bookmarkStart w:id="4788" w:name="_Toc192425656"/>
      <w:bookmarkStart w:id="4789" w:name="_Toc192442870"/>
      <w:bookmarkStart w:id="4790" w:name="_Toc192424115"/>
      <w:bookmarkStart w:id="4791" w:name="_Toc192425657"/>
      <w:bookmarkStart w:id="4792" w:name="_Toc192442871"/>
      <w:bookmarkStart w:id="4793" w:name="_Toc192424116"/>
      <w:bookmarkStart w:id="4794" w:name="_Toc192425658"/>
      <w:bookmarkStart w:id="4795" w:name="_Toc192442872"/>
      <w:bookmarkStart w:id="4796" w:name="_Toc192424117"/>
      <w:bookmarkStart w:id="4797" w:name="_Toc192425659"/>
      <w:bookmarkStart w:id="4798" w:name="_Toc192442873"/>
      <w:bookmarkStart w:id="4799" w:name="_Toc192424119"/>
      <w:bookmarkStart w:id="4800" w:name="_Toc192425661"/>
      <w:bookmarkStart w:id="4801" w:name="_Toc192442875"/>
      <w:bookmarkStart w:id="4802" w:name="_Toc192424120"/>
      <w:bookmarkStart w:id="4803" w:name="_Toc192425662"/>
      <w:bookmarkStart w:id="4804" w:name="_Toc192442876"/>
      <w:bookmarkStart w:id="4805" w:name="_Toc192424121"/>
      <w:bookmarkStart w:id="4806" w:name="_Toc192425663"/>
      <w:bookmarkStart w:id="4807" w:name="_Toc192442877"/>
      <w:bookmarkStart w:id="4808" w:name="_Toc192424122"/>
      <w:bookmarkStart w:id="4809" w:name="_Toc192425664"/>
      <w:bookmarkStart w:id="4810" w:name="_Toc192442878"/>
      <w:bookmarkStart w:id="4811" w:name="_Toc192424123"/>
      <w:bookmarkStart w:id="4812" w:name="_Toc192425665"/>
      <w:bookmarkStart w:id="4813" w:name="_Toc192442879"/>
      <w:bookmarkStart w:id="4814" w:name="_Toc192424124"/>
      <w:bookmarkStart w:id="4815" w:name="_Toc192425666"/>
      <w:bookmarkStart w:id="4816" w:name="_Toc192442880"/>
      <w:bookmarkStart w:id="4817" w:name="_Toc192424126"/>
      <w:bookmarkStart w:id="4818" w:name="_Toc192425668"/>
      <w:bookmarkStart w:id="4819" w:name="_Toc192442882"/>
      <w:bookmarkStart w:id="4820" w:name="_Toc192424127"/>
      <w:bookmarkStart w:id="4821" w:name="_Toc192425669"/>
      <w:bookmarkStart w:id="4822" w:name="_Toc192442883"/>
      <w:bookmarkStart w:id="4823" w:name="_Toc192424128"/>
      <w:bookmarkStart w:id="4824" w:name="_Toc192425670"/>
      <w:bookmarkStart w:id="4825" w:name="_Toc192442884"/>
      <w:bookmarkStart w:id="4826" w:name="_Toc192424129"/>
      <w:bookmarkStart w:id="4827" w:name="_Toc192425671"/>
      <w:bookmarkStart w:id="4828" w:name="_Toc192442885"/>
      <w:bookmarkStart w:id="4829" w:name="_Toc192424130"/>
      <w:bookmarkStart w:id="4830" w:name="_Toc192425672"/>
      <w:bookmarkStart w:id="4831" w:name="_Toc192442886"/>
      <w:bookmarkStart w:id="4832" w:name="_Toc192424131"/>
      <w:bookmarkStart w:id="4833" w:name="_Toc192425673"/>
      <w:bookmarkStart w:id="4834" w:name="_Toc192442887"/>
      <w:bookmarkStart w:id="4835" w:name="_Toc192424133"/>
      <w:bookmarkStart w:id="4836" w:name="_Toc192425675"/>
      <w:bookmarkStart w:id="4837" w:name="_Toc192442889"/>
      <w:bookmarkStart w:id="4838" w:name="_Toc192424134"/>
      <w:bookmarkStart w:id="4839" w:name="_Toc192425676"/>
      <w:bookmarkStart w:id="4840" w:name="_Toc192442890"/>
      <w:bookmarkStart w:id="4841" w:name="_Toc192424135"/>
      <w:bookmarkStart w:id="4842" w:name="_Toc192425677"/>
      <w:bookmarkStart w:id="4843" w:name="_Toc192442891"/>
      <w:bookmarkStart w:id="4844" w:name="_Toc192424136"/>
      <w:bookmarkStart w:id="4845" w:name="_Toc192425678"/>
      <w:bookmarkStart w:id="4846" w:name="_Toc192442892"/>
      <w:bookmarkStart w:id="4847" w:name="_Toc192424137"/>
      <w:bookmarkStart w:id="4848" w:name="_Toc192425679"/>
      <w:bookmarkStart w:id="4849" w:name="_Toc192442893"/>
      <w:bookmarkStart w:id="4850" w:name="_Toc192424138"/>
      <w:bookmarkStart w:id="4851" w:name="_Toc192425680"/>
      <w:bookmarkStart w:id="4852" w:name="_Toc192442894"/>
      <w:bookmarkStart w:id="4853" w:name="_Toc192424140"/>
      <w:bookmarkStart w:id="4854" w:name="_Toc192425682"/>
      <w:bookmarkStart w:id="4855" w:name="_Toc192442896"/>
      <w:bookmarkStart w:id="4856" w:name="_Toc192424141"/>
      <w:bookmarkStart w:id="4857" w:name="_Toc192425683"/>
      <w:bookmarkStart w:id="4858" w:name="_Toc192442897"/>
      <w:bookmarkStart w:id="4859" w:name="_Toc192424142"/>
      <w:bookmarkStart w:id="4860" w:name="_Toc192425684"/>
      <w:bookmarkStart w:id="4861" w:name="_Toc192442898"/>
      <w:bookmarkStart w:id="4862" w:name="_Toc192424143"/>
      <w:bookmarkStart w:id="4863" w:name="_Toc192425685"/>
      <w:bookmarkStart w:id="4864" w:name="_Toc192442899"/>
      <w:bookmarkStart w:id="4865" w:name="_Toc192424144"/>
      <w:bookmarkStart w:id="4866" w:name="_Toc192425686"/>
      <w:bookmarkStart w:id="4867" w:name="_Toc192442900"/>
      <w:bookmarkStart w:id="4868" w:name="_Toc192424145"/>
      <w:bookmarkStart w:id="4869" w:name="_Toc192425687"/>
      <w:bookmarkStart w:id="4870" w:name="_Toc192442901"/>
      <w:bookmarkStart w:id="4871" w:name="_Toc192424147"/>
      <w:bookmarkStart w:id="4872" w:name="_Toc192425689"/>
      <w:bookmarkStart w:id="4873" w:name="_Toc192442903"/>
      <w:bookmarkStart w:id="4874" w:name="_Toc192424148"/>
      <w:bookmarkStart w:id="4875" w:name="_Toc192425690"/>
      <w:bookmarkStart w:id="4876" w:name="_Toc192442904"/>
      <w:bookmarkStart w:id="4877" w:name="_Toc192424149"/>
      <w:bookmarkStart w:id="4878" w:name="_Toc192425691"/>
      <w:bookmarkStart w:id="4879" w:name="_Toc192442905"/>
      <w:bookmarkStart w:id="4880" w:name="_Toc192424150"/>
      <w:bookmarkStart w:id="4881" w:name="_Toc192425692"/>
      <w:bookmarkStart w:id="4882" w:name="_Toc192442906"/>
      <w:bookmarkStart w:id="4883" w:name="_Toc192424151"/>
      <w:bookmarkStart w:id="4884" w:name="_Toc192425693"/>
      <w:bookmarkStart w:id="4885" w:name="_Toc192442907"/>
      <w:bookmarkStart w:id="4886" w:name="_Toc192424152"/>
      <w:bookmarkStart w:id="4887" w:name="_Toc192425694"/>
      <w:bookmarkStart w:id="4888" w:name="_Toc192442908"/>
      <w:bookmarkStart w:id="4889" w:name="_Toc192424154"/>
      <w:bookmarkStart w:id="4890" w:name="_Toc192425696"/>
      <w:bookmarkStart w:id="4891" w:name="_Toc192442910"/>
      <w:bookmarkStart w:id="4892" w:name="_Toc192424155"/>
      <w:bookmarkStart w:id="4893" w:name="_Toc192425697"/>
      <w:bookmarkStart w:id="4894" w:name="_Toc192442911"/>
      <w:bookmarkStart w:id="4895" w:name="_Toc192424156"/>
      <w:bookmarkStart w:id="4896" w:name="_Toc192425698"/>
      <w:bookmarkStart w:id="4897" w:name="_Toc192442912"/>
      <w:bookmarkStart w:id="4898" w:name="_Toc192424157"/>
      <w:bookmarkStart w:id="4899" w:name="_Toc192425699"/>
      <w:bookmarkStart w:id="4900" w:name="_Toc192442913"/>
      <w:bookmarkStart w:id="4901" w:name="_Toc192424158"/>
      <w:bookmarkStart w:id="4902" w:name="_Toc192425700"/>
      <w:bookmarkStart w:id="4903" w:name="_Toc192442914"/>
      <w:bookmarkStart w:id="4904" w:name="_Toc192424159"/>
      <w:bookmarkStart w:id="4905" w:name="_Toc192425701"/>
      <w:bookmarkStart w:id="4906" w:name="_Toc192442915"/>
      <w:bookmarkStart w:id="4907" w:name="_Toc192424161"/>
      <w:bookmarkStart w:id="4908" w:name="_Toc192425703"/>
      <w:bookmarkStart w:id="4909" w:name="_Toc192442917"/>
      <w:bookmarkStart w:id="4910" w:name="_Toc192424162"/>
      <w:bookmarkStart w:id="4911" w:name="_Toc192425704"/>
      <w:bookmarkStart w:id="4912" w:name="_Toc192442918"/>
      <w:bookmarkStart w:id="4913" w:name="_Toc192424163"/>
      <w:bookmarkStart w:id="4914" w:name="_Toc192425705"/>
      <w:bookmarkStart w:id="4915" w:name="_Toc192442919"/>
      <w:bookmarkStart w:id="4916" w:name="_Toc192424164"/>
      <w:bookmarkStart w:id="4917" w:name="_Toc192425706"/>
      <w:bookmarkStart w:id="4918" w:name="_Toc192442920"/>
      <w:bookmarkStart w:id="4919" w:name="_Toc192424165"/>
      <w:bookmarkStart w:id="4920" w:name="_Toc192425707"/>
      <w:bookmarkStart w:id="4921" w:name="_Toc192442921"/>
      <w:bookmarkStart w:id="4922" w:name="_Toc192424166"/>
      <w:bookmarkStart w:id="4923" w:name="_Toc192425708"/>
      <w:bookmarkStart w:id="4924" w:name="_Toc192442922"/>
      <w:bookmarkStart w:id="4925" w:name="_Toc192424167"/>
      <w:bookmarkStart w:id="4926" w:name="_Toc192425709"/>
      <w:bookmarkStart w:id="4927" w:name="_Toc192442923"/>
      <w:bookmarkStart w:id="4928" w:name="_Toc192424168"/>
      <w:bookmarkStart w:id="4929" w:name="_Toc192425710"/>
      <w:bookmarkStart w:id="4930" w:name="_Toc192442924"/>
      <w:bookmarkStart w:id="4931" w:name="_Toc192424169"/>
      <w:bookmarkStart w:id="4932" w:name="_Toc192425711"/>
      <w:bookmarkStart w:id="4933" w:name="_Toc192442925"/>
      <w:bookmarkStart w:id="4934" w:name="_Toc192424170"/>
      <w:bookmarkStart w:id="4935" w:name="_Toc192425712"/>
      <w:bookmarkStart w:id="4936" w:name="_Toc192442926"/>
      <w:bookmarkStart w:id="4937" w:name="_Toc192424171"/>
      <w:bookmarkStart w:id="4938" w:name="_Toc192425713"/>
      <w:bookmarkStart w:id="4939" w:name="_Toc192442927"/>
      <w:bookmarkStart w:id="4940" w:name="_Toc192424173"/>
      <w:bookmarkStart w:id="4941" w:name="_Toc192425715"/>
      <w:bookmarkStart w:id="4942" w:name="_Toc192442929"/>
      <w:bookmarkStart w:id="4943" w:name="_Toc192424174"/>
      <w:bookmarkStart w:id="4944" w:name="_Toc192425716"/>
      <w:bookmarkStart w:id="4945" w:name="_Toc192442930"/>
      <w:bookmarkStart w:id="4946" w:name="_Toc192424175"/>
      <w:bookmarkStart w:id="4947" w:name="_Toc192425717"/>
      <w:bookmarkStart w:id="4948" w:name="_Toc192442931"/>
      <w:bookmarkStart w:id="4949" w:name="_Toc192424176"/>
      <w:bookmarkStart w:id="4950" w:name="_Toc192425718"/>
      <w:bookmarkStart w:id="4951" w:name="_Toc192442932"/>
      <w:bookmarkStart w:id="4952" w:name="_Toc192424177"/>
      <w:bookmarkStart w:id="4953" w:name="_Toc192425719"/>
      <w:bookmarkStart w:id="4954" w:name="_Toc192442933"/>
      <w:bookmarkStart w:id="4955" w:name="_Toc192424178"/>
      <w:bookmarkStart w:id="4956" w:name="_Toc192425720"/>
      <w:bookmarkStart w:id="4957" w:name="_Toc192442934"/>
      <w:bookmarkStart w:id="4958" w:name="_Toc192424180"/>
      <w:bookmarkStart w:id="4959" w:name="_Toc192425722"/>
      <w:bookmarkStart w:id="4960" w:name="_Toc192442936"/>
      <w:bookmarkStart w:id="4961" w:name="_Toc192424181"/>
      <w:bookmarkStart w:id="4962" w:name="_Toc192425723"/>
      <w:bookmarkStart w:id="4963" w:name="_Toc192442937"/>
      <w:bookmarkStart w:id="4964" w:name="_Toc192424182"/>
      <w:bookmarkStart w:id="4965" w:name="_Toc192425724"/>
      <w:bookmarkStart w:id="4966" w:name="_Toc192442938"/>
      <w:bookmarkStart w:id="4967" w:name="_Toc192424183"/>
      <w:bookmarkStart w:id="4968" w:name="_Toc192425725"/>
      <w:bookmarkStart w:id="4969" w:name="_Toc192442939"/>
      <w:bookmarkStart w:id="4970" w:name="_Toc192424184"/>
      <w:bookmarkStart w:id="4971" w:name="_Toc192425726"/>
      <w:bookmarkStart w:id="4972" w:name="_Toc192442940"/>
      <w:bookmarkStart w:id="4973" w:name="_Toc192424185"/>
      <w:bookmarkStart w:id="4974" w:name="_Toc192425727"/>
      <w:bookmarkStart w:id="4975" w:name="_Toc192442941"/>
      <w:bookmarkStart w:id="4976" w:name="_Toc192424187"/>
      <w:bookmarkStart w:id="4977" w:name="_Toc192425729"/>
      <w:bookmarkStart w:id="4978" w:name="_Toc192442943"/>
      <w:bookmarkStart w:id="4979" w:name="_Toc192424188"/>
      <w:bookmarkStart w:id="4980" w:name="_Toc192425730"/>
      <w:bookmarkStart w:id="4981" w:name="_Toc192442944"/>
      <w:bookmarkStart w:id="4982" w:name="_Toc192424189"/>
      <w:bookmarkStart w:id="4983" w:name="_Toc192425731"/>
      <w:bookmarkStart w:id="4984" w:name="_Toc192442945"/>
      <w:bookmarkStart w:id="4985" w:name="_Toc192424190"/>
      <w:bookmarkStart w:id="4986" w:name="_Toc192425732"/>
      <w:bookmarkStart w:id="4987" w:name="_Toc192442946"/>
      <w:bookmarkStart w:id="4988" w:name="_Toc192424191"/>
      <w:bookmarkStart w:id="4989" w:name="_Toc192425733"/>
      <w:bookmarkStart w:id="4990" w:name="_Toc192442947"/>
      <w:bookmarkStart w:id="4991" w:name="_Toc192424192"/>
      <w:bookmarkStart w:id="4992" w:name="_Toc192425734"/>
      <w:bookmarkStart w:id="4993" w:name="_Toc192442948"/>
      <w:bookmarkStart w:id="4994" w:name="_Toc192424194"/>
      <w:bookmarkStart w:id="4995" w:name="_Toc192425736"/>
      <w:bookmarkStart w:id="4996" w:name="_Toc192442950"/>
      <w:bookmarkStart w:id="4997" w:name="_Toc192424195"/>
      <w:bookmarkStart w:id="4998" w:name="_Toc192425737"/>
      <w:bookmarkStart w:id="4999" w:name="_Toc192442951"/>
      <w:bookmarkStart w:id="5000" w:name="_Toc192424196"/>
      <w:bookmarkStart w:id="5001" w:name="_Toc192425738"/>
      <w:bookmarkStart w:id="5002" w:name="_Toc192442952"/>
      <w:bookmarkStart w:id="5003" w:name="_Toc192424197"/>
      <w:bookmarkStart w:id="5004" w:name="_Toc192425739"/>
      <w:bookmarkStart w:id="5005" w:name="_Toc192442953"/>
      <w:bookmarkStart w:id="5006" w:name="_Toc192424198"/>
      <w:bookmarkStart w:id="5007" w:name="_Toc192425740"/>
      <w:bookmarkStart w:id="5008" w:name="_Toc192442954"/>
      <w:bookmarkStart w:id="5009" w:name="_Toc192424199"/>
      <w:bookmarkStart w:id="5010" w:name="_Toc192425741"/>
      <w:bookmarkStart w:id="5011" w:name="_Toc192442955"/>
      <w:bookmarkStart w:id="5012" w:name="_Toc192424201"/>
      <w:bookmarkStart w:id="5013" w:name="_Toc192425743"/>
      <w:bookmarkStart w:id="5014" w:name="_Toc192442957"/>
      <w:bookmarkStart w:id="5015" w:name="_Toc192424202"/>
      <w:bookmarkStart w:id="5016" w:name="_Toc192425744"/>
      <w:bookmarkStart w:id="5017" w:name="_Toc192442958"/>
      <w:bookmarkStart w:id="5018" w:name="_Toc192424203"/>
      <w:bookmarkStart w:id="5019" w:name="_Toc192425745"/>
      <w:bookmarkStart w:id="5020" w:name="_Toc192442959"/>
      <w:bookmarkStart w:id="5021" w:name="_Toc192424204"/>
      <w:bookmarkStart w:id="5022" w:name="_Toc192425746"/>
      <w:bookmarkStart w:id="5023" w:name="_Toc192442960"/>
      <w:bookmarkStart w:id="5024" w:name="_Toc192424205"/>
      <w:bookmarkStart w:id="5025" w:name="_Toc192425747"/>
      <w:bookmarkStart w:id="5026" w:name="_Toc192442961"/>
      <w:bookmarkStart w:id="5027" w:name="_Toc192424206"/>
      <w:bookmarkStart w:id="5028" w:name="_Toc192425748"/>
      <w:bookmarkStart w:id="5029" w:name="_Toc192442962"/>
      <w:bookmarkStart w:id="5030" w:name="_Toc192424208"/>
      <w:bookmarkStart w:id="5031" w:name="_Toc192425750"/>
      <w:bookmarkStart w:id="5032" w:name="_Toc192442964"/>
      <w:bookmarkStart w:id="5033" w:name="_Toc192424209"/>
      <w:bookmarkStart w:id="5034" w:name="_Toc192425751"/>
      <w:bookmarkStart w:id="5035" w:name="_Toc192442965"/>
      <w:bookmarkStart w:id="5036" w:name="_Toc192424210"/>
      <w:bookmarkStart w:id="5037" w:name="_Toc192425752"/>
      <w:bookmarkStart w:id="5038" w:name="_Toc192442966"/>
      <w:bookmarkStart w:id="5039" w:name="_Toc192424211"/>
      <w:bookmarkStart w:id="5040" w:name="_Toc192425753"/>
      <w:bookmarkStart w:id="5041" w:name="_Toc192442967"/>
      <w:bookmarkStart w:id="5042" w:name="_Toc192424212"/>
      <w:bookmarkStart w:id="5043" w:name="_Toc192425754"/>
      <w:bookmarkStart w:id="5044" w:name="_Toc192442968"/>
      <w:bookmarkStart w:id="5045" w:name="_Toc192424213"/>
      <w:bookmarkStart w:id="5046" w:name="_Toc192425755"/>
      <w:bookmarkStart w:id="5047" w:name="_Toc192442969"/>
      <w:bookmarkStart w:id="5048" w:name="_Toc192424215"/>
      <w:bookmarkStart w:id="5049" w:name="_Toc192425757"/>
      <w:bookmarkStart w:id="5050" w:name="_Toc192442971"/>
      <w:bookmarkStart w:id="5051" w:name="_Toc192424216"/>
      <w:bookmarkStart w:id="5052" w:name="_Toc192425758"/>
      <w:bookmarkStart w:id="5053" w:name="_Toc192442972"/>
      <w:bookmarkStart w:id="5054" w:name="_Toc192424217"/>
      <w:bookmarkStart w:id="5055" w:name="_Toc192425759"/>
      <w:bookmarkStart w:id="5056" w:name="_Toc192442973"/>
      <w:bookmarkStart w:id="5057" w:name="_Toc192424218"/>
      <w:bookmarkStart w:id="5058" w:name="_Toc192425760"/>
      <w:bookmarkStart w:id="5059" w:name="_Toc192442974"/>
      <w:bookmarkStart w:id="5060" w:name="_Toc192424219"/>
      <w:bookmarkStart w:id="5061" w:name="_Toc192425761"/>
      <w:bookmarkStart w:id="5062" w:name="_Toc192442975"/>
      <w:bookmarkStart w:id="5063" w:name="_Toc192424220"/>
      <w:bookmarkStart w:id="5064" w:name="_Toc192425762"/>
      <w:bookmarkStart w:id="5065" w:name="_Toc192442976"/>
      <w:bookmarkStart w:id="5066" w:name="_Toc192424221"/>
      <w:bookmarkStart w:id="5067" w:name="_Toc192425763"/>
      <w:bookmarkStart w:id="5068" w:name="_Toc192442977"/>
      <w:bookmarkStart w:id="5069" w:name="_Toc192424222"/>
      <w:bookmarkStart w:id="5070" w:name="_Toc192425764"/>
      <w:bookmarkStart w:id="5071" w:name="_Toc192442978"/>
      <w:bookmarkStart w:id="5072" w:name="_Toc192424223"/>
      <w:bookmarkStart w:id="5073" w:name="_Toc192425765"/>
      <w:bookmarkStart w:id="5074" w:name="_Toc192442979"/>
      <w:bookmarkStart w:id="5075" w:name="_Toc192424224"/>
      <w:bookmarkStart w:id="5076" w:name="_Toc192425766"/>
      <w:bookmarkStart w:id="5077" w:name="_Toc192442980"/>
      <w:bookmarkStart w:id="5078" w:name="_Toc192424225"/>
      <w:bookmarkStart w:id="5079" w:name="_Toc192425767"/>
      <w:bookmarkStart w:id="5080" w:name="_Toc192442981"/>
      <w:bookmarkStart w:id="5081" w:name="_Toc192424227"/>
      <w:bookmarkStart w:id="5082" w:name="_Toc192425769"/>
      <w:bookmarkStart w:id="5083" w:name="_Toc192442983"/>
      <w:bookmarkStart w:id="5084" w:name="_Toc192424228"/>
      <w:bookmarkStart w:id="5085" w:name="_Toc192425770"/>
      <w:bookmarkStart w:id="5086" w:name="_Toc192442984"/>
      <w:bookmarkStart w:id="5087" w:name="_Toc192424229"/>
      <w:bookmarkStart w:id="5088" w:name="_Toc192425771"/>
      <w:bookmarkStart w:id="5089" w:name="_Toc192442985"/>
      <w:bookmarkStart w:id="5090" w:name="_Toc192424230"/>
      <w:bookmarkStart w:id="5091" w:name="_Toc192425772"/>
      <w:bookmarkStart w:id="5092" w:name="_Toc192442986"/>
      <w:bookmarkStart w:id="5093" w:name="_Toc192424231"/>
      <w:bookmarkStart w:id="5094" w:name="_Toc192425773"/>
      <w:bookmarkStart w:id="5095" w:name="_Toc192442987"/>
      <w:bookmarkStart w:id="5096" w:name="_Toc192424232"/>
      <w:bookmarkStart w:id="5097" w:name="_Toc192425774"/>
      <w:bookmarkStart w:id="5098" w:name="_Toc192442988"/>
      <w:bookmarkStart w:id="5099" w:name="_Toc192424234"/>
      <w:bookmarkStart w:id="5100" w:name="_Toc192425776"/>
      <w:bookmarkStart w:id="5101" w:name="_Toc192442990"/>
      <w:bookmarkStart w:id="5102" w:name="_Toc192424235"/>
      <w:bookmarkStart w:id="5103" w:name="_Toc192425777"/>
      <w:bookmarkStart w:id="5104" w:name="_Toc192442991"/>
      <w:bookmarkStart w:id="5105" w:name="_Toc192424236"/>
      <w:bookmarkStart w:id="5106" w:name="_Toc192425778"/>
      <w:bookmarkStart w:id="5107" w:name="_Toc192442992"/>
      <w:bookmarkStart w:id="5108" w:name="_Toc192424237"/>
      <w:bookmarkStart w:id="5109" w:name="_Toc192425779"/>
      <w:bookmarkStart w:id="5110" w:name="_Toc192442993"/>
      <w:bookmarkStart w:id="5111" w:name="_Toc192424238"/>
      <w:bookmarkStart w:id="5112" w:name="_Toc192425780"/>
      <w:bookmarkStart w:id="5113" w:name="_Toc192442994"/>
      <w:bookmarkStart w:id="5114" w:name="_Toc192424239"/>
      <w:bookmarkStart w:id="5115" w:name="_Toc192425781"/>
      <w:bookmarkStart w:id="5116" w:name="_Toc192442995"/>
      <w:bookmarkStart w:id="5117" w:name="_Toc192424241"/>
      <w:bookmarkStart w:id="5118" w:name="_Toc192425783"/>
      <w:bookmarkStart w:id="5119" w:name="_Toc192442997"/>
      <w:bookmarkStart w:id="5120" w:name="_Toc192424242"/>
      <w:bookmarkStart w:id="5121" w:name="_Toc192425784"/>
      <w:bookmarkStart w:id="5122" w:name="_Toc192442998"/>
      <w:bookmarkStart w:id="5123" w:name="_Toc192424243"/>
      <w:bookmarkStart w:id="5124" w:name="_Toc192425785"/>
      <w:bookmarkStart w:id="5125" w:name="_Toc192442999"/>
      <w:bookmarkStart w:id="5126" w:name="_Toc192424244"/>
      <w:bookmarkStart w:id="5127" w:name="_Toc192425786"/>
      <w:bookmarkStart w:id="5128" w:name="_Toc192443000"/>
      <w:bookmarkStart w:id="5129" w:name="_Toc192424245"/>
      <w:bookmarkStart w:id="5130" w:name="_Toc192425787"/>
      <w:bookmarkStart w:id="5131" w:name="_Toc192443001"/>
      <w:bookmarkStart w:id="5132" w:name="_Toc192424246"/>
      <w:bookmarkStart w:id="5133" w:name="_Toc192425788"/>
      <w:bookmarkStart w:id="5134" w:name="_Toc192443002"/>
      <w:bookmarkStart w:id="5135" w:name="_Toc192424248"/>
      <w:bookmarkStart w:id="5136" w:name="_Toc192425790"/>
      <w:bookmarkStart w:id="5137" w:name="_Toc192443004"/>
      <w:bookmarkStart w:id="5138" w:name="_Toc192424249"/>
      <w:bookmarkStart w:id="5139" w:name="_Toc192425791"/>
      <w:bookmarkStart w:id="5140" w:name="_Toc192443005"/>
      <w:bookmarkStart w:id="5141" w:name="_Toc192424250"/>
      <w:bookmarkStart w:id="5142" w:name="_Toc192425792"/>
      <w:bookmarkStart w:id="5143" w:name="_Toc192443006"/>
      <w:bookmarkStart w:id="5144" w:name="_Toc192424251"/>
      <w:bookmarkStart w:id="5145" w:name="_Toc192425793"/>
      <w:bookmarkStart w:id="5146" w:name="_Toc192443007"/>
      <w:bookmarkStart w:id="5147" w:name="_Toc192424252"/>
      <w:bookmarkStart w:id="5148" w:name="_Toc192425794"/>
      <w:bookmarkStart w:id="5149" w:name="_Toc192443008"/>
      <w:bookmarkStart w:id="5150" w:name="_Toc192424253"/>
      <w:bookmarkStart w:id="5151" w:name="_Toc192425795"/>
      <w:bookmarkStart w:id="5152" w:name="_Toc192443009"/>
      <w:bookmarkStart w:id="5153" w:name="_Toc192424255"/>
      <w:bookmarkStart w:id="5154" w:name="_Toc192425797"/>
      <w:bookmarkStart w:id="5155" w:name="_Toc192443011"/>
      <w:bookmarkStart w:id="5156" w:name="_Toc192424256"/>
      <w:bookmarkStart w:id="5157" w:name="_Toc192425798"/>
      <w:bookmarkStart w:id="5158" w:name="_Toc192443012"/>
      <w:bookmarkStart w:id="5159" w:name="_Toc192424257"/>
      <w:bookmarkStart w:id="5160" w:name="_Toc192425799"/>
      <w:bookmarkStart w:id="5161" w:name="_Toc192443013"/>
      <w:bookmarkStart w:id="5162" w:name="_Toc192424258"/>
      <w:bookmarkStart w:id="5163" w:name="_Toc192425800"/>
      <w:bookmarkStart w:id="5164" w:name="_Toc192443014"/>
      <w:bookmarkStart w:id="5165" w:name="_Toc192424259"/>
      <w:bookmarkStart w:id="5166" w:name="_Toc192425801"/>
      <w:bookmarkStart w:id="5167" w:name="_Toc192443015"/>
      <w:bookmarkStart w:id="5168" w:name="_Toc192424260"/>
      <w:bookmarkStart w:id="5169" w:name="_Toc192425802"/>
      <w:bookmarkStart w:id="5170" w:name="_Toc192443016"/>
      <w:bookmarkStart w:id="5171" w:name="_Toc192424262"/>
      <w:bookmarkStart w:id="5172" w:name="_Toc192425804"/>
      <w:bookmarkStart w:id="5173" w:name="_Toc192443018"/>
      <w:bookmarkStart w:id="5174" w:name="_Toc192424263"/>
      <w:bookmarkStart w:id="5175" w:name="_Toc192425805"/>
      <w:bookmarkStart w:id="5176" w:name="_Toc192443019"/>
      <w:bookmarkStart w:id="5177" w:name="_Toc192424264"/>
      <w:bookmarkStart w:id="5178" w:name="_Toc192425806"/>
      <w:bookmarkStart w:id="5179" w:name="_Toc192443020"/>
      <w:bookmarkStart w:id="5180" w:name="_Toc192424265"/>
      <w:bookmarkStart w:id="5181" w:name="_Toc192425807"/>
      <w:bookmarkStart w:id="5182" w:name="_Toc192443021"/>
      <w:bookmarkStart w:id="5183" w:name="_Toc192424266"/>
      <w:bookmarkStart w:id="5184" w:name="_Toc192425808"/>
      <w:bookmarkStart w:id="5185" w:name="_Toc192443022"/>
      <w:bookmarkStart w:id="5186" w:name="_Toc192424267"/>
      <w:bookmarkStart w:id="5187" w:name="_Toc192425809"/>
      <w:bookmarkStart w:id="5188" w:name="_Toc192443023"/>
      <w:bookmarkStart w:id="5189" w:name="_Toc192424269"/>
      <w:bookmarkStart w:id="5190" w:name="_Toc192425811"/>
      <w:bookmarkStart w:id="5191" w:name="_Toc192443025"/>
      <w:bookmarkStart w:id="5192" w:name="_Toc192424270"/>
      <w:bookmarkStart w:id="5193" w:name="_Toc192425812"/>
      <w:bookmarkStart w:id="5194" w:name="_Toc192443026"/>
      <w:bookmarkStart w:id="5195" w:name="_Toc192424271"/>
      <w:bookmarkStart w:id="5196" w:name="_Toc192425813"/>
      <w:bookmarkStart w:id="5197" w:name="_Toc192443027"/>
      <w:bookmarkStart w:id="5198" w:name="_Toc192424272"/>
      <w:bookmarkStart w:id="5199" w:name="_Toc192425814"/>
      <w:bookmarkStart w:id="5200" w:name="_Toc192443028"/>
      <w:bookmarkStart w:id="5201" w:name="_Toc192424273"/>
      <w:bookmarkStart w:id="5202" w:name="_Toc192425815"/>
      <w:bookmarkStart w:id="5203" w:name="_Toc192443029"/>
      <w:bookmarkStart w:id="5204" w:name="_Toc192424274"/>
      <w:bookmarkStart w:id="5205" w:name="_Toc192425816"/>
      <w:bookmarkStart w:id="5206" w:name="_Toc192443030"/>
      <w:bookmarkStart w:id="5207" w:name="_Toc192424275"/>
      <w:bookmarkStart w:id="5208" w:name="_Toc192425817"/>
      <w:bookmarkStart w:id="5209" w:name="_Toc192443031"/>
      <w:bookmarkStart w:id="5210" w:name="_Toc192424276"/>
      <w:bookmarkStart w:id="5211" w:name="_Toc192425818"/>
      <w:bookmarkStart w:id="5212" w:name="_Toc192443032"/>
      <w:bookmarkStart w:id="5213" w:name="_Toc192424277"/>
      <w:bookmarkStart w:id="5214" w:name="_Toc192425819"/>
      <w:bookmarkStart w:id="5215" w:name="_Toc192443033"/>
      <w:bookmarkStart w:id="5216" w:name="_Toc192424278"/>
      <w:bookmarkStart w:id="5217" w:name="_Toc192425820"/>
      <w:bookmarkStart w:id="5218" w:name="_Toc192443034"/>
      <w:bookmarkStart w:id="5219" w:name="_Toc192424280"/>
      <w:bookmarkStart w:id="5220" w:name="_Toc192425822"/>
      <w:bookmarkStart w:id="5221" w:name="_Toc192443036"/>
      <w:bookmarkStart w:id="5222" w:name="_Toc192424281"/>
      <w:bookmarkStart w:id="5223" w:name="_Toc192425823"/>
      <w:bookmarkStart w:id="5224" w:name="_Toc192443037"/>
      <w:bookmarkStart w:id="5225" w:name="_Toc192424282"/>
      <w:bookmarkStart w:id="5226" w:name="_Toc192425824"/>
      <w:bookmarkStart w:id="5227" w:name="_Toc192443038"/>
      <w:bookmarkStart w:id="5228" w:name="_Toc192424283"/>
      <w:bookmarkStart w:id="5229" w:name="_Toc192425825"/>
      <w:bookmarkStart w:id="5230" w:name="_Toc192443039"/>
      <w:bookmarkStart w:id="5231" w:name="_Toc192424284"/>
      <w:bookmarkStart w:id="5232" w:name="_Toc192425826"/>
      <w:bookmarkStart w:id="5233" w:name="_Toc192443040"/>
      <w:bookmarkStart w:id="5234" w:name="_Toc192424285"/>
      <w:bookmarkStart w:id="5235" w:name="_Toc192425827"/>
      <w:bookmarkStart w:id="5236" w:name="_Toc192443041"/>
      <w:bookmarkStart w:id="5237" w:name="_Toc192424287"/>
      <w:bookmarkStart w:id="5238" w:name="_Toc192425829"/>
      <w:bookmarkStart w:id="5239" w:name="_Toc192443043"/>
      <w:bookmarkStart w:id="5240" w:name="_Toc192424288"/>
      <w:bookmarkStart w:id="5241" w:name="_Toc192425830"/>
      <w:bookmarkStart w:id="5242" w:name="_Toc192443044"/>
      <w:bookmarkStart w:id="5243" w:name="_Toc192424289"/>
      <w:bookmarkStart w:id="5244" w:name="_Toc192425831"/>
      <w:bookmarkStart w:id="5245" w:name="_Toc192443045"/>
      <w:bookmarkStart w:id="5246" w:name="_Toc192424290"/>
      <w:bookmarkStart w:id="5247" w:name="_Toc192425832"/>
      <w:bookmarkStart w:id="5248" w:name="_Toc192443046"/>
      <w:bookmarkStart w:id="5249" w:name="_Toc192424291"/>
      <w:bookmarkStart w:id="5250" w:name="_Toc192425833"/>
      <w:bookmarkStart w:id="5251" w:name="_Toc192443047"/>
      <w:bookmarkStart w:id="5252" w:name="_Toc192424292"/>
      <w:bookmarkStart w:id="5253" w:name="_Toc192425834"/>
      <w:bookmarkStart w:id="5254" w:name="_Toc192443048"/>
      <w:bookmarkStart w:id="5255" w:name="_Toc192424294"/>
      <w:bookmarkStart w:id="5256" w:name="_Toc192425836"/>
      <w:bookmarkStart w:id="5257" w:name="_Toc192443050"/>
      <w:bookmarkStart w:id="5258" w:name="_Toc192424295"/>
      <w:bookmarkStart w:id="5259" w:name="_Toc192425837"/>
      <w:bookmarkStart w:id="5260" w:name="_Toc192443051"/>
      <w:bookmarkStart w:id="5261" w:name="_Toc192424296"/>
      <w:bookmarkStart w:id="5262" w:name="_Toc192425838"/>
      <w:bookmarkStart w:id="5263" w:name="_Toc192443052"/>
      <w:bookmarkStart w:id="5264" w:name="_Toc192424297"/>
      <w:bookmarkStart w:id="5265" w:name="_Toc192425839"/>
      <w:bookmarkStart w:id="5266" w:name="_Toc192443053"/>
      <w:bookmarkStart w:id="5267" w:name="_Toc192424298"/>
      <w:bookmarkStart w:id="5268" w:name="_Toc192425840"/>
      <w:bookmarkStart w:id="5269" w:name="_Toc192443054"/>
      <w:bookmarkStart w:id="5270" w:name="_Toc192424299"/>
      <w:bookmarkStart w:id="5271" w:name="_Toc192425841"/>
      <w:bookmarkStart w:id="5272" w:name="_Toc192443055"/>
      <w:bookmarkStart w:id="5273" w:name="_Toc192424301"/>
      <w:bookmarkStart w:id="5274" w:name="_Toc192425843"/>
      <w:bookmarkStart w:id="5275" w:name="_Toc192443057"/>
      <w:bookmarkStart w:id="5276" w:name="_Toc192424302"/>
      <w:bookmarkStart w:id="5277" w:name="_Toc192425844"/>
      <w:bookmarkStart w:id="5278" w:name="_Toc192443058"/>
      <w:bookmarkStart w:id="5279" w:name="_Toc192424303"/>
      <w:bookmarkStart w:id="5280" w:name="_Toc192425845"/>
      <w:bookmarkStart w:id="5281" w:name="_Toc192443059"/>
      <w:bookmarkStart w:id="5282" w:name="_Toc192424304"/>
      <w:bookmarkStart w:id="5283" w:name="_Toc192425846"/>
      <w:bookmarkStart w:id="5284" w:name="_Toc192443060"/>
      <w:bookmarkStart w:id="5285" w:name="_Toc192424305"/>
      <w:bookmarkStart w:id="5286" w:name="_Toc192425847"/>
      <w:bookmarkStart w:id="5287" w:name="_Toc192443061"/>
      <w:bookmarkStart w:id="5288" w:name="_Toc192424306"/>
      <w:bookmarkStart w:id="5289" w:name="_Toc192425848"/>
      <w:bookmarkStart w:id="5290" w:name="_Toc192443062"/>
      <w:bookmarkStart w:id="5291" w:name="_Toc192424308"/>
      <w:bookmarkStart w:id="5292" w:name="_Toc192425850"/>
      <w:bookmarkStart w:id="5293" w:name="_Toc192443064"/>
      <w:bookmarkStart w:id="5294" w:name="_Toc192424309"/>
      <w:bookmarkStart w:id="5295" w:name="_Toc192425851"/>
      <w:bookmarkStart w:id="5296" w:name="_Toc192443065"/>
      <w:bookmarkStart w:id="5297" w:name="_Toc192424310"/>
      <w:bookmarkStart w:id="5298" w:name="_Toc192425852"/>
      <w:bookmarkStart w:id="5299" w:name="_Toc192443066"/>
      <w:bookmarkStart w:id="5300" w:name="_Toc192424311"/>
      <w:bookmarkStart w:id="5301" w:name="_Toc192425853"/>
      <w:bookmarkStart w:id="5302" w:name="_Toc192443067"/>
      <w:bookmarkStart w:id="5303" w:name="_Toc192424312"/>
      <w:bookmarkStart w:id="5304" w:name="_Toc192425854"/>
      <w:bookmarkStart w:id="5305" w:name="_Toc192443068"/>
      <w:bookmarkStart w:id="5306" w:name="_Toc192424313"/>
      <w:bookmarkStart w:id="5307" w:name="_Toc192425855"/>
      <w:bookmarkStart w:id="5308" w:name="_Toc192443069"/>
      <w:bookmarkStart w:id="5309" w:name="_Toc192424315"/>
      <w:bookmarkStart w:id="5310" w:name="_Toc192425857"/>
      <w:bookmarkStart w:id="5311" w:name="_Toc192443071"/>
      <w:bookmarkStart w:id="5312" w:name="_Toc192424316"/>
      <w:bookmarkStart w:id="5313" w:name="_Toc192425858"/>
      <w:bookmarkStart w:id="5314" w:name="_Toc192443072"/>
      <w:bookmarkStart w:id="5315" w:name="_Toc192424317"/>
      <w:bookmarkStart w:id="5316" w:name="_Toc192425859"/>
      <w:bookmarkStart w:id="5317" w:name="_Toc192443073"/>
      <w:bookmarkStart w:id="5318" w:name="_Toc192424318"/>
      <w:bookmarkStart w:id="5319" w:name="_Toc192425860"/>
      <w:bookmarkStart w:id="5320" w:name="_Toc192443074"/>
      <w:bookmarkStart w:id="5321" w:name="_Toc192424319"/>
      <w:bookmarkStart w:id="5322" w:name="_Toc192425861"/>
      <w:bookmarkStart w:id="5323" w:name="_Toc192443075"/>
      <w:bookmarkStart w:id="5324" w:name="_Toc192424320"/>
      <w:bookmarkStart w:id="5325" w:name="_Toc192425862"/>
      <w:bookmarkStart w:id="5326" w:name="_Toc192443076"/>
      <w:bookmarkStart w:id="5327" w:name="_Toc192424322"/>
      <w:bookmarkStart w:id="5328" w:name="_Toc192425864"/>
      <w:bookmarkStart w:id="5329" w:name="_Toc192443078"/>
      <w:bookmarkStart w:id="5330" w:name="_Toc192424323"/>
      <w:bookmarkStart w:id="5331" w:name="_Toc192425865"/>
      <w:bookmarkStart w:id="5332" w:name="_Toc192443079"/>
      <w:bookmarkStart w:id="5333" w:name="_Toc192424324"/>
      <w:bookmarkStart w:id="5334" w:name="_Toc192425866"/>
      <w:bookmarkStart w:id="5335" w:name="_Toc192443080"/>
      <w:bookmarkStart w:id="5336" w:name="_Toc192424325"/>
      <w:bookmarkStart w:id="5337" w:name="_Toc192425867"/>
      <w:bookmarkStart w:id="5338" w:name="_Toc192443081"/>
      <w:bookmarkStart w:id="5339" w:name="_Toc192424326"/>
      <w:bookmarkStart w:id="5340" w:name="_Toc192425868"/>
      <w:bookmarkStart w:id="5341" w:name="_Toc192443082"/>
      <w:bookmarkStart w:id="5342" w:name="_Toc192424327"/>
      <w:bookmarkStart w:id="5343" w:name="_Toc192425869"/>
      <w:bookmarkStart w:id="5344" w:name="_Toc192443083"/>
      <w:bookmarkStart w:id="5345" w:name="_Toc192424328"/>
      <w:bookmarkStart w:id="5346" w:name="_Toc192425870"/>
      <w:bookmarkStart w:id="5347" w:name="_Toc192443084"/>
      <w:bookmarkStart w:id="5348" w:name="_Toc192424329"/>
      <w:bookmarkStart w:id="5349" w:name="_Toc192425871"/>
      <w:bookmarkStart w:id="5350" w:name="_Toc192443085"/>
      <w:bookmarkStart w:id="5351" w:name="_Toc192424330"/>
      <w:bookmarkStart w:id="5352" w:name="_Toc192425872"/>
      <w:bookmarkStart w:id="5353" w:name="_Toc192443086"/>
      <w:bookmarkStart w:id="5354" w:name="_Toc192424331"/>
      <w:bookmarkStart w:id="5355" w:name="_Toc192425873"/>
      <w:bookmarkStart w:id="5356" w:name="_Toc192443087"/>
      <w:bookmarkStart w:id="5357" w:name="_Toc192424332"/>
      <w:bookmarkStart w:id="5358" w:name="_Toc192425874"/>
      <w:bookmarkStart w:id="5359" w:name="_Toc192443088"/>
      <w:bookmarkStart w:id="5360" w:name="_Toc192424334"/>
      <w:bookmarkStart w:id="5361" w:name="_Toc192425876"/>
      <w:bookmarkStart w:id="5362" w:name="_Toc192443090"/>
      <w:bookmarkStart w:id="5363" w:name="_Toc192424335"/>
      <w:bookmarkStart w:id="5364" w:name="_Toc192425877"/>
      <w:bookmarkStart w:id="5365" w:name="_Toc192443091"/>
      <w:bookmarkStart w:id="5366" w:name="_Toc192424336"/>
      <w:bookmarkStart w:id="5367" w:name="_Toc192425878"/>
      <w:bookmarkStart w:id="5368" w:name="_Toc192443092"/>
      <w:bookmarkStart w:id="5369" w:name="_Toc192424337"/>
      <w:bookmarkStart w:id="5370" w:name="_Toc192425879"/>
      <w:bookmarkStart w:id="5371" w:name="_Toc192443093"/>
      <w:bookmarkStart w:id="5372" w:name="_Toc192424338"/>
      <w:bookmarkStart w:id="5373" w:name="_Toc192425880"/>
      <w:bookmarkStart w:id="5374" w:name="_Toc192443094"/>
      <w:bookmarkStart w:id="5375" w:name="_Toc192424339"/>
      <w:bookmarkStart w:id="5376" w:name="_Toc192425881"/>
      <w:bookmarkStart w:id="5377" w:name="_Toc192443095"/>
      <w:bookmarkStart w:id="5378" w:name="_Toc192424341"/>
      <w:bookmarkStart w:id="5379" w:name="_Toc192425883"/>
      <w:bookmarkStart w:id="5380" w:name="_Toc192443097"/>
      <w:bookmarkStart w:id="5381" w:name="_Toc192424342"/>
      <w:bookmarkStart w:id="5382" w:name="_Toc192425884"/>
      <w:bookmarkStart w:id="5383" w:name="_Toc192443098"/>
      <w:bookmarkStart w:id="5384" w:name="_Toc192424343"/>
      <w:bookmarkStart w:id="5385" w:name="_Toc192425885"/>
      <w:bookmarkStart w:id="5386" w:name="_Toc192443099"/>
      <w:bookmarkStart w:id="5387" w:name="_Toc192424344"/>
      <w:bookmarkStart w:id="5388" w:name="_Toc192425886"/>
      <w:bookmarkStart w:id="5389" w:name="_Toc192443100"/>
      <w:bookmarkStart w:id="5390" w:name="_Toc192424345"/>
      <w:bookmarkStart w:id="5391" w:name="_Toc192425887"/>
      <w:bookmarkStart w:id="5392" w:name="_Toc192443101"/>
      <w:bookmarkStart w:id="5393" w:name="_Toc192424346"/>
      <w:bookmarkStart w:id="5394" w:name="_Toc192425888"/>
      <w:bookmarkStart w:id="5395" w:name="_Toc192443102"/>
      <w:bookmarkStart w:id="5396" w:name="_Toc192424348"/>
      <w:bookmarkStart w:id="5397" w:name="_Toc192425890"/>
      <w:bookmarkStart w:id="5398" w:name="_Toc192443104"/>
      <w:bookmarkStart w:id="5399" w:name="_Toc192424349"/>
      <w:bookmarkStart w:id="5400" w:name="_Toc192425891"/>
      <w:bookmarkStart w:id="5401" w:name="_Toc192443105"/>
      <w:bookmarkStart w:id="5402" w:name="_Toc192424350"/>
      <w:bookmarkStart w:id="5403" w:name="_Toc192425892"/>
      <w:bookmarkStart w:id="5404" w:name="_Toc192443106"/>
      <w:bookmarkStart w:id="5405" w:name="_Toc192424351"/>
      <w:bookmarkStart w:id="5406" w:name="_Toc192425893"/>
      <w:bookmarkStart w:id="5407" w:name="_Toc192443107"/>
      <w:bookmarkStart w:id="5408" w:name="_Toc192424352"/>
      <w:bookmarkStart w:id="5409" w:name="_Toc192425894"/>
      <w:bookmarkStart w:id="5410" w:name="_Toc192443108"/>
      <w:bookmarkStart w:id="5411" w:name="_Toc192424353"/>
      <w:bookmarkStart w:id="5412" w:name="_Toc192425895"/>
      <w:bookmarkStart w:id="5413" w:name="_Toc192443109"/>
      <w:bookmarkStart w:id="5414" w:name="_Toc192424355"/>
      <w:bookmarkStart w:id="5415" w:name="_Toc192425897"/>
      <w:bookmarkStart w:id="5416" w:name="_Toc192443111"/>
      <w:bookmarkStart w:id="5417" w:name="_Toc192424356"/>
      <w:bookmarkStart w:id="5418" w:name="_Toc192425898"/>
      <w:bookmarkStart w:id="5419" w:name="_Toc192443112"/>
      <w:bookmarkStart w:id="5420" w:name="_Toc192424357"/>
      <w:bookmarkStart w:id="5421" w:name="_Toc192425899"/>
      <w:bookmarkStart w:id="5422" w:name="_Toc192443113"/>
      <w:bookmarkStart w:id="5423" w:name="_Toc192424358"/>
      <w:bookmarkStart w:id="5424" w:name="_Toc192425900"/>
      <w:bookmarkStart w:id="5425" w:name="_Toc192443114"/>
      <w:bookmarkStart w:id="5426" w:name="_Toc192424359"/>
      <w:bookmarkStart w:id="5427" w:name="_Toc192425901"/>
      <w:bookmarkStart w:id="5428" w:name="_Toc192443115"/>
      <w:bookmarkStart w:id="5429" w:name="_Toc192424360"/>
      <w:bookmarkStart w:id="5430" w:name="_Toc192425902"/>
      <w:bookmarkStart w:id="5431" w:name="_Toc192443116"/>
      <w:bookmarkStart w:id="5432" w:name="_Toc192424362"/>
      <w:bookmarkStart w:id="5433" w:name="_Toc192425904"/>
      <w:bookmarkStart w:id="5434" w:name="_Toc192443118"/>
      <w:bookmarkStart w:id="5435" w:name="_Toc192424363"/>
      <w:bookmarkStart w:id="5436" w:name="_Toc192425905"/>
      <w:bookmarkStart w:id="5437" w:name="_Toc192443119"/>
      <w:bookmarkStart w:id="5438" w:name="_Toc192424364"/>
      <w:bookmarkStart w:id="5439" w:name="_Toc192425906"/>
      <w:bookmarkStart w:id="5440" w:name="_Toc192443120"/>
      <w:bookmarkStart w:id="5441" w:name="_Toc192424365"/>
      <w:bookmarkStart w:id="5442" w:name="_Toc192425907"/>
      <w:bookmarkStart w:id="5443" w:name="_Toc192443121"/>
      <w:bookmarkStart w:id="5444" w:name="_Toc192424366"/>
      <w:bookmarkStart w:id="5445" w:name="_Toc192425908"/>
      <w:bookmarkStart w:id="5446" w:name="_Toc192443122"/>
      <w:bookmarkStart w:id="5447" w:name="_Toc192424367"/>
      <w:bookmarkStart w:id="5448" w:name="_Toc192425909"/>
      <w:bookmarkStart w:id="5449" w:name="_Toc192443123"/>
      <w:bookmarkStart w:id="5450" w:name="_Toc192424369"/>
      <w:bookmarkStart w:id="5451" w:name="_Toc192425911"/>
      <w:bookmarkStart w:id="5452" w:name="_Toc192443125"/>
      <w:bookmarkStart w:id="5453" w:name="_Toc192424370"/>
      <w:bookmarkStart w:id="5454" w:name="_Toc192425912"/>
      <w:bookmarkStart w:id="5455" w:name="_Toc192443126"/>
      <w:bookmarkStart w:id="5456" w:name="_Toc192424371"/>
      <w:bookmarkStart w:id="5457" w:name="_Toc192425913"/>
      <w:bookmarkStart w:id="5458" w:name="_Toc192443127"/>
      <w:bookmarkStart w:id="5459" w:name="_Toc192424372"/>
      <w:bookmarkStart w:id="5460" w:name="_Toc192425914"/>
      <w:bookmarkStart w:id="5461" w:name="_Toc192443128"/>
      <w:bookmarkStart w:id="5462" w:name="_Toc192424373"/>
      <w:bookmarkStart w:id="5463" w:name="_Toc192425915"/>
      <w:bookmarkStart w:id="5464" w:name="_Toc192443129"/>
      <w:bookmarkStart w:id="5465" w:name="_Toc192424374"/>
      <w:bookmarkStart w:id="5466" w:name="_Toc192425916"/>
      <w:bookmarkStart w:id="5467" w:name="_Toc192443130"/>
      <w:bookmarkStart w:id="5468" w:name="_Toc192424376"/>
      <w:bookmarkStart w:id="5469" w:name="_Toc192425918"/>
      <w:bookmarkStart w:id="5470" w:name="_Toc192443132"/>
      <w:bookmarkStart w:id="5471" w:name="_Toc192424377"/>
      <w:bookmarkStart w:id="5472" w:name="_Toc192425919"/>
      <w:bookmarkStart w:id="5473" w:name="_Toc192443133"/>
      <w:bookmarkStart w:id="5474" w:name="_Toc192424378"/>
      <w:bookmarkStart w:id="5475" w:name="_Toc192425920"/>
      <w:bookmarkStart w:id="5476" w:name="_Toc192443134"/>
      <w:bookmarkStart w:id="5477" w:name="_Toc192424379"/>
      <w:bookmarkStart w:id="5478" w:name="_Toc192425921"/>
      <w:bookmarkStart w:id="5479" w:name="_Toc192443135"/>
      <w:bookmarkStart w:id="5480" w:name="_Toc192424380"/>
      <w:bookmarkStart w:id="5481" w:name="_Toc192425922"/>
      <w:bookmarkStart w:id="5482" w:name="_Toc192443136"/>
      <w:bookmarkStart w:id="5483" w:name="_Toc192424381"/>
      <w:bookmarkStart w:id="5484" w:name="_Toc192425923"/>
      <w:bookmarkStart w:id="5485" w:name="_Toc192443137"/>
      <w:bookmarkStart w:id="5486" w:name="_Toc192424382"/>
      <w:bookmarkStart w:id="5487" w:name="_Toc192425924"/>
      <w:bookmarkStart w:id="5488" w:name="_Toc192443138"/>
      <w:bookmarkStart w:id="5489" w:name="_Toc192424383"/>
      <w:bookmarkStart w:id="5490" w:name="_Toc192425925"/>
      <w:bookmarkStart w:id="5491" w:name="_Toc192443139"/>
      <w:bookmarkStart w:id="5492" w:name="_Toc192424384"/>
      <w:bookmarkStart w:id="5493" w:name="_Toc192425926"/>
      <w:bookmarkStart w:id="5494" w:name="_Toc192443140"/>
      <w:bookmarkStart w:id="5495" w:name="_Toc192424385"/>
      <w:bookmarkStart w:id="5496" w:name="_Toc192425927"/>
      <w:bookmarkStart w:id="5497" w:name="_Toc192443141"/>
      <w:bookmarkStart w:id="5498" w:name="_Toc192424386"/>
      <w:bookmarkStart w:id="5499" w:name="_Toc192425928"/>
      <w:bookmarkStart w:id="5500" w:name="_Toc192443142"/>
      <w:bookmarkStart w:id="5501" w:name="_Toc192424388"/>
      <w:bookmarkStart w:id="5502" w:name="_Toc192425930"/>
      <w:bookmarkStart w:id="5503" w:name="_Toc192443144"/>
      <w:bookmarkStart w:id="5504" w:name="_Toc192424389"/>
      <w:bookmarkStart w:id="5505" w:name="_Toc192425931"/>
      <w:bookmarkStart w:id="5506" w:name="_Toc192443145"/>
      <w:bookmarkStart w:id="5507" w:name="_Toc192424390"/>
      <w:bookmarkStart w:id="5508" w:name="_Toc192425932"/>
      <w:bookmarkStart w:id="5509" w:name="_Toc192443146"/>
      <w:bookmarkStart w:id="5510" w:name="_Toc192424391"/>
      <w:bookmarkStart w:id="5511" w:name="_Toc192425933"/>
      <w:bookmarkStart w:id="5512" w:name="_Toc192443147"/>
      <w:bookmarkStart w:id="5513" w:name="_Toc192424392"/>
      <w:bookmarkStart w:id="5514" w:name="_Toc192425934"/>
      <w:bookmarkStart w:id="5515" w:name="_Toc192443148"/>
      <w:bookmarkStart w:id="5516" w:name="_Toc192424393"/>
      <w:bookmarkStart w:id="5517" w:name="_Toc192425935"/>
      <w:bookmarkStart w:id="5518" w:name="_Toc192443149"/>
      <w:bookmarkStart w:id="5519" w:name="_Toc192424395"/>
      <w:bookmarkStart w:id="5520" w:name="_Toc192425937"/>
      <w:bookmarkStart w:id="5521" w:name="_Toc192443151"/>
      <w:bookmarkStart w:id="5522" w:name="_Toc192424396"/>
      <w:bookmarkStart w:id="5523" w:name="_Toc192425938"/>
      <w:bookmarkStart w:id="5524" w:name="_Toc192443152"/>
      <w:bookmarkStart w:id="5525" w:name="_Toc192424397"/>
      <w:bookmarkStart w:id="5526" w:name="_Toc192425939"/>
      <w:bookmarkStart w:id="5527" w:name="_Toc192443153"/>
      <w:bookmarkStart w:id="5528" w:name="_Toc192424398"/>
      <w:bookmarkStart w:id="5529" w:name="_Toc192425940"/>
      <w:bookmarkStart w:id="5530" w:name="_Toc192443154"/>
      <w:bookmarkStart w:id="5531" w:name="_Toc192424399"/>
      <w:bookmarkStart w:id="5532" w:name="_Toc192425941"/>
      <w:bookmarkStart w:id="5533" w:name="_Toc192443155"/>
      <w:bookmarkStart w:id="5534" w:name="_Toc192424400"/>
      <w:bookmarkStart w:id="5535" w:name="_Toc192425942"/>
      <w:bookmarkStart w:id="5536" w:name="_Toc192443156"/>
      <w:bookmarkStart w:id="5537" w:name="_Toc192424402"/>
      <w:bookmarkStart w:id="5538" w:name="_Toc192425944"/>
      <w:bookmarkStart w:id="5539" w:name="_Toc192443158"/>
      <w:bookmarkStart w:id="5540" w:name="_Toc192424403"/>
      <w:bookmarkStart w:id="5541" w:name="_Toc192425945"/>
      <w:bookmarkStart w:id="5542" w:name="_Toc192443159"/>
      <w:bookmarkStart w:id="5543" w:name="_Toc192424404"/>
      <w:bookmarkStart w:id="5544" w:name="_Toc192425946"/>
      <w:bookmarkStart w:id="5545" w:name="_Toc192443160"/>
      <w:bookmarkStart w:id="5546" w:name="_Toc192424405"/>
      <w:bookmarkStart w:id="5547" w:name="_Toc192425947"/>
      <w:bookmarkStart w:id="5548" w:name="_Toc192443161"/>
      <w:bookmarkStart w:id="5549" w:name="_Toc192424406"/>
      <w:bookmarkStart w:id="5550" w:name="_Toc192425948"/>
      <w:bookmarkStart w:id="5551" w:name="_Toc192443162"/>
      <w:bookmarkStart w:id="5552" w:name="_Toc192424407"/>
      <w:bookmarkStart w:id="5553" w:name="_Toc192425949"/>
      <w:bookmarkStart w:id="5554" w:name="_Toc192443163"/>
      <w:bookmarkStart w:id="5555" w:name="_Toc192424409"/>
      <w:bookmarkStart w:id="5556" w:name="_Toc192425951"/>
      <w:bookmarkStart w:id="5557" w:name="_Toc192443165"/>
      <w:bookmarkStart w:id="5558" w:name="_Toc192424410"/>
      <w:bookmarkStart w:id="5559" w:name="_Toc192425952"/>
      <w:bookmarkStart w:id="5560" w:name="_Toc192443166"/>
      <w:bookmarkStart w:id="5561" w:name="_Toc192424411"/>
      <w:bookmarkStart w:id="5562" w:name="_Toc192425953"/>
      <w:bookmarkStart w:id="5563" w:name="_Toc192443167"/>
      <w:bookmarkStart w:id="5564" w:name="_Toc192424412"/>
      <w:bookmarkStart w:id="5565" w:name="_Toc192425954"/>
      <w:bookmarkStart w:id="5566" w:name="_Toc192443168"/>
      <w:bookmarkStart w:id="5567" w:name="_Toc192424413"/>
      <w:bookmarkStart w:id="5568" w:name="_Toc192425955"/>
      <w:bookmarkStart w:id="5569" w:name="_Toc192443169"/>
      <w:bookmarkStart w:id="5570" w:name="_Toc192424414"/>
      <w:bookmarkStart w:id="5571" w:name="_Toc192425956"/>
      <w:bookmarkStart w:id="5572" w:name="_Toc192443170"/>
      <w:bookmarkStart w:id="5573" w:name="_Toc192424416"/>
      <w:bookmarkStart w:id="5574" w:name="_Toc192425958"/>
      <w:bookmarkStart w:id="5575" w:name="_Toc192443172"/>
      <w:bookmarkStart w:id="5576" w:name="_Toc192424417"/>
      <w:bookmarkStart w:id="5577" w:name="_Toc192425959"/>
      <w:bookmarkStart w:id="5578" w:name="_Toc192443173"/>
      <w:bookmarkStart w:id="5579" w:name="_Toc192424418"/>
      <w:bookmarkStart w:id="5580" w:name="_Toc192425960"/>
      <w:bookmarkStart w:id="5581" w:name="_Toc192443174"/>
      <w:bookmarkStart w:id="5582" w:name="_Toc192424419"/>
      <w:bookmarkStart w:id="5583" w:name="_Toc192425961"/>
      <w:bookmarkStart w:id="5584" w:name="_Toc192443175"/>
      <w:bookmarkStart w:id="5585" w:name="_Toc192424420"/>
      <w:bookmarkStart w:id="5586" w:name="_Toc192425962"/>
      <w:bookmarkStart w:id="5587" w:name="_Toc192443176"/>
      <w:bookmarkStart w:id="5588" w:name="_Toc192424421"/>
      <w:bookmarkStart w:id="5589" w:name="_Toc192425963"/>
      <w:bookmarkStart w:id="5590" w:name="_Toc192443177"/>
      <w:bookmarkStart w:id="5591" w:name="_Toc192424423"/>
      <w:bookmarkStart w:id="5592" w:name="_Toc192425965"/>
      <w:bookmarkStart w:id="5593" w:name="_Toc192443179"/>
      <w:bookmarkStart w:id="5594" w:name="_Toc192424424"/>
      <w:bookmarkStart w:id="5595" w:name="_Toc192425966"/>
      <w:bookmarkStart w:id="5596" w:name="_Toc192443180"/>
      <w:bookmarkStart w:id="5597" w:name="_Toc192424425"/>
      <w:bookmarkStart w:id="5598" w:name="_Toc192425967"/>
      <w:bookmarkStart w:id="5599" w:name="_Toc192443181"/>
      <w:bookmarkStart w:id="5600" w:name="_Toc192424426"/>
      <w:bookmarkStart w:id="5601" w:name="_Toc192425968"/>
      <w:bookmarkStart w:id="5602" w:name="_Toc192443182"/>
      <w:bookmarkStart w:id="5603" w:name="_Toc192424427"/>
      <w:bookmarkStart w:id="5604" w:name="_Toc192425969"/>
      <w:bookmarkStart w:id="5605" w:name="_Toc192443183"/>
      <w:bookmarkStart w:id="5606" w:name="_Toc192424428"/>
      <w:bookmarkStart w:id="5607" w:name="_Toc192425970"/>
      <w:bookmarkStart w:id="5608" w:name="_Toc192443184"/>
      <w:bookmarkStart w:id="5609" w:name="_Toc192424430"/>
      <w:bookmarkStart w:id="5610" w:name="_Toc192425972"/>
      <w:bookmarkStart w:id="5611" w:name="_Toc192443186"/>
      <w:bookmarkStart w:id="5612" w:name="_Toc192424431"/>
      <w:bookmarkStart w:id="5613" w:name="_Toc192425973"/>
      <w:bookmarkStart w:id="5614" w:name="_Toc192443187"/>
      <w:bookmarkStart w:id="5615" w:name="_Toc192424432"/>
      <w:bookmarkStart w:id="5616" w:name="_Toc192425974"/>
      <w:bookmarkStart w:id="5617" w:name="_Toc192443188"/>
      <w:bookmarkStart w:id="5618" w:name="_Toc192424433"/>
      <w:bookmarkStart w:id="5619" w:name="_Toc192425975"/>
      <w:bookmarkStart w:id="5620" w:name="_Toc192443189"/>
      <w:bookmarkStart w:id="5621" w:name="_Toc192424434"/>
      <w:bookmarkStart w:id="5622" w:name="_Toc192425976"/>
      <w:bookmarkStart w:id="5623" w:name="_Toc192443190"/>
      <w:bookmarkStart w:id="5624" w:name="_Toc192424435"/>
      <w:bookmarkStart w:id="5625" w:name="_Toc192425977"/>
      <w:bookmarkStart w:id="5626" w:name="_Toc192443191"/>
      <w:bookmarkStart w:id="5627" w:name="_Toc192424436"/>
      <w:bookmarkStart w:id="5628" w:name="_Toc192425978"/>
      <w:bookmarkStart w:id="5629" w:name="_Toc192443192"/>
      <w:bookmarkStart w:id="5630" w:name="_Toc192424437"/>
      <w:bookmarkStart w:id="5631" w:name="_Toc192425979"/>
      <w:bookmarkStart w:id="5632" w:name="_Toc192443193"/>
      <w:bookmarkStart w:id="5633" w:name="_Toc192424438"/>
      <w:bookmarkStart w:id="5634" w:name="_Toc192425980"/>
      <w:bookmarkStart w:id="5635" w:name="_Toc192443194"/>
      <w:bookmarkStart w:id="5636" w:name="_Toc192424439"/>
      <w:bookmarkStart w:id="5637" w:name="_Toc192425981"/>
      <w:bookmarkStart w:id="5638" w:name="_Toc192443195"/>
      <w:bookmarkStart w:id="5639" w:name="_Toc192424440"/>
      <w:bookmarkStart w:id="5640" w:name="_Toc192425982"/>
      <w:bookmarkStart w:id="5641" w:name="_Toc192443196"/>
      <w:bookmarkStart w:id="5642" w:name="_Toc192424441"/>
      <w:bookmarkStart w:id="5643" w:name="_Toc192425983"/>
      <w:bookmarkStart w:id="5644" w:name="_Toc192443197"/>
      <w:bookmarkStart w:id="5645" w:name="_Toc192424442"/>
      <w:bookmarkStart w:id="5646" w:name="_Toc192425984"/>
      <w:bookmarkStart w:id="5647" w:name="_Toc192443198"/>
      <w:bookmarkStart w:id="5648" w:name="_Toc192424443"/>
      <w:bookmarkStart w:id="5649" w:name="_Toc192425985"/>
      <w:bookmarkStart w:id="5650" w:name="_Toc192443199"/>
      <w:bookmarkStart w:id="5651" w:name="_Toc192424444"/>
      <w:bookmarkStart w:id="5652" w:name="_Toc192425986"/>
      <w:bookmarkStart w:id="5653" w:name="_Toc192443200"/>
      <w:bookmarkStart w:id="5654" w:name="_Toc192424445"/>
      <w:bookmarkStart w:id="5655" w:name="_Toc192425987"/>
      <w:bookmarkStart w:id="5656" w:name="_Toc192443201"/>
      <w:bookmarkStart w:id="5657" w:name="_Toc192424446"/>
      <w:bookmarkStart w:id="5658" w:name="_Toc192425988"/>
      <w:bookmarkStart w:id="5659" w:name="_Toc192443202"/>
      <w:bookmarkStart w:id="5660" w:name="_Toc192424447"/>
      <w:bookmarkStart w:id="5661" w:name="_Toc192425989"/>
      <w:bookmarkStart w:id="5662" w:name="_Toc192443203"/>
      <w:bookmarkStart w:id="5663" w:name="_Toc192424448"/>
      <w:bookmarkStart w:id="5664" w:name="_Toc192425990"/>
      <w:bookmarkStart w:id="5665" w:name="_Toc192443204"/>
      <w:bookmarkStart w:id="5666" w:name="_Toc192424449"/>
      <w:bookmarkStart w:id="5667" w:name="_Toc192425991"/>
      <w:bookmarkStart w:id="5668" w:name="_Toc192443205"/>
      <w:bookmarkStart w:id="5669" w:name="_Toc192424450"/>
      <w:bookmarkStart w:id="5670" w:name="_Toc192425992"/>
      <w:bookmarkStart w:id="5671" w:name="_Toc192443206"/>
      <w:bookmarkStart w:id="5672" w:name="_Toc192424452"/>
      <w:bookmarkStart w:id="5673" w:name="_Toc192425994"/>
      <w:bookmarkStart w:id="5674" w:name="_Toc192443208"/>
      <w:bookmarkStart w:id="5675" w:name="_Toc192424453"/>
      <w:bookmarkStart w:id="5676" w:name="_Toc192425995"/>
      <w:bookmarkStart w:id="5677" w:name="_Toc192443209"/>
      <w:bookmarkStart w:id="5678" w:name="_Toc192424454"/>
      <w:bookmarkStart w:id="5679" w:name="_Toc192425996"/>
      <w:bookmarkStart w:id="5680" w:name="_Toc192443210"/>
      <w:bookmarkStart w:id="5681" w:name="_Toc192424455"/>
      <w:bookmarkStart w:id="5682" w:name="_Toc192425997"/>
      <w:bookmarkStart w:id="5683" w:name="_Toc192443211"/>
      <w:bookmarkStart w:id="5684" w:name="_Toc192424456"/>
      <w:bookmarkStart w:id="5685" w:name="_Toc192425998"/>
      <w:bookmarkStart w:id="5686" w:name="_Toc192443212"/>
      <w:bookmarkStart w:id="5687" w:name="_Toc192424457"/>
      <w:bookmarkStart w:id="5688" w:name="_Toc192425999"/>
      <w:bookmarkStart w:id="5689" w:name="_Toc192443213"/>
      <w:bookmarkStart w:id="5690" w:name="_Toc192424459"/>
      <w:bookmarkStart w:id="5691" w:name="_Toc192426001"/>
      <w:bookmarkStart w:id="5692" w:name="_Toc192443215"/>
      <w:bookmarkStart w:id="5693" w:name="_Toc192424460"/>
      <w:bookmarkStart w:id="5694" w:name="_Toc192426002"/>
      <w:bookmarkStart w:id="5695" w:name="_Toc192443216"/>
      <w:bookmarkStart w:id="5696" w:name="_Toc192424461"/>
      <w:bookmarkStart w:id="5697" w:name="_Toc192426003"/>
      <w:bookmarkStart w:id="5698" w:name="_Toc192443217"/>
      <w:bookmarkStart w:id="5699" w:name="_Toc192424462"/>
      <w:bookmarkStart w:id="5700" w:name="_Toc192426004"/>
      <w:bookmarkStart w:id="5701" w:name="_Toc192443218"/>
      <w:bookmarkStart w:id="5702" w:name="_Toc192424463"/>
      <w:bookmarkStart w:id="5703" w:name="_Toc192426005"/>
      <w:bookmarkStart w:id="5704" w:name="_Toc192443219"/>
      <w:bookmarkStart w:id="5705" w:name="_Toc192424464"/>
      <w:bookmarkStart w:id="5706" w:name="_Toc192426006"/>
      <w:bookmarkStart w:id="5707" w:name="_Toc192443220"/>
      <w:bookmarkStart w:id="5708" w:name="_Toc192424466"/>
      <w:bookmarkStart w:id="5709" w:name="_Toc192426008"/>
      <w:bookmarkStart w:id="5710" w:name="_Toc192443222"/>
      <w:bookmarkStart w:id="5711" w:name="_Toc192424467"/>
      <w:bookmarkStart w:id="5712" w:name="_Toc192426009"/>
      <w:bookmarkStart w:id="5713" w:name="_Toc192443223"/>
      <w:bookmarkStart w:id="5714" w:name="_Toc192424468"/>
      <w:bookmarkStart w:id="5715" w:name="_Toc192426010"/>
      <w:bookmarkStart w:id="5716" w:name="_Toc192443224"/>
      <w:bookmarkStart w:id="5717" w:name="_Toc192424469"/>
      <w:bookmarkStart w:id="5718" w:name="_Toc192426011"/>
      <w:bookmarkStart w:id="5719" w:name="_Toc192443225"/>
      <w:bookmarkStart w:id="5720" w:name="_Toc192424470"/>
      <w:bookmarkStart w:id="5721" w:name="_Toc192426012"/>
      <w:bookmarkStart w:id="5722" w:name="_Toc192443226"/>
      <w:bookmarkStart w:id="5723" w:name="_Toc192424471"/>
      <w:bookmarkStart w:id="5724" w:name="_Toc192426013"/>
      <w:bookmarkStart w:id="5725" w:name="_Toc192443227"/>
      <w:bookmarkStart w:id="5726" w:name="_Toc192424473"/>
      <w:bookmarkStart w:id="5727" w:name="_Toc192426015"/>
      <w:bookmarkStart w:id="5728" w:name="_Toc192443229"/>
      <w:bookmarkStart w:id="5729" w:name="_Toc192424474"/>
      <w:bookmarkStart w:id="5730" w:name="_Toc192426016"/>
      <w:bookmarkStart w:id="5731" w:name="_Toc192443230"/>
      <w:bookmarkStart w:id="5732" w:name="_Toc192424475"/>
      <w:bookmarkStart w:id="5733" w:name="_Toc192426017"/>
      <w:bookmarkStart w:id="5734" w:name="_Toc192443231"/>
      <w:bookmarkStart w:id="5735" w:name="_Toc192424476"/>
      <w:bookmarkStart w:id="5736" w:name="_Toc192426018"/>
      <w:bookmarkStart w:id="5737" w:name="_Toc192443232"/>
      <w:bookmarkStart w:id="5738" w:name="_Toc192424477"/>
      <w:bookmarkStart w:id="5739" w:name="_Toc192426019"/>
      <w:bookmarkStart w:id="5740" w:name="_Toc192443233"/>
      <w:bookmarkStart w:id="5741" w:name="_Toc192424478"/>
      <w:bookmarkStart w:id="5742" w:name="_Toc192426020"/>
      <w:bookmarkStart w:id="5743" w:name="_Toc192443234"/>
      <w:bookmarkStart w:id="5744" w:name="_Toc192424480"/>
      <w:bookmarkStart w:id="5745" w:name="_Toc192426022"/>
      <w:bookmarkStart w:id="5746" w:name="_Toc192443236"/>
      <w:bookmarkStart w:id="5747" w:name="_Toc192424481"/>
      <w:bookmarkStart w:id="5748" w:name="_Toc192426023"/>
      <w:bookmarkStart w:id="5749" w:name="_Toc192443237"/>
      <w:bookmarkStart w:id="5750" w:name="_Toc192424482"/>
      <w:bookmarkStart w:id="5751" w:name="_Toc192426024"/>
      <w:bookmarkStart w:id="5752" w:name="_Toc192443238"/>
      <w:bookmarkStart w:id="5753" w:name="_Toc192424483"/>
      <w:bookmarkStart w:id="5754" w:name="_Toc192426025"/>
      <w:bookmarkStart w:id="5755" w:name="_Toc192443239"/>
      <w:bookmarkStart w:id="5756" w:name="_Toc192424484"/>
      <w:bookmarkStart w:id="5757" w:name="_Toc192426026"/>
      <w:bookmarkStart w:id="5758" w:name="_Toc192443240"/>
      <w:bookmarkStart w:id="5759" w:name="_Toc192424485"/>
      <w:bookmarkStart w:id="5760" w:name="_Toc192426027"/>
      <w:bookmarkStart w:id="5761" w:name="_Toc192443241"/>
      <w:bookmarkStart w:id="5762" w:name="_Toc192424487"/>
      <w:bookmarkStart w:id="5763" w:name="_Toc192426029"/>
      <w:bookmarkStart w:id="5764" w:name="_Toc192443243"/>
      <w:bookmarkStart w:id="5765" w:name="_Toc192424488"/>
      <w:bookmarkStart w:id="5766" w:name="_Toc192426030"/>
      <w:bookmarkStart w:id="5767" w:name="_Toc192443244"/>
      <w:bookmarkStart w:id="5768" w:name="_Toc192424489"/>
      <w:bookmarkStart w:id="5769" w:name="_Toc192426031"/>
      <w:bookmarkStart w:id="5770" w:name="_Toc192443245"/>
      <w:bookmarkStart w:id="5771" w:name="_Toc192424490"/>
      <w:bookmarkStart w:id="5772" w:name="_Toc192426032"/>
      <w:bookmarkStart w:id="5773" w:name="_Toc192443246"/>
      <w:bookmarkStart w:id="5774" w:name="_Toc192424491"/>
      <w:bookmarkStart w:id="5775" w:name="_Toc192426033"/>
      <w:bookmarkStart w:id="5776" w:name="_Toc192443247"/>
      <w:bookmarkStart w:id="5777" w:name="_Toc192424492"/>
      <w:bookmarkStart w:id="5778" w:name="_Toc192426034"/>
      <w:bookmarkStart w:id="5779" w:name="_Toc192443248"/>
      <w:bookmarkStart w:id="5780" w:name="_Toc192424494"/>
      <w:bookmarkStart w:id="5781" w:name="_Toc192426036"/>
      <w:bookmarkStart w:id="5782" w:name="_Toc192443250"/>
      <w:bookmarkStart w:id="5783" w:name="_Toc192424495"/>
      <w:bookmarkStart w:id="5784" w:name="_Toc192426037"/>
      <w:bookmarkStart w:id="5785" w:name="_Toc192443251"/>
      <w:bookmarkStart w:id="5786" w:name="_Toc192424496"/>
      <w:bookmarkStart w:id="5787" w:name="_Toc192426038"/>
      <w:bookmarkStart w:id="5788" w:name="_Toc192443252"/>
      <w:bookmarkStart w:id="5789" w:name="_Toc192424497"/>
      <w:bookmarkStart w:id="5790" w:name="_Toc192426039"/>
      <w:bookmarkStart w:id="5791" w:name="_Toc192443253"/>
      <w:bookmarkStart w:id="5792" w:name="_Toc192424498"/>
      <w:bookmarkStart w:id="5793" w:name="_Toc192426040"/>
      <w:bookmarkStart w:id="5794" w:name="_Toc192443254"/>
      <w:bookmarkStart w:id="5795" w:name="_Toc192424499"/>
      <w:bookmarkStart w:id="5796" w:name="_Toc192426041"/>
      <w:bookmarkStart w:id="5797" w:name="_Toc192443255"/>
      <w:bookmarkStart w:id="5798" w:name="_Toc192424500"/>
      <w:bookmarkStart w:id="5799" w:name="_Toc192426042"/>
      <w:bookmarkStart w:id="5800" w:name="_Toc192443256"/>
      <w:bookmarkStart w:id="5801" w:name="_Toc192424501"/>
      <w:bookmarkStart w:id="5802" w:name="_Toc192426043"/>
      <w:bookmarkStart w:id="5803" w:name="_Toc192443257"/>
      <w:bookmarkStart w:id="5804" w:name="_Toc192424502"/>
      <w:bookmarkStart w:id="5805" w:name="_Toc192426044"/>
      <w:bookmarkStart w:id="5806" w:name="_Toc192443258"/>
      <w:bookmarkStart w:id="5807" w:name="_Toc192424503"/>
      <w:bookmarkStart w:id="5808" w:name="_Toc192426045"/>
      <w:bookmarkStart w:id="5809" w:name="_Toc192443259"/>
      <w:bookmarkStart w:id="5810" w:name="_Toc192424505"/>
      <w:bookmarkStart w:id="5811" w:name="_Toc192426047"/>
      <w:bookmarkStart w:id="5812" w:name="_Toc192443261"/>
      <w:bookmarkStart w:id="5813" w:name="_Toc192424506"/>
      <w:bookmarkStart w:id="5814" w:name="_Toc192426048"/>
      <w:bookmarkStart w:id="5815" w:name="_Toc192443262"/>
      <w:bookmarkStart w:id="5816" w:name="_Toc192424507"/>
      <w:bookmarkStart w:id="5817" w:name="_Toc192426049"/>
      <w:bookmarkStart w:id="5818" w:name="_Toc192443263"/>
      <w:bookmarkStart w:id="5819" w:name="_Toc192424508"/>
      <w:bookmarkStart w:id="5820" w:name="_Toc192426050"/>
      <w:bookmarkStart w:id="5821" w:name="_Toc192443264"/>
      <w:bookmarkStart w:id="5822" w:name="_Toc192424509"/>
      <w:bookmarkStart w:id="5823" w:name="_Toc192426051"/>
      <w:bookmarkStart w:id="5824" w:name="_Toc192443265"/>
      <w:bookmarkStart w:id="5825" w:name="_Toc192424510"/>
      <w:bookmarkStart w:id="5826" w:name="_Toc192426052"/>
      <w:bookmarkStart w:id="5827" w:name="_Toc192443266"/>
      <w:bookmarkStart w:id="5828" w:name="_Toc192424512"/>
      <w:bookmarkStart w:id="5829" w:name="_Toc192426054"/>
      <w:bookmarkStart w:id="5830" w:name="_Toc192443268"/>
      <w:bookmarkStart w:id="5831" w:name="_Toc192424513"/>
      <w:bookmarkStart w:id="5832" w:name="_Toc192426055"/>
      <w:bookmarkStart w:id="5833" w:name="_Toc192443269"/>
      <w:bookmarkStart w:id="5834" w:name="_Toc192424514"/>
      <w:bookmarkStart w:id="5835" w:name="_Toc192426056"/>
      <w:bookmarkStart w:id="5836" w:name="_Toc192443270"/>
      <w:bookmarkStart w:id="5837" w:name="_Toc192424515"/>
      <w:bookmarkStart w:id="5838" w:name="_Toc192426057"/>
      <w:bookmarkStart w:id="5839" w:name="_Toc192443271"/>
      <w:bookmarkStart w:id="5840" w:name="_Toc192424516"/>
      <w:bookmarkStart w:id="5841" w:name="_Toc192426058"/>
      <w:bookmarkStart w:id="5842" w:name="_Toc192443272"/>
      <w:bookmarkStart w:id="5843" w:name="_Toc192424517"/>
      <w:bookmarkStart w:id="5844" w:name="_Toc192426059"/>
      <w:bookmarkStart w:id="5845" w:name="_Toc192443273"/>
      <w:bookmarkStart w:id="5846" w:name="_Toc192424519"/>
      <w:bookmarkStart w:id="5847" w:name="_Toc192426061"/>
      <w:bookmarkStart w:id="5848" w:name="_Toc192443275"/>
      <w:bookmarkStart w:id="5849" w:name="_Toc192424520"/>
      <w:bookmarkStart w:id="5850" w:name="_Toc192426062"/>
      <w:bookmarkStart w:id="5851" w:name="_Toc192443276"/>
      <w:bookmarkStart w:id="5852" w:name="_Toc192424521"/>
      <w:bookmarkStart w:id="5853" w:name="_Toc192426063"/>
      <w:bookmarkStart w:id="5854" w:name="_Toc192443277"/>
      <w:bookmarkStart w:id="5855" w:name="_Toc192424522"/>
      <w:bookmarkStart w:id="5856" w:name="_Toc192426064"/>
      <w:bookmarkStart w:id="5857" w:name="_Toc192443278"/>
      <w:bookmarkStart w:id="5858" w:name="_Toc192424523"/>
      <w:bookmarkStart w:id="5859" w:name="_Toc192426065"/>
      <w:bookmarkStart w:id="5860" w:name="_Toc192443279"/>
      <w:bookmarkStart w:id="5861" w:name="_Toc192424524"/>
      <w:bookmarkStart w:id="5862" w:name="_Toc192426066"/>
      <w:bookmarkStart w:id="5863" w:name="_Toc192443280"/>
      <w:bookmarkStart w:id="5864" w:name="_Toc192424526"/>
      <w:bookmarkStart w:id="5865" w:name="_Toc192426068"/>
      <w:bookmarkStart w:id="5866" w:name="_Toc192443282"/>
      <w:bookmarkStart w:id="5867" w:name="_Toc192424527"/>
      <w:bookmarkStart w:id="5868" w:name="_Toc192426069"/>
      <w:bookmarkStart w:id="5869" w:name="_Toc192443283"/>
      <w:bookmarkStart w:id="5870" w:name="_Toc192424528"/>
      <w:bookmarkStart w:id="5871" w:name="_Toc192426070"/>
      <w:bookmarkStart w:id="5872" w:name="_Toc192443284"/>
      <w:bookmarkStart w:id="5873" w:name="_Toc192424529"/>
      <w:bookmarkStart w:id="5874" w:name="_Toc192426071"/>
      <w:bookmarkStart w:id="5875" w:name="_Toc192443285"/>
      <w:bookmarkStart w:id="5876" w:name="_Toc192424530"/>
      <w:bookmarkStart w:id="5877" w:name="_Toc192426072"/>
      <w:bookmarkStart w:id="5878" w:name="_Toc192443286"/>
      <w:bookmarkStart w:id="5879" w:name="_Toc192424531"/>
      <w:bookmarkStart w:id="5880" w:name="_Toc192426073"/>
      <w:bookmarkStart w:id="5881" w:name="_Toc192443287"/>
      <w:bookmarkStart w:id="5882" w:name="_Toc192424533"/>
      <w:bookmarkStart w:id="5883" w:name="_Toc192426075"/>
      <w:bookmarkStart w:id="5884" w:name="_Toc192443289"/>
      <w:bookmarkStart w:id="5885" w:name="_Toc192424534"/>
      <w:bookmarkStart w:id="5886" w:name="_Toc192426076"/>
      <w:bookmarkStart w:id="5887" w:name="_Toc192443290"/>
      <w:bookmarkStart w:id="5888" w:name="_Toc192424535"/>
      <w:bookmarkStart w:id="5889" w:name="_Toc192426077"/>
      <w:bookmarkStart w:id="5890" w:name="_Toc192443291"/>
      <w:bookmarkStart w:id="5891" w:name="_Toc192424536"/>
      <w:bookmarkStart w:id="5892" w:name="_Toc192426078"/>
      <w:bookmarkStart w:id="5893" w:name="_Toc192443292"/>
      <w:bookmarkStart w:id="5894" w:name="_Toc192424537"/>
      <w:bookmarkStart w:id="5895" w:name="_Toc192426079"/>
      <w:bookmarkStart w:id="5896" w:name="_Toc192443293"/>
      <w:bookmarkStart w:id="5897" w:name="_Toc192424538"/>
      <w:bookmarkStart w:id="5898" w:name="_Toc192426080"/>
      <w:bookmarkStart w:id="5899" w:name="_Toc192443294"/>
      <w:bookmarkStart w:id="5900" w:name="_Toc192424540"/>
      <w:bookmarkStart w:id="5901" w:name="_Toc192426082"/>
      <w:bookmarkStart w:id="5902" w:name="_Toc192443296"/>
      <w:bookmarkStart w:id="5903" w:name="_Toc192424541"/>
      <w:bookmarkStart w:id="5904" w:name="_Toc192426083"/>
      <w:bookmarkStart w:id="5905" w:name="_Toc192443297"/>
      <w:bookmarkStart w:id="5906" w:name="_Toc192424542"/>
      <w:bookmarkStart w:id="5907" w:name="_Toc192426084"/>
      <w:bookmarkStart w:id="5908" w:name="_Toc192443298"/>
      <w:bookmarkStart w:id="5909" w:name="_Toc192424543"/>
      <w:bookmarkStart w:id="5910" w:name="_Toc192426085"/>
      <w:bookmarkStart w:id="5911" w:name="_Toc192443299"/>
      <w:bookmarkStart w:id="5912" w:name="_Toc192424544"/>
      <w:bookmarkStart w:id="5913" w:name="_Toc192426086"/>
      <w:bookmarkStart w:id="5914" w:name="_Toc192443300"/>
      <w:bookmarkStart w:id="5915" w:name="_Toc192424545"/>
      <w:bookmarkStart w:id="5916" w:name="_Toc192426087"/>
      <w:bookmarkStart w:id="5917" w:name="_Toc192443301"/>
      <w:bookmarkStart w:id="5918" w:name="_Toc192424547"/>
      <w:bookmarkStart w:id="5919" w:name="_Toc192426089"/>
      <w:bookmarkStart w:id="5920" w:name="_Toc192443303"/>
      <w:bookmarkStart w:id="5921" w:name="_Toc192424548"/>
      <w:bookmarkStart w:id="5922" w:name="_Toc192426090"/>
      <w:bookmarkStart w:id="5923" w:name="_Toc192443304"/>
      <w:bookmarkStart w:id="5924" w:name="_Toc192424549"/>
      <w:bookmarkStart w:id="5925" w:name="_Toc192426091"/>
      <w:bookmarkStart w:id="5926" w:name="_Toc192443305"/>
      <w:bookmarkStart w:id="5927" w:name="_Toc192424550"/>
      <w:bookmarkStart w:id="5928" w:name="_Toc192426092"/>
      <w:bookmarkStart w:id="5929" w:name="_Toc192443306"/>
      <w:bookmarkStart w:id="5930" w:name="_Toc192424551"/>
      <w:bookmarkStart w:id="5931" w:name="_Toc192426093"/>
      <w:bookmarkStart w:id="5932" w:name="_Toc192443307"/>
      <w:bookmarkStart w:id="5933" w:name="_Toc192424552"/>
      <w:bookmarkStart w:id="5934" w:name="_Toc192426094"/>
      <w:bookmarkStart w:id="5935" w:name="_Toc192443308"/>
      <w:bookmarkStart w:id="5936" w:name="_Toc192424553"/>
      <w:bookmarkStart w:id="5937" w:name="_Toc192426095"/>
      <w:bookmarkStart w:id="5938" w:name="_Toc192443309"/>
      <w:bookmarkStart w:id="5939" w:name="_Toc192424554"/>
      <w:bookmarkStart w:id="5940" w:name="_Toc192426096"/>
      <w:bookmarkStart w:id="5941" w:name="_Toc192443310"/>
      <w:bookmarkStart w:id="5942" w:name="_Toc192424555"/>
      <w:bookmarkStart w:id="5943" w:name="_Toc192426097"/>
      <w:bookmarkStart w:id="5944" w:name="_Toc192443311"/>
      <w:bookmarkStart w:id="5945" w:name="_Toc192424556"/>
      <w:bookmarkStart w:id="5946" w:name="_Toc192426098"/>
      <w:bookmarkStart w:id="5947" w:name="_Toc192443312"/>
      <w:bookmarkStart w:id="5948" w:name="_Toc192424558"/>
      <w:bookmarkStart w:id="5949" w:name="_Toc192426100"/>
      <w:bookmarkStart w:id="5950" w:name="_Toc192443314"/>
      <w:bookmarkStart w:id="5951" w:name="_Toc192424559"/>
      <w:bookmarkStart w:id="5952" w:name="_Toc192426101"/>
      <w:bookmarkStart w:id="5953" w:name="_Toc192443315"/>
      <w:bookmarkStart w:id="5954" w:name="_Toc192424560"/>
      <w:bookmarkStart w:id="5955" w:name="_Toc192426102"/>
      <w:bookmarkStart w:id="5956" w:name="_Toc192443316"/>
      <w:bookmarkStart w:id="5957" w:name="_Toc192424561"/>
      <w:bookmarkStart w:id="5958" w:name="_Toc192426103"/>
      <w:bookmarkStart w:id="5959" w:name="_Toc192443317"/>
      <w:bookmarkStart w:id="5960" w:name="_Toc192424562"/>
      <w:bookmarkStart w:id="5961" w:name="_Toc192426104"/>
      <w:bookmarkStart w:id="5962" w:name="_Toc192443318"/>
      <w:bookmarkStart w:id="5963" w:name="_Toc192424563"/>
      <w:bookmarkStart w:id="5964" w:name="_Toc192426105"/>
      <w:bookmarkStart w:id="5965" w:name="_Toc192443319"/>
      <w:bookmarkStart w:id="5966" w:name="_Toc192424565"/>
      <w:bookmarkStart w:id="5967" w:name="_Toc192426107"/>
      <w:bookmarkStart w:id="5968" w:name="_Toc192443321"/>
      <w:bookmarkStart w:id="5969" w:name="_Toc192424566"/>
      <w:bookmarkStart w:id="5970" w:name="_Toc192426108"/>
      <w:bookmarkStart w:id="5971" w:name="_Toc192443322"/>
      <w:bookmarkStart w:id="5972" w:name="_Toc192424567"/>
      <w:bookmarkStart w:id="5973" w:name="_Toc192426109"/>
      <w:bookmarkStart w:id="5974" w:name="_Toc192443323"/>
      <w:bookmarkStart w:id="5975" w:name="_Toc192424568"/>
      <w:bookmarkStart w:id="5976" w:name="_Toc192426110"/>
      <w:bookmarkStart w:id="5977" w:name="_Toc192443324"/>
      <w:bookmarkStart w:id="5978" w:name="_Toc192424569"/>
      <w:bookmarkStart w:id="5979" w:name="_Toc192426111"/>
      <w:bookmarkStart w:id="5980" w:name="_Toc192443325"/>
      <w:bookmarkStart w:id="5981" w:name="_Toc192424570"/>
      <w:bookmarkStart w:id="5982" w:name="_Toc192426112"/>
      <w:bookmarkStart w:id="5983" w:name="_Toc192443326"/>
      <w:bookmarkStart w:id="5984" w:name="_Toc192424572"/>
      <w:bookmarkStart w:id="5985" w:name="_Toc192426114"/>
      <w:bookmarkStart w:id="5986" w:name="_Toc192443328"/>
      <w:bookmarkStart w:id="5987" w:name="_Toc192424573"/>
      <w:bookmarkStart w:id="5988" w:name="_Toc192426115"/>
      <w:bookmarkStart w:id="5989" w:name="_Toc192443329"/>
      <w:bookmarkStart w:id="5990" w:name="_Toc192424574"/>
      <w:bookmarkStart w:id="5991" w:name="_Toc192426116"/>
      <w:bookmarkStart w:id="5992" w:name="_Toc192443330"/>
      <w:bookmarkStart w:id="5993" w:name="_Toc192424575"/>
      <w:bookmarkStart w:id="5994" w:name="_Toc192426117"/>
      <w:bookmarkStart w:id="5995" w:name="_Toc192443331"/>
      <w:bookmarkStart w:id="5996" w:name="_Toc192424576"/>
      <w:bookmarkStart w:id="5997" w:name="_Toc192426118"/>
      <w:bookmarkStart w:id="5998" w:name="_Toc192443332"/>
      <w:bookmarkStart w:id="5999" w:name="_Toc192424577"/>
      <w:bookmarkStart w:id="6000" w:name="_Toc192426119"/>
      <w:bookmarkStart w:id="6001" w:name="_Toc192443333"/>
      <w:bookmarkStart w:id="6002" w:name="_Toc192424579"/>
      <w:bookmarkStart w:id="6003" w:name="_Toc192426121"/>
      <w:bookmarkStart w:id="6004" w:name="_Toc192443335"/>
      <w:bookmarkStart w:id="6005" w:name="_Toc192424580"/>
      <w:bookmarkStart w:id="6006" w:name="_Toc192426122"/>
      <w:bookmarkStart w:id="6007" w:name="_Toc192443336"/>
      <w:bookmarkStart w:id="6008" w:name="_Toc192424581"/>
      <w:bookmarkStart w:id="6009" w:name="_Toc192426123"/>
      <w:bookmarkStart w:id="6010" w:name="_Toc192443337"/>
      <w:bookmarkStart w:id="6011" w:name="_Toc192424582"/>
      <w:bookmarkStart w:id="6012" w:name="_Toc192426124"/>
      <w:bookmarkStart w:id="6013" w:name="_Toc192443338"/>
      <w:bookmarkStart w:id="6014" w:name="_Toc192424583"/>
      <w:bookmarkStart w:id="6015" w:name="_Toc192426125"/>
      <w:bookmarkStart w:id="6016" w:name="_Toc192443339"/>
      <w:bookmarkStart w:id="6017" w:name="_Toc192424584"/>
      <w:bookmarkStart w:id="6018" w:name="_Toc192426126"/>
      <w:bookmarkStart w:id="6019" w:name="_Toc192443340"/>
      <w:bookmarkStart w:id="6020" w:name="_Toc192424586"/>
      <w:bookmarkStart w:id="6021" w:name="_Toc192426128"/>
      <w:bookmarkStart w:id="6022" w:name="_Toc192443342"/>
      <w:bookmarkStart w:id="6023" w:name="_Toc192424587"/>
      <w:bookmarkStart w:id="6024" w:name="_Toc192426129"/>
      <w:bookmarkStart w:id="6025" w:name="_Toc192443343"/>
      <w:bookmarkStart w:id="6026" w:name="_Toc192424588"/>
      <w:bookmarkStart w:id="6027" w:name="_Toc192426130"/>
      <w:bookmarkStart w:id="6028" w:name="_Toc192443344"/>
      <w:bookmarkStart w:id="6029" w:name="_Toc192424589"/>
      <w:bookmarkStart w:id="6030" w:name="_Toc192426131"/>
      <w:bookmarkStart w:id="6031" w:name="_Toc192443345"/>
      <w:bookmarkStart w:id="6032" w:name="_Toc192424590"/>
      <w:bookmarkStart w:id="6033" w:name="_Toc192426132"/>
      <w:bookmarkStart w:id="6034" w:name="_Toc192443346"/>
      <w:bookmarkStart w:id="6035" w:name="_Toc192424591"/>
      <w:bookmarkStart w:id="6036" w:name="_Toc192426133"/>
      <w:bookmarkStart w:id="6037" w:name="_Toc192443347"/>
      <w:bookmarkStart w:id="6038" w:name="_Toc192424593"/>
      <w:bookmarkStart w:id="6039" w:name="_Toc192426135"/>
      <w:bookmarkStart w:id="6040" w:name="_Toc192443349"/>
      <w:bookmarkStart w:id="6041" w:name="_Toc192424594"/>
      <w:bookmarkStart w:id="6042" w:name="_Toc192426136"/>
      <w:bookmarkStart w:id="6043" w:name="_Toc192443350"/>
      <w:bookmarkStart w:id="6044" w:name="_Toc192424595"/>
      <w:bookmarkStart w:id="6045" w:name="_Toc192426137"/>
      <w:bookmarkStart w:id="6046" w:name="_Toc192443351"/>
      <w:bookmarkStart w:id="6047" w:name="_Toc192424596"/>
      <w:bookmarkStart w:id="6048" w:name="_Toc192426138"/>
      <w:bookmarkStart w:id="6049" w:name="_Toc192443352"/>
      <w:bookmarkStart w:id="6050" w:name="_Toc192424597"/>
      <w:bookmarkStart w:id="6051" w:name="_Toc192426139"/>
      <w:bookmarkStart w:id="6052" w:name="_Toc192443353"/>
      <w:bookmarkStart w:id="6053" w:name="_Toc192424598"/>
      <w:bookmarkStart w:id="6054" w:name="_Toc192426140"/>
      <w:bookmarkStart w:id="6055" w:name="_Toc192443354"/>
      <w:bookmarkStart w:id="6056" w:name="_Toc192424600"/>
      <w:bookmarkStart w:id="6057" w:name="_Toc192426142"/>
      <w:bookmarkStart w:id="6058" w:name="_Toc192443356"/>
      <w:bookmarkStart w:id="6059" w:name="_Toc192424601"/>
      <w:bookmarkStart w:id="6060" w:name="_Toc192426143"/>
      <w:bookmarkStart w:id="6061" w:name="_Toc192443357"/>
      <w:bookmarkStart w:id="6062" w:name="_Toc192424602"/>
      <w:bookmarkStart w:id="6063" w:name="_Toc192426144"/>
      <w:bookmarkStart w:id="6064" w:name="_Toc192443358"/>
      <w:bookmarkStart w:id="6065" w:name="_Toc192424603"/>
      <w:bookmarkStart w:id="6066" w:name="_Toc192426145"/>
      <w:bookmarkStart w:id="6067" w:name="_Toc192443359"/>
      <w:bookmarkStart w:id="6068" w:name="_Toc192424604"/>
      <w:bookmarkStart w:id="6069" w:name="_Toc192426146"/>
      <w:bookmarkStart w:id="6070" w:name="_Toc192443360"/>
      <w:bookmarkStart w:id="6071" w:name="_Toc192424605"/>
      <w:bookmarkStart w:id="6072" w:name="_Toc192426147"/>
      <w:bookmarkStart w:id="6073" w:name="_Toc192443361"/>
      <w:bookmarkStart w:id="6074" w:name="_Toc192424606"/>
      <w:bookmarkStart w:id="6075" w:name="_Toc192426148"/>
      <w:bookmarkStart w:id="6076" w:name="_Toc192443362"/>
      <w:bookmarkStart w:id="6077" w:name="_Toc192424607"/>
      <w:bookmarkStart w:id="6078" w:name="_Toc192426149"/>
      <w:bookmarkStart w:id="6079" w:name="_Toc192443363"/>
      <w:bookmarkStart w:id="6080" w:name="_Toc192424608"/>
      <w:bookmarkStart w:id="6081" w:name="_Toc192426150"/>
      <w:bookmarkStart w:id="6082" w:name="_Toc192443364"/>
      <w:bookmarkStart w:id="6083" w:name="_Toc192424609"/>
      <w:bookmarkStart w:id="6084" w:name="_Toc192426151"/>
      <w:bookmarkStart w:id="6085" w:name="_Toc192443365"/>
      <w:bookmarkStart w:id="6086" w:name="_Toc192424611"/>
      <w:bookmarkStart w:id="6087" w:name="_Toc192426153"/>
      <w:bookmarkStart w:id="6088" w:name="_Toc192443367"/>
      <w:bookmarkStart w:id="6089" w:name="_Toc192424612"/>
      <w:bookmarkStart w:id="6090" w:name="_Toc192426154"/>
      <w:bookmarkStart w:id="6091" w:name="_Toc192443368"/>
      <w:bookmarkStart w:id="6092" w:name="_Toc192424613"/>
      <w:bookmarkStart w:id="6093" w:name="_Toc192426155"/>
      <w:bookmarkStart w:id="6094" w:name="_Toc192443369"/>
      <w:bookmarkStart w:id="6095" w:name="_Toc192424614"/>
      <w:bookmarkStart w:id="6096" w:name="_Toc192426156"/>
      <w:bookmarkStart w:id="6097" w:name="_Toc192443370"/>
      <w:bookmarkStart w:id="6098" w:name="_Toc192424615"/>
      <w:bookmarkStart w:id="6099" w:name="_Toc192426157"/>
      <w:bookmarkStart w:id="6100" w:name="_Toc192443371"/>
      <w:bookmarkStart w:id="6101" w:name="_Toc192424616"/>
      <w:bookmarkStart w:id="6102" w:name="_Toc192426158"/>
      <w:bookmarkStart w:id="6103" w:name="_Toc192443372"/>
      <w:bookmarkStart w:id="6104" w:name="_Toc192424618"/>
      <w:bookmarkStart w:id="6105" w:name="_Toc192426160"/>
      <w:bookmarkStart w:id="6106" w:name="_Toc192443374"/>
      <w:bookmarkStart w:id="6107" w:name="_Toc192424619"/>
      <w:bookmarkStart w:id="6108" w:name="_Toc192426161"/>
      <w:bookmarkStart w:id="6109" w:name="_Toc192443375"/>
      <w:bookmarkStart w:id="6110" w:name="_Toc192424620"/>
      <w:bookmarkStart w:id="6111" w:name="_Toc192426162"/>
      <w:bookmarkStart w:id="6112" w:name="_Toc192443376"/>
      <w:bookmarkStart w:id="6113" w:name="_Toc192424621"/>
      <w:bookmarkStart w:id="6114" w:name="_Toc192426163"/>
      <w:bookmarkStart w:id="6115" w:name="_Toc192443377"/>
      <w:bookmarkStart w:id="6116" w:name="_Toc192424622"/>
      <w:bookmarkStart w:id="6117" w:name="_Toc192426164"/>
      <w:bookmarkStart w:id="6118" w:name="_Toc192443378"/>
      <w:bookmarkStart w:id="6119" w:name="_Toc192424623"/>
      <w:bookmarkStart w:id="6120" w:name="_Toc192426165"/>
      <w:bookmarkStart w:id="6121" w:name="_Toc192443379"/>
      <w:bookmarkStart w:id="6122" w:name="_Toc192424625"/>
      <w:bookmarkStart w:id="6123" w:name="_Toc192426167"/>
      <w:bookmarkStart w:id="6124" w:name="_Toc192443381"/>
      <w:bookmarkStart w:id="6125" w:name="_Toc192424626"/>
      <w:bookmarkStart w:id="6126" w:name="_Toc192426168"/>
      <w:bookmarkStart w:id="6127" w:name="_Toc192443382"/>
      <w:bookmarkStart w:id="6128" w:name="_Toc192424627"/>
      <w:bookmarkStart w:id="6129" w:name="_Toc192426169"/>
      <w:bookmarkStart w:id="6130" w:name="_Toc192443383"/>
      <w:bookmarkStart w:id="6131" w:name="_Toc192424628"/>
      <w:bookmarkStart w:id="6132" w:name="_Toc192426170"/>
      <w:bookmarkStart w:id="6133" w:name="_Toc192443384"/>
      <w:bookmarkStart w:id="6134" w:name="_Toc192424629"/>
      <w:bookmarkStart w:id="6135" w:name="_Toc192426171"/>
      <w:bookmarkStart w:id="6136" w:name="_Toc192443385"/>
      <w:bookmarkStart w:id="6137" w:name="_Toc192424630"/>
      <w:bookmarkStart w:id="6138" w:name="_Toc192426172"/>
      <w:bookmarkStart w:id="6139" w:name="_Toc192443386"/>
      <w:bookmarkStart w:id="6140" w:name="_Toc192424632"/>
      <w:bookmarkStart w:id="6141" w:name="_Toc192426174"/>
      <w:bookmarkStart w:id="6142" w:name="_Toc192443388"/>
      <w:bookmarkStart w:id="6143" w:name="_Toc192424633"/>
      <w:bookmarkStart w:id="6144" w:name="_Toc192426175"/>
      <w:bookmarkStart w:id="6145" w:name="_Toc192443389"/>
      <w:bookmarkStart w:id="6146" w:name="_Toc192424634"/>
      <w:bookmarkStart w:id="6147" w:name="_Toc192426176"/>
      <w:bookmarkStart w:id="6148" w:name="_Toc192443390"/>
      <w:bookmarkStart w:id="6149" w:name="_Toc192424635"/>
      <w:bookmarkStart w:id="6150" w:name="_Toc192426177"/>
      <w:bookmarkStart w:id="6151" w:name="_Toc192443391"/>
      <w:bookmarkStart w:id="6152" w:name="_Toc192424636"/>
      <w:bookmarkStart w:id="6153" w:name="_Toc192426178"/>
      <w:bookmarkStart w:id="6154" w:name="_Toc192443392"/>
      <w:bookmarkStart w:id="6155" w:name="_Toc192424637"/>
      <w:bookmarkStart w:id="6156" w:name="_Toc192426179"/>
      <w:bookmarkStart w:id="6157" w:name="_Toc192443393"/>
      <w:bookmarkStart w:id="6158" w:name="_Toc192424639"/>
      <w:bookmarkStart w:id="6159" w:name="_Toc192426181"/>
      <w:bookmarkStart w:id="6160" w:name="_Toc192443395"/>
      <w:bookmarkStart w:id="6161" w:name="_Toc192424640"/>
      <w:bookmarkStart w:id="6162" w:name="_Toc192426182"/>
      <w:bookmarkStart w:id="6163" w:name="_Toc192443396"/>
      <w:bookmarkStart w:id="6164" w:name="_Toc192424641"/>
      <w:bookmarkStart w:id="6165" w:name="_Toc192426183"/>
      <w:bookmarkStart w:id="6166" w:name="_Toc192443397"/>
      <w:bookmarkStart w:id="6167" w:name="_Toc192424642"/>
      <w:bookmarkStart w:id="6168" w:name="_Toc192426184"/>
      <w:bookmarkStart w:id="6169" w:name="_Toc192443398"/>
      <w:bookmarkStart w:id="6170" w:name="_Toc192424643"/>
      <w:bookmarkStart w:id="6171" w:name="_Toc192426185"/>
      <w:bookmarkStart w:id="6172" w:name="_Toc192443399"/>
      <w:bookmarkStart w:id="6173" w:name="_Toc192424644"/>
      <w:bookmarkStart w:id="6174" w:name="_Toc192426186"/>
      <w:bookmarkStart w:id="6175" w:name="_Toc192443400"/>
      <w:bookmarkStart w:id="6176" w:name="_Toc192424646"/>
      <w:bookmarkStart w:id="6177" w:name="_Toc192426188"/>
      <w:bookmarkStart w:id="6178" w:name="_Toc192443402"/>
      <w:bookmarkStart w:id="6179" w:name="_Toc192424647"/>
      <w:bookmarkStart w:id="6180" w:name="_Toc192426189"/>
      <w:bookmarkStart w:id="6181" w:name="_Toc192443403"/>
      <w:bookmarkStart w:id="6182" w:name="_Toc192424648"/>
      <w:bookmarkStart w:id="6183" w:name="_Toc192426190"/>
      <w:bookmarkStart w:id="6184" w:name="_Toc192443404"/>
      <w:bookmarkStart w:id="6185" w:name="_Toc192424649"/>
      <w:bookmarkStart w:id="6186" w:name="_Toc192426191"/>
      <w:bookmarkStart w:id="6187" w:name="_Toc192443405"/>
      <w:bookmarkStart w:id="6188" w:name="_Toc192424650"/>
      <w:bookmarkStart w:id="6189" w:name="_Toc192426192"/>
      <w:bookmarkStart w:id="6190" w:name="_Toc192443406"/>
      <w:bookmarkStart w:id="6191" w:name="_Toc192424651"/>
      <w:bookmarkStart w:id="6192" w:name="_Toc192426193"/>
      <w:bookmarkStart w:id="6193" w:name="_Toc192443407"/>
      <w:bookmarkStart w:id="6194" w:name="_Toc192424653"/>
      <w:bookmarkStart w:id="6195" w:name="_Toc192426195"/>
      <w:bookmarkStart w:id="6196" w:name="_Toc192443409"/>
      <w:bookmarkStart w:id="6197" w:name="_Toc192424654"/>
      <w:bookmarkStart w:id="6198" w:name="_Toc192426196"/>
      <w:bookmarkStart w:id="6199" w:name="_Toc192443410"/>
      <w:bookmarkStart w:id="6200" w:name="_Toc192424655"/>
      <w:bookmarkStart w:id="6201" w:name="_Toc192426197"/>
      <w:bookmarkStart w:id="6202" w:name="_Toc192443411"/>
      <w:bookmarkStart w:id="6203" w:name="_Toc192424656"/>
      <w:bookmarkStart w:id="6204" w:name="_Toc192426198"/>
      <w:bookmarkStart w:id="6205" w:name="_Toc192443412"/>
      <w:bookmarkStart w:id="6206" w:name="_Toc192424657"/>
      <w:bookmarkStart w:id="6207" w:name="_Toc192426199"/>
      <w:bookmarkStart w:id="6208" w:name="_Toc192443413"/>
      <w:bookmarkStart w:id="6209" w:name="_Toc192424658"/>
      <w:bookmarkStart w:id="6210" w:name="_Toc192426200"/>
      <w:bookmarkStart w:id="6211" w:name="_Toc192443414"/>
      <w:bookmarkStart w:id="6212" w:name="_Toc192424659"/>
      <w:bookmarkStart w:id="6213" w:name="_Toc192426201"/>
      <w:bookmarkStart w:id="6214" w:name="_Toc192443415"/>
      <w:bookmarkStart w:id="6215" w:name="_Toc192424660"/>
      <w:bookmarkStart w:id="6216" w:name="_Toc192426202"/>
      <w:bookmarkStart w:id="6217" w:name="_Toc192443416"/>
      <w:bookmarkStart w:id="6218" w:name="_Toc192424662"/>
      <w:bookmarkStart w:id="6219" w:name="_Toc192426204"/>
      <w:bookmarkStart w:id="6220" w:name="_Toc192443418"/>
      <w:bookmarkStart w:id="6221" w:name="_Toc192424663"/>
      <w:bookmarkStart w:id="6222" w:name="_Toc192426205"/>
      <w:bookmarkStart w:id="6223" w:name="_Toc192443419"/>
      <w:bookmarkStart w:id="6224" w:name="_Toc192424664"/>
      <w:bookmarkStart w:id="6225" w:name="_Toc192426206"/>
      <w:bookmarkStart w:id="6226" w:name="_Toc192443420"/>
      <w:bookmarkStart w:id="6227" w:name="_Toc192424665"/>
      <w:bookmarkStart w:id="6228" w:name="_Toc192426207"/>
      <w:bookmarkStart w:id="6229" w:name="_Toc192443421"/>
      <w:bookmarkStart w:id="6230" w:name="_Toc192424666"/>
      <w:bookmarkStart w:id="6231" w:name="_Toc192426208"/>
      <w:bookmarkStart w:id="6232" w:name="_Toc192443422"/>
      <w:bookmarkStart w:id="6233" w:name="_Toc192424667"/>
      <w:bookmarkStart w:id="6234" w:name="_Toc192426209"/>
      <w:bookmarkStart w:id="6235" w:name="_Toc192443423"/>
      <w:bookmarkStart w:id="6236" w:name="_Toc192424669"/>
      <w:bookmarkStart w:id="6237" w:name="_Toc192426211"/>
      <w:bookmarkStart w:id="6238" w:name="_Toc192443425"/>
      <w:bookmarkStart w:id="6239" w:name="_Toc192424670"/>
      <w:bookmarkStart w:id="6240" w:name="_Toc192426212"/>
      <w:bookmarkStart w:id="6241" w:name="_Toc192443426"/>
      <w:bookmarkStart w:id="6242" w:name="_Toc192424671"/>
      <w:bookmarkStart w:id="6243" w:name="_Toc192426213"/>
      <w:bookmarkStart w:id="6244" w:name="_Toc192443427"/>
      <w:bookmarkStart w:id="6245" w:name="_Toc192424672"/>
      <w:bookmarkStart w:id="6246" w:name="_Toc192426214"/>
      <w:bookmarkStart w:id="6247" w:name="_Toc192443428"/>
      <w:bookmarkStart w:id="6248" w:name="_Toc192424673"/>
      <w:bookmarkStart w:id="6249" w:name="_Toc192426215"/>
      <w:bookmarkStart w:id="6250" w:name="_Toc192443429"/>
      <w:bookmarkStart w:id="6251" w:name="_Toc192424674"/>
      <w:bookmarkStart w:id="6252" w:name="_Toc192426216"/>
      <w:bookmarkStart w:id="6253" w:name="_Toc192443430"/>
      <w:bookmarkStart w:id="6254" w:name="_Toc192424676"/>
      <w:bookmarkStart w:id="6255" w:name="_Toc192426218"/>
      <w:bookmarkStart w:id="6256" w:name="_Toc192443432"/>
      <w:bookmarkStart w:id="6257" w:name="_Toc192424677"/>
      <w:bookmarkStart w:id="6258" w:name="_Toc192426219"/>
      <w:bookmarkStart w:id="6259" w:name="_Toc192443433"/>
      <w:bookmarkStart w:id="6260" w:name="_Toc192424678"/>
      <w:bookmarkStart w:id="6261" w:name="_Toc192426220"/>
      <w:bookmarkStart w:id="6262" w:name="_Toc192443434"/>
      <w:bookmarkStart w:id="6263" w:name="_Toc192424679"/>
      <w:bookmarkStart w:id="6264" w:name="_Toc192426221"/>
      <w:bookmarkStart w:id="6265" w:name="_Toc192443435"/>
      <w:bookmarkStart w:id="6266" w:name="_Toc192424680"/>
      <w:bookmarkStart w:id="6267" w:name="_Toc192426222"/>
      <w:bookmarkStart w:id="6268" w:name="_Toc192443436"/>
      <w:bookmarkStart w:id="6269" w:name="_Toc192424681"/>
      <w:bookmarkStart w:id="6270" w:name="_Toc192426223"/>
      <w:bookmarkStart w:id="6271" w:name="_Toc192443437"/>
      <w:bookmarkStart w:id="6272" w:name="_Toc192424683"/>
      <w:bookmarkStart w:id="6273" w:name="_Toc192426225"/>
      <w:bookmarkStart w:id="6274" w:name="_Toc192443439"/>
      <w:bookmarkStart w:id="6275" w:name="_Toc192424684"/>
      <w:bookmarkStart w:id="6276" w:name="_Toc192426226"/>
      <w:bookmarkStart w:id="6277" w:name="_Toc192443440"/>
      <w:bookmarkStart w:id="6278" w:name="_Toc192424685"/>
      <w:bookmarkStart w:id="6279" w:name="_Toc192426227"/>
      <w:bookmarkStart w:id="6280" w:name="_Toc192443441"/>
      <w:bookmarkStart w:id="6281" w:name="_Toc192424686"/>
      <w:bookmarkStart w:id="6282" w:name="_Toc192426228"/>
      <w:bookmarkStart w:id="6283" w:name="_Toc192443442"/>
      <w:bookmarkStart w:id="6284" w:name="_Toc192424687"/>
      <w:bookmarkStart w:id="6285" w:name="_Toc192426229"/>
      <w:bookmarkStart w:id="6286" w:name="_Toc192443443"/>
      <w:bookmarkStart w:id="6287" w:name="_Toc192424688"/>
      <w:bookmarkStart w:id="6288" w:name="_Toc192426230"/>
      <w:bookmarkStart w:id="6289" w:name="_Toc192443444"/>
      <w:bookmarkStart w:id="6290" w:name="_Toc192424690"/>
      <w:bookmarkStart w:id="6291" w:name="_Toc192426232"/>
      <w:bookmarkStart w:id="6292" w:name="_Toc192443446"/>
      <w:bookmarkStart w:id="6293" w:name="_Toc192424691"/>
      <w:bookmarkStart w:id="6294" w:name="_Toc192426233"/>
      <w:bookmarkStart w:id="6295" w:name="_Toc192443447"/>
      <w:bookmarkStart w:id="6296" w:name="_Toc192424692"/>
      <w:bookmarkStart w:id="6297" w:name="_Toc192426234"/>
      <w:bookmarkStart w:id="6298" w:name="_Toc192443448"/>
      <w:bookmarkStart w:id="6299" w:name="_Toc192424693"/>
      <w:bookmarkStart w:id="6300" w:name="_Toc192426235"/>
      <w:bookmarkStart w:id="6301" w:name="_Toc192443449"/>
      <w:bookmarkStart w:id="6302" w:name="_Toc192424694"/>
      <w:bookmarkStart w:id="6303" w:name="_Toc192426236"/>
      <w:bookmarkStart w:id="6304" w:name="_Toc192443450"/>
      <w:bookmarkStart w:id="6305" w:name="_Toc192424695"/>
      <w:bookmarkStart w:id="6306" w:name="_Toc192426237"/>
      <w:bookmarkStart w:id="6307" w:name="_Toc192443451"/>
      <w:bookmarkStart w:id="6308" w:name="_Toc192424697"/>
      <w:bookmarkStart w:id="6309" w:name="_Toc192426239"/>
      <w:bookmarkStart w:id="6310" w:name="_Toc192443453"/>
      <w:bookmarkStart w:id="6311" w:name="_Toc192424698"/>
      <w:bookmarkStart w:id="6312" w:name="_Toc192426240"/>
      <w:bookmarkStart w:id="6313" w:name="_Toc192443454"/>
      <w:bookmarkStart w:id="6314" w:name="_Toc192424699"/>
      <w:bookmarkStart w:id="6315" w:name="_Toc192426241"/>
      <w:bookmarkStart w:id="6316" w:name="_Toc192443455"/>
      <w:bookmarkStart w:id="6317" w:name="_Toc192424700"/>
      <w:bookmarkStart w:id="6318" w:name="_Toc192426242"/>
      <w:bookmarkStart w:id="6319" w:name="_Toc192443456"/>
      <w:bookmarkStart w:id="6320" w:name="_Toc192424701"/>
      <w:bookmarkStart w:id="6321" w:name="_Toc192426243"/>
      <w:bookmarkStart w:id="6322" w:name="_Toc192443457"/>
      <w:bookmarkStart w:id="6323" w:name="_Toc192424702"/>
      <w:bookmarkStart w:id="6324" w:name="_Toc192426244"/>
      <w:bookmarkStart w:id="6325" w:name="_Toc192443458"/>
      <w:bookmarkStart w:id="6326" w:name="_Toc192424704"/>
      <w:bookmarkStart w:id="6327" w:name="_Toc192426246"/>
      <w:bookmarkStart w:id="6328" w:name="_Toc192443460"/>
      <w:bookmarkStart w:id="6329" w:name="_Toc192424705"/>
      <w:bookmarkStart w:id="6330" w:name="_Toc192426247"/>
      <w:bookmarkStart w:id="6331" w:name="_Toc192443461"/>
      <w:bookmarkStart w:id="6332" w:name="_Toc192424706"/>
      <w:bookmarkStart w:id="6333" w:name="_Toc192426248"/>
      <w:bookmarkStart w:id="6334" w:name="_Toc192443462"/>
      <w:bookmarkStart w:id="6335" w:name="_Toc192424707"/>
      <w:bookmarkStart w:id="6336" w:name="_Toc192426249"/>
      <w:bookmarkStart w:id="6337" w:name="_Toc192443463"/>
      <w:bookmarkStart w:id="6338" w:name="_Toc192424708"/>
      <w:bookmarkStart w:id="6339" w:name="_Toc192426250"/>
      <w:bookmarkStart w:id="6340" w:name="_Toc192443464"/>
      <w:bookmarkStart w:id="6341" w:name="_Toc192424709"/>
      <w:bookmarkStart w:id="6342" w:name="_Toc192426251"/>
      <w:bookmarkStart w:id="6343" w:name="_Toc192443465"/>
      <w:bookmarkStart w:id="6344" w:name="_Toc192424710"/>
      <w:bookmarkStart w:id="6345" w:name="_Toc192426252"/>
      <w:bookmarkStart w:id="6346" w:name="_Toc192443466"/>
      <w:bookmarkStart w:id="6347" w:name="_Toc192424711"/>
      <w:bookmarkStart w:id="6348" w:name="_Toc192426253"/>
      <w:bookmarkStart w:id="6349" w:name="_Toc192443467"/>
      <w:bookmarkStart w:id="6350" w:name="_Toc192424712"/>
      <w:bookmarkStart w:id="6351" w:name="_Toc192426254"/>
      <w:bookmarkStart w:id="6352" w:name="_Toc192443468"/>
      <w:bookmarkStart w:id="6353" w:name="_Toc192424714"/>
      <w:bookmarkStart w:id="6354" w:name="_Toc192426256"/>
      <w:bookmarkStart w:id="6355" w:name="_Toc192443470"/>
      <w:bookmarkStart w:id="6356" w:name="_Toc192424715"/>
      <w:bookmarkStart w:id="6357" w:name="_Toc192426257"/>
      <w:bookmarkStart w:id="6358" w:name="_Toc192443471"/>
      <w:bookmarkStart w:id="6359" w:name="_Toc192424716"/>
      <w:bookmarkStart w:id="6360" w:name="_Toc192426258"/>
      <w:bookmarkStart w:id="6361" w:name="_Toc192443472"/>
      <w:bookmarkStart w:id="6362" w:name="_Toc192424717"/>
      <w:bookmarkStart w:id="6363" w:name="_Toc192426259"/>
      <w:bookmarkStart w:id="6364" w:name="_Toc192443473"/>
      <w:bookmarkStart w:id="6365" w:name="_Toc192424718"/>
      <w:bookmarkStart w:id="6366" w:name="_Toc192426260"/>
      <w:bookmarkStart w:id="6367" w:name="_Toc192443474"/>
      <w:bookmarkStart w:id="6368" w:name="_Toc192424719"/>
      <w:bookmarkStart w:id="6369" w:name="_Toc192426261"/>
      <w:bookmarkStart w:id="6370" w:name="_Toc192443475"/>
      <w:bookmarkStart w:id="6371" w:name="_Toc192424721"/>
      <w:bookmarkStart w:id="6372" w:name="_Toc192426263"/>
      <w:bookmarkStart w:id="6373" w:name="_Toc192443477"/>
      <w:bookmarkStart w:id="6374" w:name="_Toc192424722"/>
      <w:bookmarkStart w:id="6375" w:name="_Toc192426264"/>
      <w:bookmarkStart w:id="6376" w:name="_Toc192443478"/>
      <w:bookmarkStart w:id="6377" w:name="_Toc192424723"/>
      <w:bookmarkStart w:id="6378" w:name="_Toc192426265"/>
      <w:bookmarkStart w:id="6379" w:name="_Toc192443479"/>
      <w:bookmarkStart w:id="6380" w:name="_Toc192424724"/>
      <w:bookmarkStart w:id="6381" w:name="_Toc192426266"/>
      <w:bookmarkStart w:id="6382" w:name="_Toc192443480"/>
      <w:bookmarkStart w:id="6383" w:name="_Toc192424725"/>
      <w:bookmarkStart w:id="6384" w:name="_Toc192426267"/>
      <w:bookmarkStart w:id="6385" w:name="_Toc192443481"/>
      <w:bookmarkStart w:id="6386" w:name="_Toc192424726"/>
      <w:bookmarkStart w:id="6387" w:name="_Toc192426268"/>
      <w:bookmarkStart w:id="6388" w:name="_Toc192443482"/>
      <w:bookmarkStart w:id="6389" w:name="_Toc192424728"/>
      <w:bookmarkStart w:id="6390" w:name="_Toc192426270"/>
      <w:bookmarkStart w:id="6391" w:name="_Toc192443484"/>
      <w:bookmarkStart w:id="6392" w:name="_Toc192424729"/>
      <w:bookmarkStart w:id="6393" w:name="_Toc192426271"/>
      <w:bookmarkStart w:id="6394" w:name="_Toc192443485"/>
      <w:bookmarkStart w:id="6395" w:name="_Toc192424730"/>
      <w:bookmarkStart w:id="6396" w:name="_Toc192426272"/>
      <w:bookmarkStart w:id="6397" w:name="_Toc192443486"/>
      <w:bookmarkStart w:id="6398" w:name="_Toc192424731"/>
      <w:bookmarkStart w:id="6399" w:name="_Toc192426273"/>
      <w:bookmarkStart w:id="6400" w:name="_Toc192443487"/>
      <w:bookmarkStart w:id="6401" w:name="_Toc192424732"/>
      <w:bookmarkStart w:id="6402" w:name="_Toc192426274"/>
      <w:bookmarkStart w:id="6403" w:name="_Toc192443488"/>
      <w:bookmarkStart w:id="6404" w:name="_Toc192424733"/>
      <w:bookmarkStart w:id="6405" w:name="_Toc192426275"/>
      <w:bookmarkStart w:id="6406" w:name="_Toc192443489"/>
      <w:bookmarkStart w:id="6407" w:name="_Toc192424735"/>
      <w:bookmarkStart w:id="6408" w:name="_Toc192426277"/>
      <w:bookmarkStart w:id="6409" w:name="_Toc192443491"/>
      <w:bookmarkStart w:id="6410" w:name="_Toc192424736"/>
      <w:bookmarkStart w:id="6411" w:name="_Toc192426278"/>
      <w:bookmarkStart w:id="6412" w:name="_Toc192443492"/>
      <w:bookmarkStart w:id="6413" w:name="_Toc192424737"/>
      <w:bookmarkStart w:id="6414" w:name="_Toc192426279"/>
      <w:bookmarkStart w:id="6415" w:name="_Toc192443493"/>
      <w:bookmarkStart w:id="6416" w:name="_Toc192424738"/>
      <w:bookmarkStart w:id="6417" w:name="_Toc192426280"/>
      <w:bookmarkStart w:id="6418" w:name="_Toc192443494"/>
      <w:bookmarkStart w:id="6419" w:name="_Toc192424739"/>
      <w:bookmarkStart w:id="6420" w:name="_Toc192426281"/>
      <w:bookmarkStart w:id="6421" w:name="_Toc192443495"/>
      <w:bookmarkStart w:id="6422" w:name="_Toc192424740"/>
      <w:bookmarkStart w:id="6423" w:name="_Toc192426282"/>
      <w:bookmarkStart w:id="6424" w:name="_Toc192443496"/>
      <w:bookmarkStart w:id="6425" w:name="_Toc192424742"/>
      <w:bookmarkStart w:id="6426" w:name="_Toc192426284"/>
      <w:bookmarkStart w:id="6427" w:name="_Toc192443498"/>
      <w:bookmarkStart w:id="6428" w:name="_Toc192424743"/>
      <w:bookmarkStart w:id="6429" w:name="_Toc192426285"/>
      <w:bookmarkStart w:id="6430" w:name="_Toc192443499"/>
      <w:bookmarkStart w:id="6431" w:name="_Toc192424744"/>
      <w:bookmarkStart w:id="6432" w:name="_Toc192426286"/>
      <w:bookmarkStart w:id="6433" w:name="_Toc192443500"/>
      <w:bookmarkStart w:id="6434" w:name="_Toc192424745"/>
      <w:bookmarkStart w:id="6435" w:name="_Toc192426287"/>
      <w:bookmarkStart w:id="6436" w:name="_Toc192443501"/>
      <w:bookmarkStart w:id="6437" w:name="_Toc192424746"/>
      <w:bookmarkStart w:id="6438" w:name="_Toc192426288"/>
      <w:bookmarkStart w:id="6439" w:name="_Toc192443502"/>
      <w:bookmarkStart w:id="6440" w:name="_Toc192424747"/>
      <w:bookmarkStart w:id="6441" w:name="_Toc192426289"/>
      <w:bookmarkStart w:id="6442" w:name="_Toc192443503"/>
      <w:bookmarkStart w:id="6443" w:name="_Toc192424749"/>
      <w:bookmarkStart w:id="6444" w:name="_Toc192426291"/>
      <w:bookmarkStart w:id="6445" w:name="_Toc192443505"/>
      <w:bookmarkStart w:id="6446" w:name="_Toc192424750"/>
      <w:bookmarkStart w:id="6447" w:name="_Toc192426292"/>
      <w:bookmarkStart w:id="6448" w:name="_Toc192443506"/>
      <w:bookmarkStart w:id="6449" w:name="_Toc192424751"/>
      <w:bookmarkStart w:id="6450" w:name="_Toc192426293"/>
      <w:bookmarkStart w:id="6451" w:name="_Toc192443507"/>
      <w:bookmarkStart w:id="6452" w:name="_Toc192424752"/>
      <w:bookmarkStart w:id="6453" w:name="_Toc192426294"/>
      <w:bookmarkStart w:id="6454" w:name="_Toc192443508"/>
      <w:bookmarkStart w:id="6455" w:name="_Toc192424753"/>
      <w:bookmarkStart w:id="6456" w:name="_Toc192426295"/>
      <w:bookmarkStart w:id="6457" w:name="_Toc192443509"/>
      <w:bookmarkStart w:id="6458" w:name="_Toc192424754"/>
      <w:bookmarkStart w:id="6459" w:name="_Toc192426296"/>
      <w:bookmarkStart w:id="6460" w:name="_Toc192443510"/>
      <w:bookmarkStart w:id="6461" w:name="_Toc192424756"/>
      <w:bookmarkStart w:id="6462" w:name="_Toc192426298"/>
      <w:bookmarkStart w:id="6463" w:name="_Toc192443512"/>
      <w:bookmarkStart w:id="6464" w:name="_Toc192424757"/>
      <w:bookmarkStart w:id="6465" w:name="_Toc192426299"/>
      <w:bookmarkStart w:id="6466" w:name="_Toc192443513"/>
      <w:bookmarkStart w:id="6467" w:name="_Toc192424758"/>
      <w:bookmarkStart w:id="6468" w:name="_Toc192426300"/>
      <w:bookmarkStart w:id="6469" w:name="_Toc192443514"/>
      <w:bookmarkStart w:id="6470" w:name="_Toc192424759"/>
      <w:bookmarkStart w:id="6471" w:name="_Toc192426301"/>
      <w:bookmarkStart w:id="6472" w:name="_Toc192443515"/>
      <w:bookmarkStart w:id="6473" w:name="_Toc192424760"/>
      <w:bookmarkStart w:id="6474" w:name="_Toc192426302"/>
      <w:bookmarkStart w:id="6475" w:name="_Toc192443516"/>
      <w:bookmarkStart w:id="6476" w:name="_Toc192424761"/>
      <w:bookmarkStart w:id="6477" w:name="_Toc192426303"/>
      <w:bookmarkStart w:id="6478" w:name="_Toc192443517"/>
      <w:bookmarkStart w:id="6479" w:name="_Toc192424762"/>
      <w:bookmarkStart w:id="6480" w:name="_Toc192426304"/>
      <w:bookmarkStart w:id="6481" w:name="_Toc192443518"/>
      <w:bookmarkStart w:id="6482" w:name="_Toc192424763"/>
      <w:bookmarkStart w:id="6483" w:name="_Toc192426305"/>
      <w:bookmarkStart w:id="6484" w:name="_Toc192443519"/>
      <w:bookmarkStart w:id="6485" w:name="_Toc192424764"/>
      <w:bookmarkStart w:id="6486" w:name="_Toc192426306"/>
      <w:bookmarkStart w:id="6487" w:name="_Toc192443520"/>
      <w:bookmarkStart w:id="6488" w:name="_Toc192424766"/>
      <w:bookmarkStart w:id="6489" w:name="_Toc192426308"/>
      <w:bookmarkStart w:id="6490" w:name="_Toc192443522"/>
      <w:bookmarkStart w:id="6491" w:name="_Toc192424767"/>
      <w:bookmarkStart w:id="6492" w:name="_Toc192426309"/>
      <w:bookmarkStart w:id="6493" w:name="_Toc192443523"/>
      <w:bookmarkStart w:id="6494" w:name="_Toc192424768"/>
      <w:bookmarkStart w:id="6495" w:name="_Toc192426310"/>
      <w:bookmarkStart w:id="6496" w:name="_Toc192443524"/>
      <w:bookmarkStart w:id="6497" w:name="_Toc192424769"/>
      <w:bookmarkStart w:id="6498" w:name="_Toc192426311"/>
      <w:bookmarkStart w:id="6499" w:name="_Toc192443525"/>
      <w:bookmarkStart w:id="6500" w:name="_Toc192424770"/>
      <w:bookmarkStart w:id="6501" w:name="_Toc192426312"/>
      <w:bookmarkStart w:id="6502" w:name="_Toc192443526"/>
      <w:bookmarkStart w:id="6503" w:name="_Toc192424771"/>
      <w:bookmarkStart w:id="6504" w:name="_Toc192426313"/>
      <w:bookmarkStart w:id="6505" w:name="_Toc192443527"/>
      <w:bookmarkStart w:id="6506" w:name="_Toc192424773"/>
      <w:bookmarkStart w:id="6507" w:name="_Toc192426315"/>
      <w:bookmarkStart w:id="6508" w:name="_Toc192443529"/>
      <w:bookmarkStart w:id="6509" w:name="_Toc192424774"/>
      <w:bookmarkStart w:id="6510" w:name="_Toc192426316"/>
      <w:bookmarkStart w:id="6511" w:name="_Toc192443530"/>
      <w:bookmarkStart w:id="6512" w:name="_Toc192424775"/>
      <w:bookmarkStart w:id="6513" w:name="_Toc192426317"/>
      <w:bookmarkStart w:id="6514" w:name="_Toc192443531"/>
      <w:bookmarkStart w:id="6515" w:name="_Toc192424776"/>
      <w:bookmarkStart w:id="6516" w:name="_Toc192426318"/>
      <w:bookmarkStart w:id="6517" w:name="_Toc192443532"/>
      <w:bookmarkStart w:id="6518" w:name="_Toc192424777"/>
      <w:bookmarkStart w:id="6519" w:name="_Toc192426319"/>
      <w:bookmarkStart w:id="6520" w:name="_Toc192443533"/>
      <w:bookmarkStart w:id="6521" w:name="_Toc192424778"/>
      <w:bookmarkStart w:id="6522" w:name="_Toc192426320"/>
      <w:bookmarkStart w:id="6523" w:name="_Toc192443534"/>
      <w:bookmarkStart w:id="6524" w:name="_Toc192424780"/>
      <w:bookmarkStart w:id="6525" w:name="_Toc192426322"/>
      <w:bookmarkStart w:id="6526" w:name="_Toc192443536"/>
      <w:bookmarkStart w:id="6527" w:name="_Toc192424781"/>
      <w:bookmarkStart w:id="6528" w:name="_Toc192426323"/>
      <w:bookmarkStart w:id="6529" w:name="_Toc192443537"/>
      <w:bookmarkStart w:id="6530" w:name="_Toc192424782"/>
      <w:bookmarkStart w:id="6531" w:name="_Toc192426324"/>
      <w:bookmarkStart w:id="6532" w:name="_Toc192443538"/>
      <w:bookmarkStart w:id="6533" w:name="_Toc192424783"/>
      <w:bookmarkStart w:id="6534" w:name="_Toc192426325"/>
      <w:bookmarkStart w:id="6535" w:name="_Toc192443539"/>
      <w:bookmarkStart w:id="6536" w:name="_Toc192424784"/>
      <w:bookmarkStart w:id="6537" w:name="_Toc192426326"/>
      <w:bookmarkStart w:id="6538" w:name="_Toc192443540"/>
      <w:bookmarkStart w:id="6539" w:name="_Toc192424785"/>
      <w:bookmarkStart w:id="6540" w:name="_Toc192426327"/>
      <w:bookmarkStart w:id="6541" w:name="_Toc192443541"/>
      <w:bookmarkStart w:id="6542" w:name="_Toc192424787"/>
      <w:bookmarkStart w:id="6543" w:name="_Toc192426329"/>
      <w:bookmarkStart w:id="6544" w:name="_Toc192443543"/>
      <w:bookmarkStart w:id="6545" w:name="_Toc192424788"/>
      <w:bookmarkStart w:id="6546" w:name="_Toc192426330"/>
      <w:bookmarkStart w:id="6547" w:name="_Toc192443544"/>
      <w:bookmarkStart w:id="6548" w:name="_Toc192424789"/>
      <w:bookmarkStart w:id="6549" w:name="_Toc192426331"/>
      <w:bookmarkStart w:id="6550" w:name="_Toc192443545"/>
      <w:bookmarkStart w:id="6551" w:name="_Toc192424790"/>
      <w:bookmarkStart w:id="6552" w:name="_Toc192426332"/>
      <w:bookmarkStart w:id="6553" w:name="_Toc192443546"/>
      <w:bookmarkStart w:id="6554" w:name="_Toc192424791"/>
      <w:bookmarkStart w:id="6555" w:name="_Toc192426333"/>
      <w:bookmarkStart w:id="6556" w:name="_Toc192443547"/>
      <w:bookmarkStart w:id="6557" w:name="_Toc192424792"/>
      <w:bookmarkStart w:id="6558" w:name="_Toc192426334"/>
      <w:bookmarkStart w:id="6559" w:name="_Toc192443548"/>
      <w:bookmarkStart w:id="6560" w:name="_Toc192424794"/>
      <w:bookmarkStart w:id="6561" w:name="_Toc192426336"/>
      <w:bookmarkStart w:id="6562" w:name="_Toc192443550"/>
      <w:bookmarkStart w:id="6563" w:name="_Toc192424795"/>
      <w:bookmarkStart w:id="6564" w:name="_Toc192426337"/>
      <w:bookmarkStart w:id="6565" w:name="_Toc192443551"/>
      <w:bookmarkStart w:id="6566" w:name="_Toc192424796"/>
      <w:bookmarkStart w:id="6567" w:name="_Toc192426338"/>
      <w:bookmarkStart w:id="6568" w:name="_Toc192443552"/>
      <w:bookmarkStart w:id="6569" w:name="_Toc192424797"/>
      <w:bookmarkStart w:id="6570" w:name="_Toc192426339"/>
      <w:bookmarkStart w:id="6571" w:name="_Toc192443553"/>
      <w:bookmarkStart w:id="6572" w:name="_Toc192424798"/>
      <w:bookmarkStart w:id="6573" w:name="_Toc192426340"/>
      <w:bookmarkStart w:id="6574" w:name="_Toc192443554"/>
      <w:bookmarkStart w:id="6575" w:name="_Toc192424799"/>
      <w:bookmarkStart w:id="6576" w:name="_Toc192426341"/>
      <w:bookmarkStart w:id="6577" w:name="_Toc192443555"/>
      <w:bookmarkStart w:id="6578" w:name="_Toc192424801"/>
      <w:bookmarkStart w:id="6579" w:name="_Toc192426343"/>
      <w:bookmarkStart w:id="6580" w:name="_Toc192443557"/>
      <w:bookmarkStart w:id="6581" w:name="_Toc192424802"/>
      <w:bookmarkStart w:id="6582" w:name="_Toc192426344"/>
      <w:bookmarkStart w:id="6583" w:name="_Toc192443558"/>
      <w:bookmarkStart w:id="6584" w:name="_Toc192424803"/>
      <w:bookmarkStart w:id="6585" w:name="_Toc192426345"/>
      <w:bookmarkStart w:id="6586" w:name="_Toc192443559"/>
      <w:bookmarkStart w:id="6587" w:name="_Toc192424804"/>
      <w:bookmarkStart w:id="6588" w:name="_Toc192426346"/>
      <w:bookmarkStart w:id="6589" w:name="_Toc192443560"/>
      <w:bookmarkStart w:id="6590" w:name="_Toc192424805"/>
      <w:bookmarkStart w:id="6591" w:name="_Toc192426347"/>
      <w:bookmarkStart w:id="6592" w:name="_Toc192443561"/>
      <w:bookmarkStart w:id="6593" w:name="_Toc192424806"/>
      <w:bookmarkStart w:id="6594" w:name="_Toc192426348"/>
      <w:bookmarkStart w:id="6595" w:name="_Toc192443562"/>
      <w:bookmarkStart w:id="6596" w:name="_Toc198731263"/>
      <w:bookmarkEnd w:id="1"/>
      <w:bookmarkEnd w:id="2"/>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r w:rsidRPr="006F53BC">
        <w:t xml:space="preserve">Competition Benchmarking across key </w:t>
      </w:r>
      <w:r w:rsidRPr="006C0EAD">
        <w:t>players</w:t>
      </w:r>
      <w:bookmarkEnd w:id="6596"/>
      <w:r w:rsidRPr="006C0EAD">
        <w:t xml:space="preserve"> </w:t>
      </w:r>
    </w:p>
    <w:p w14:paraId="7151A6B2" w14:textId="412F784B" w:rsidR="00A87082" w:rsidRPr="00662938" w:rsidRDefault="005106E1" w:rsidP="00662938">
      <w:pPr>
        <w:pStyle w:val="Heading2"/>
      </w:pPr>
      <w:bookmarkStart w:id="6597" w:name="_Toc198731264"/>
      <w:r>
        <w:t>Brief Profile of CMPDIL</w:t>
      </w:r>
      <w:bookmarkEnd w:id="6597"/>
    </w:p>
    <w:p w14:paraId="683DAD54" w14:textId="19140647" w:rsidR="0047619D" w:rsidRPr="00746D8E" w:rsidRDefault="0047619D" w:rsidP="00662938">
      <w:pPr>
        <w:ind w:right="182"/>
      </w:pPr>
      <w:r w:rsidRPr="003D55FD">
        <w:t>The Central Mine Planning and Design Institute Limited (</w:t>
      </w:r>
      <w:r>
        <w:t>CMPDIL</w:t>
      </w:r>
      <w:r w:rsidRPr="003D55FD">
        <w:t>) is a</w:t>
      </w:r>
      <w:r>
        <w:t xml:space="preserve"> wholly</w:t>
      </w:r>
      <w:r w:rsidRPr="003D55FD">
        <w:t xml:space="preserve"> subsidiary of Coal India Limited, operating under the Ministry of Coal, Government of India. It was established in 197</w:t>
      </w:r>
      <w:r>
        <w:t>5</w:t>
      </w:r>
      <w:r w:rsidRPr="003D55FD">
        <w:t>, with its headquarters in Ranchi, Jharkhand</w:t>
      </w:r>
      <w:r>
        <w:t>.</w:t>
      </w:r>
      <w:r w:rsidRPr="003D55FD">
        <w:t xml:space="preserve"> </w:t>
      </w:r>
      <w:r>
        <w:t>CMPDIL</w:t>
      </w:r>
      <w:r w:rsidRPr="003D55FD">
        <w:t xml:space="preserve"> provides consultancy and engineering services in the fields of </w:t>
      </w:r>
      <w:r>
        <w:t xml:space="preserve">exploration, mining and </w:t>
      </w:r>
      <w:r w:rsidRPr="00746D8E">
        <w:t xml:space="preserve">environmental engineering. It has been a Mini Ratna (Category I) company since June 2019 and ISO 9001 certified since March 1998. </w:t>
      </w:r>
      <w:r w:rsidRPr="00662938">
        <w:t>CMPDIL has evolved as a pioneer in introducing new and suitable technology in the exploration and mining sectors. CMPDIL’s parent company, CIL, is the largest coal producing company in the world as of March 31, 2025, and produced over 781 MMT of coal in fiscal 2025</w:t>
      </w:r>
      <w:r w:rsidRPr="00662938">
        <w:rPr>
          <w:rStyle w:val="FootnoteReference"/>
        </w:rPr>
        <w:footnoteReference w:id="57"/>
      </w:r>
      <w:r w:rsidR="001D6C23" w:rsidRPr="00746D8E">
        <w:t xml:space="preserve"> thereby playing a pivotal role in India’s energy generation and significantly contributes to the country’s industrial growth. </w:t>
      </w:r>
    </w:p>
    <w:p w14:paraId="68C52311" w14:textId="0470A7CC" w:rsidR="00176381" w:rsidRDefault="00176381" w:rsidP="00176381">
      <w:pPr>
        <w:ind w:right="182"/>
      </w:pPr>
      <w:r w:rsidRPr="00662938">
        <w:t>CMPDIL is the largest coal and mineral consultancy in India in terms of market share in Fiscal 2025 and are the preferred consultant for Coal India Limited.</w:t>
      </w:r>
      <w:r w:rsidRPr="00746D8E">
        <w:t xml:space="preserve"> CMPDIL’s services span across the entire lifecycle of mining operations, ranging from initial exploration to closure of mines. CMPDIL assists the Ministry of Coal, Government of India in strategic decisions and initiatives relating to the coal sector at the national level, for instance, through maintaining inventories of coal deposits, coal mining potentials, and operations. Additionally, CMPDIL assists the Ministry of Petroleum and Natural Gas for matters related to Coal Bed Methane. </w:t>
      </w:r>
      <w:r w:rsidR="00627AB7" w:rsidRPr="00746D8E">
        <w:t xml:space="preserve">CMPDIL being one of the leading </w:t>
      </w:r>
      <w:r w:rsidR="00F41A6A" w:rsidRPr="00746D8E">
        <w:t>consultants</w:t>
      </w:r>
      <w:r w:rsidR="00627AB7" w:rsidRPr="00746D8E">
        <w:t xml:space="preserve"> gives significant advantage </w:t>
      </w:r>
      <w:r w:rsidR="006233B2" w:rsidRPr="00746D8E">
        <w:t xml:space="preserve">in ensuring the success of major projects effectively achieving both </w:t>
      </w:r>
      <w:r w:rsidR="00267405" w:rsidRPr="00746D8E">
        <w:t xml:space="preserve">strategic and operational goals. </w:t>
      </w:r>
      <w:r w:rsidRPr="00746D8E">
        <w:t>The services of CMPDIL fall under the</w:t>
      </w:r>
      <w:r w:rsidRPr="00E1240A">
        <w:t xml:space="preserve"> following two broad heads</w:t>
      </w:r>
      <w:r w:rsidR="00097E2E">
        <w:t>.</w:t>
      </w:r>
    </w:p>
    <w:p w14:paraId="6DDF37B0" w14:textId="459A67BD" w:rsidR="00176381" w:rsidRDefault="00176381" w:rsidP="00176381">
      <w:pPr>
        <w:ind w:right="182"/>
      </w:pPr>
      <w:r w:rsidRPr="00E1240A">
        <w:rPr>
          <w:b/>
          <w:bCs/>
        </w:rPr>
        <w:t>(A)</w:t>
      </w:r>
      <w:r w:rsidRPr="00E1240A">
        <w:t xml:space="preserve"> </w:t>
      </w:r>
      <w:r>
        <w:rPr>
          <w:b/>
          <w:bCs/>
        </w:rPr>
        <w:t>CMPDIL</w:t>
      </w:r>
      <w:r w:rsidRPr="00E1240A">
        <w:rPr>
          <w:b/>
          <w:bCs/>
        </w:rPr>
        <w:t xml:space="preserve">'s </w:t>
      </w:r>
      <w:r>
        <w:rPr>
          <w:b/>
          <w:bCs/>
        </w:rPr>
        <w:t xml:space="preserve">core </w:t>
      </w:r>
      <w:r w:rsidRPr="00E1240A">
        <w:rPr>
          <w:b/>
          <w:bCs/>
        </w:rPr>
        <w:t>Business Functions</w:t>
      </w:r>
      <w:r>
        <w:t>: CMPDIL offers a wide range of services beyond mine planning, positioning it as a comprehensive service provider, including conducting large-scale</w:t>
      </w:r>
      <w:r w:rsidRPr="00E1240A">
        <w:t xml:space="preserve"> consultancy and support for mineral exploration, mining, infrastructure engineering, environmental management, and management systems, especially to the mineral, mining and allied sectors, both within and outside </w:t>
      </w:r>
      <w:r>
        <w:t xml:space="preserve">the </w:t>
      </w:r>
      <w:r w:rsidRPr="00E1240A">
        <w:t xml:space="preserve">coal industry </w:t>
      </w:r>
      <w:r>
        <w:t xml:space="preserve">as well as </w:t>
      </w:r>
      <w:r w:rsidR="00A64EAD">
        <w:t xml:space="preserve">the </w:t>
      </w:r>
      <w:r>
        <w:t>domestic and international market. T</w:t>
      </w:r>
      <w:r w:rsidRPr="007034B2">
        <w:t xml:space="preserve">he main services offered by </w:t>
      </w:r>
      <w:r>
        <w:t>this unit of CMPDIL</w:t>
      </w:r>
      <w:r w:rsidRPr="007034B2">
        <w:t xml:space="preserve"> include</w:t>
      </w:r>
      <w:r>
        <w:t>:</w:t>
      </w:r>
    </w:p>
    <w:p w14:paraId="27685D17" w14:textId="77777777" w:rsidR="00176381" w:rsidRPr="00CE4845" w:rsidRDefault="00176381" w:rsidP="00176381">
      <w:pPr>
        <w:pStyle w:val="ListParagraph"/>
        <w:numPr>
          <w:ilvl w:val="0"/>
          <w:numId w:val="8"/>
        </w:numPr>
        <w:ind w:right="182"/>
      </w:pPr>
      <w:r w:rsidRPr="00440817">
        <w:rPr>
          <w:b/>
          <w:bCs/>
        </w:rPr>
        <w:t xml:space="preserve">Geological Exploration </w:t>
      </w:r>
      <w:r>
        <w:rPr>
          <w:b/>
          <w:bCs/>
        </w:rPr>
        <w:t>and Resource Evaluation</w:t>
      </w:r>
    </w:p>
    <w:p w14:paraId="69C80276" w14:textId="77777777" w:rsidR="00176381" w:rsidRDefault="00176381" w:rsidP="00176381">
      <w:pPr>
        <w:pStyle w:val="ListParagraph"/>
        <w:numPr>
          <w:ilvl w:val="0"/>
          <w:numId w:val="8"/>
        </w:numPr>
        <w:ind w:right="182"/>
      </w:pPr>
      <w:r>
        <w:rPr>
          <w:b/>
          <w:bCs/>
        </w:rPr>
        <w:t xml:space="preserve">Mine Planning and </w:t>
      </w:r>
      <w:r w:rsidRPr="006758E6">
        <w:rPr>
          <w:b/>
          <w:bCs/>
        </w:rPr>
        <w:t>Design</w:t>
      </w:r>
      <w:r>
        <w:rPr>
          <w:b/>
          <w:bCs/>
        </w:rPr>
        <w:t xml:space="preserve"> </w:t>
      </w:r>
      <w:r w:rsidRPr="006758E6">
        <w:rPr>
          <w:b/>
          <w:bCs/>
        </w:rPr>
        <w:t>Services</w:t>
      </w:r>
    </w:p>
    <w:p w14:paraId="3913512B" w14:textId="77777777" w:rsidR="00176381" w:rsidRDefault="00176381" w:rsidP="00176381">
      <w:pPr>
        <w:pStyle w:val="ListParagraph"/>
        <w:numPr>
          <w:ilvl w:val="0"/>
          <w:numId w:val="8"/>
        </w:numPr>
        <w:ind w:right="182"/>
      </w:pPr>
      <w:r w:rsidRPr="00255A1F">
        <w:rPr>
          <w:b/>
          <w:bCs/>
        </w:rPr>
        <w:t>Environment</w:t>
      </w:r>
      <w:r>
        <w:rPr>
          <w:b/>
          <w:bCs/>
        </w:rPr>
        <w:t xml:space="preserve">al </w:t>
      </w:r>
      <w:r w:rsidRPr="00255A1F">
        <w:rPr>
          <w:b/>
          <w:bCs/>
        </w:rPr>
        <w:t>Services</w:t>
      </w:r>
    </w:p>
    <w:p w14:paraId="351DB278" w14:textId="77777777" w:rsidR="00176381" w:rsidRDefault="00176381" w:rsidP="00176381">
      <w:pPr>
        <w:pStyle w:val="ListParagraph"/>
        <w:numPr>
          <w:ilvl w:val="0"/>
          <w:numId w:val="8"/>
        </w:numPr>
        <w:ind w:right="182"/>
        <w:rPr>
          <w:b/>
          <w:bCs/>
        </w:rPr>
      </w:pPr>
      <w:r w:rsidRPr="00647218">
        <w:rPr>
          <w:b/>
          <w:bCs/>
        </w:rPr>
        <w:t>Geomatics</w:t>
      </w:r>
      <w:r>
        <w:rPr>
          <w:b/>
          <w:bCs/>
        </w:rPr>
        <w:t xml:space="preserve"> and Survey</w:t>
      </w:r>
      <w:r w:rsidRPr="00647218">
        <w:rPr>
          <w:b/>
          <w:bCs/>
        </w:rPr>
        <w:t xml:space="preserve"> Services</w:t>
      </w:r>
    </w:p>
    <w:p w14:paraId="1E0E8AE4" w14:textId="3A7AB75F" w:rsidR="003032F3" w:rsidRPr="00662938" w:rsidRDefault="00102964" w:rsidP="00662938">
      <w:pPr>
        <w:ind w:right="182"/>
      </w:pPr>
      <w:r>
        <w:rPr>
          <w:b/>
          <w:bCs/>
        </w:rPr>
        <w:t xml:space="preserve">(B) Other Services: </w:t>
      </w:r>
      <w:r w:rsidRPr="00662938">
        <w:t>I</w:t>
      </w:r>
      <w:r w:rsidR="003032F3" w:rsidRPr="00662938">
        <w:t>ncludes laboratory, research &amp; development, information &amp; communication tech</w:t>
      </w:r>
      <w:r w:rsidR="00C944CD" w:rsidRPr="00662938">
        <w:t xml:space="preserve">nology and specialized services. </w:t>
      </w:r>
    </w:p>
    <w:p w14:paraId="6091FB85" w14:textId="14D6C3BB" w:rsidR="00C7511A" w:rsidRPr="00362EB2" w:rsidRDefault="008750D4" w:rsidP="00C7511A">
      <w:pPr>
        <w:ind w:right="182"/>
      </w:pPr>
      <w:r w:rsidRPr="00662938">
        <w:t>CMPDIL is equipped with advanced infrastructure to support its diverse range of activities</w:t>
      </w:r>
      <w:r w:rsidR="001C548C" w:rsidRPr="00662938">
        <w:t xml:space="preserve"> including possession of</w:t>
      </w:r>
      <w:r w:rsidRPr="00662938">
        <w:t xml:space="preserve"> </w:t>
      </w:r>
      <w:r w:rsidR="003927EF">
        <w:t>one</w:t>
      </w:r>
      <w:r w:rsidR="00EB3CA5">
        <w:t xml:space="preserve"> of </w:t>
      </w:r>
      <w:r w:rsidRPr="00662938">
        <w:t xml:space="preserve">the largest </w:t>
      </w:r>
      <w:r w:rsidR="005754AF" w:rsidRPr="005754AF">
        <w:t>fleets</w:t>
      </w:r>
      <w:r w:rsidRPr="00662938">
        <w:t xml:space="preserve"> of exploratory drills for coal and minerals in India, as of</w:t>
      </w:r>
      <w:r w:rsidR="00403B6E" w:rsidRPr="00662938">
        <w:t xml:space="preserve"> March</w:t>
      </w:r>
      <w:r w:rsidRPr="00662938">
        <w:t xml:space="preserve"> 31, 202</w:t>
      </w:r>
      <w:r w:rsidR="00403B6E" w:rsidRPr="00662938">
        <w:t>5</w:t>
      </w:r>
      <w:r w:rsidRPr="00662938">
        <w:t>.</w:t>
      </w:r>
      <w:r w:rsidRPr="00746D8E">
        <w:t xml:space="preserve"> </w:t>
      </w:r>
      <w:r w:rsidR="00C7511A" w:rsidRPr="00746D8E">
        <w:t xml:space="preserve">The major services offered by </w:t>
      </w:r>
      <w:r w:rsidR="00DB59CD" w:rsidRPr="00362EB2">
        <w:t>CMPDIL</w:t>
      </w:r>
      <w:r w:rsidR="00C7511A" w:rsidRPr="00362EB2">
        <w:t xml:space="preserve"> can be broadly categorized into the following verticals, along with their revenue contribution in percentage in fiscal 202</w:t>
      </w:r>
      <w:r w:rsidR="005C4F01" w:rsidRPr="00662938">
        <w:t>5</w:t>
      </w:r>
      <w:r w:rsidR="00C7511A" w:rsidRPr="00362EB2">
        <w:t>: planning and design (2</w:t>
      </w:r>
      <w:r w:rsidR="00FD465D" w:rsidRPr="00662938">
        <w:t>1</w:t>
      </w:r>
      <w:r w:rsidR="00C7511A" w:rsidRPr="00362EB2">
        <w:t>.</w:t>
      </w:r>
      <w:r w:rsidR="00357698" w:rsidRPr="00662938">
        <w:t>18</w:t>
      </w:r>
      <w:r w:rsidR="00C7511A" w:rsidRPr="00362EB2">
        <w:t>%), exploration (</w:t>
      </w:r>
      <w:r w:rsidR="007739A0" w:rsidRPr="00662938">
        <w:t>46</w:t>
      </w:r>
      <w:r w:rsidR="00C7511A" w:rsidRPr="00362EB2">
        <w:t>.</w:t>
      </w:r>
      <w:r w:rsidR="00357698" w:rsidRPr="00662938">
        <w:t>17</w:t>
      </w:r>
      <w:r w:rsidR="00C7511A" w:rsidRPr="00362EB2">
        <w:t>%), geomatics (</w:t>
      </w:r>
      <w:r w:rsidR="00357698" w:rsidRPr="00662938">
        <w:t>15.55</w:t>
      </w:r>
      <w:r w:rsidR="00C7511A" w:rsidRPr="00362EB2">
        <w:t>%), and environment management (17.</w:t>
      </w:r>
      <w:r w:rsidR="00357698" w:rsidRPr="00662938">
        <w:t>1</w:t>
      </w:r>
      <w:r w:rsidR="006C2898" w:rsidRPr="00662938">
        <w:t>1</w:t>
      </w:r>
      <w:r w:rsidR="00C7511A" w:rsidRPr="00362EB2">
        <w:t xml:space="preserve">%). </w:t>
      </w:r>
      <w:r w:rsidR="00DB59CD" w:rsidRPr="00362EB2">
        <w:t>CMPDIL</w:t>
      </w:r>
      <w:r w:rsidR="00C7511A" w:rsidRPr="00362EB2">
        <w:t xml:space="preserve"> is a major player in the mining consulting for coal.</w:t>
      </w:r>
    </w:p>
    <w:p w14:paraId="5B6B11FA" w14:textId="6B989897" w:rsidR="00C7511A" w:rsidRDefault="00C7511A" w:rsidP="00C7511A">
      <w:pPr>
        <w:ind w:right="182"/>
      </w:pPr>
      <w:r w:rsidRPr="00362EB2">
        <w:t xml:space="preserve">To comprehensively benchmark </w:t>
      </w:r>
      <w:r w:rsidR="00DB59CD">
        <w:t>CMPDIL</w:t>
      </w:r>
      <w:r>
        <w:t>'s performance, it is essential to compare its operations with organizations that provide analogous services in mining and infrastructure sectors, particularly those with dedicated research subsidiaries or those engaged in mining consulting.</w:t>
      </w:r>
    </w:p>
    <w:p w14:paraId="63CCEBF1" w14:textId="4D10257A" w:rsidR="00F70F3F" w:rsidRPr="006C0EAD" w:rsidRDefault="00F70F3F" w:rsidP="00F70F3F">
      <w:pPr>
        <w:pStyle w:val="Caption"/>
        <w:ind w:right="182"/>
      </w:pPr>
      <w:bookmarkStart w:id="6598" w:name="_Toc198731462"/>
      <w:r w:rsidRPr="006C0EAD">
        <w:t xml:space="preserve">Table </w:t>
      </w:r>
      <w:r w:rsidRPr="006C0EAD">
        <w:fldChar w:fldCharType="begin"/>
      </w:r>
      <w:r w:rsidRPr="006C0EAD">
        <w:instrText xml:space="preserve"> STYLEREF 1 \s </w:instrText>
      </w:r>
      <w:r w:rsidRPr="006C0EAD">
        <w:fldChar w:fldCharType="separate"/>
      </w:r>
      <w:r w:rsidR="002142B9">
        <w:rPr>
          <w:noProof/>
        </w:rPr>
        <w:t>4</w:t>
      </w:r>
      <w:r w:rsidRPr="006C0EAD">
        <w:fldChar w:fldCharType="end"/>
      </w:r>
      <w:r w:rsidRPr="006C0EAD">
        <w:t>.</w:t>
      </w:r>
      <w:r w:rsidRPr="006C0EAD">
        <w:fldChar w:fldCharType="begin"/>
      </w:r>
      <w:r w:rsidRPr="006C0EAD">
        <w:instrText xml:space="preserve"> SEQ Table \* ARABIC \s 1 </w:instrText>
      </w:r>
      <w:r w:rsidRPr="006C0EAD">
        <w:fldChar w:fldCharType="separate"/>
      </w:r>
      <w:r w:rsidR="002142B9">
        <w:rPr>
          <w:noProof/>
        </w:rPr>
        <w:t>1</w:t>
      </w:r>
      <w:r w:rsidRPr="006C0EAD">
        <w:fldChar w:fldCharType="end"/>
      </w:r>
      <w:r w:rsidRPr="006C0EAD">
        <w:t xml:space="preserve"> Service offerings and companies considered for benchmarking</w:t>
      </w:r>
      <w:bookmarkEnd w:id="6598"/>
    </w:p>
    <w:tbl>
      <w:tblPr>
        <w:tblStyle w:val="Gridding1"/>
        <w:tblW w:w="4914"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1277"/>
        <w:gridCol w:w="3119"/>
        <w:gridCol w:w="5953"/>
      </w:tblGrid>
      <w:tr w:rsidR="00F70F3F" w:rsidRPr="00E04184" w14:paraId="1FF034E7" w14:textId="77777777" w:rsidTr="00662938">
        <w:trPr>
          <w:tblHeader/>
        </w:trPr>
        <w:tc>
          <w:tcPr>
            <w:tcW w:w="617" w:type="pct"/>
            <w:shd w:val="clear" w:color="auto" w:fill="156082" w:themeFill="accent1"/>
            <w:vAlign w:val="center"/>
          </w:tcPr>
          <w:p w14:paraId="47845FC1" w14:textId="77777777" w:rsidR="00F70F3F" w:rsidRPr="00662938" w:rsidRDefault="00F70F3F" w:rsidP="00662938">
            <w:pPr>
              <w:spacing w:before="80" w:after="80" w:line="240" w:lineRule="auto"/>
              <w:ind w:right="182"/>
              <w:jc w:val="left"/>
              <w:rPr>
                <w:color w:val="FFFFFF"/>
                <w:sz w:val="18"/>
                <w:szCs w:val="18"/>
                <w:lang w:val="en-GB"/>
              </w:rPr>
            </w:pPr>
            <w:r w:rsidRPr="00E04184">
              <w:rPr>
                <w:color w:val="FFFFFF"/>
                <w:sz w:val="18"/>
                <w:szCs w:val="18"/>
                <w:lang w:val="en-GB"/>
              </w:rPr>
              <w:t>Sr. No.</w:t>
            </w:r>
          </w:p>
        </w:tc>
        <w:tc>
          <w:tcPr>
            <w:tcW w:w="1507" w:type="pct"/>
            <w:shd w:val="clear" w:color="auto" w:fill="156082" w:themeFill="accent1"/>
            <w:vAlign w:val="center"/>
          </w:tcPr>
          <w:p w14:paraId="3C5A5BD6" w14:textId="77777777" w:rsidR="00F70F3F" w:rsidRPr="00662938" w:rsidRDefault="00F70F3F" w:rsidP="00662938">
            <w:pPr>
              <w:spacing w:before="80" w:after="80" w:line="240" w:lineRule="auto"/>
              <w:ind w:right="182"/>
              <w:jc w:val="left"/>
              <w:rPr>
                <w:color w:val="FFFFFF"/>
                <w:sz w:val="18"/>
                <w:szCs w:val="18"/>
                <w:lang w:val="en-GB"/>
              </w:rPr>
            </w:pPr>
            <w:r w:rsidRPr="00E04184">
              <w:rPr>
                <w:color w:val="FFFFFF"/>
                <w:sz w:val="18"/>
                <w:szCs w:val="18"/>
                <w:lang w:val="en-GB"/>
              </w:rPr>
              <w:t>Service offerings</w:t>
            </w:r>
          </w:p>
        </w:tc>
        <w:tc>
          <w:tcPr>
            <w:tcW w:w="2876" w:type="pct"/>
            <w:shd w:val="clear" w:color="auto" w:fill="156082" w:themeFill="accent1"/>
            <w:vAlign w:val="center"/>
          </w:tcPr>
          <w:p w14:paraId="7181E9B8" w14:textId="77777777" w:rsidR="00F70F3F" w:rsidRPr="00662938" w:rsidRDefault="00F70F3F" w:rsidP="00662938">
            <w:pPr>
              <w:spacing w:before="80" w:after="80" w:line="240" w:lineRule="auto"/>
              <w:ind w:right="182"/>
              <w:jc w:val="left"/>
              <w:rPr>
                <w:color w:val="FFFFFF"/>
                <w:sz w:val="18"/>
                <w:szCs w:val="18"/>
                <w:lang w:val="en-GB"/>
              </w:rPr>
            </w:pPr>
            <w:r w:rsidRPr="00E04184">
              <w:rPr>
                <w:color w:val="FFFFFF"/>
                <w:sz w:val="18"/>
                <w:szCs w:val="18"/>
                <w:lang w:val="en-GB"/>
              </w:rPr>
              <w:t>Organizations offering similar services</w:t>
            </w:r>
          </w:p>
        </w:tc>
      </w:tr>
      <w:tr w:rsidR="00F70F3F" w:rsidRPr="006C0EAD" w14:paraId="6E67DF32" w14:textId="77777777" w:rsidTr="00662938">
        <w:tc>
          <w:tcPr>
            <w:tcW w:w="617" w:type="pct"/>
            <w:shd w:val="clear" w:color="auto" w:fill="auto"/>
            <w:vAlign w:val="center"/>
          </w:tcPr>
          <w:p w14:paraId="5D2A3B89" w14:textId="77777777" w:rsidR="00F70F3F" w:rsidRPr="006C0EAD" w:rsidRDefault="00F70F3F" w:rsidP="00E04184">
            <w:pPr>
              <w:pStyle w:val="ListParagraph"/>
              <w:numPr>
                <w:ilvl w:val="0"/>
                <w:numId w:val="29"/>
              </w:numPr>
              <w:spacing w:before="40" w:after="40"/>
              <w:ind w:right="187"/>
              <w:contextualSpacing w:val="0"/>
              <w:jc w:val="left"/>
              <w:rPr>
                <w:rFonts w:eastAsia="Arial"/>
                <w:b w:val="0"/>
                <w:bCs w:val="0"/>
                <w:color w:val="434242"/>
                <w:sz w:val="18"/>
                <w:szCs w:val="18"/>
                <w:lang w:val="en-GB"/>
              </w:rPr>
            </w:pPr>
          </w:p>
        </w:tc>
        <w:tc>
          <w:tcPr>
            <w:tcW w:w="1507" w:type="pct"/>
            <w:shd w:val="clear" w:color="auto" w:fill="auto"/>
            <w:vAlign w:val="center"/>
          </w:tcPr>
          <w:p w14:paraId="383AEAC2" w14:textId="77777777" w:rsidR="00F70F3F" w:rsidRPr="006C0EAD" w:rsidRDefault="00F70F3F" w:rsidP="00662938">
            <w:pPr>
              <w:spacing w:before="40" w:after="40"/>
              <w:ind w:right="187"/>
              <w:jc w:val="left"/>
              <w:rPr>
                <w:rFonts w:eastAsia="Arial"/>
                <w:b w:val="0"/>
                <w:bCs w:val="0"/>
                <w:color w:val="434242"/>
                <w:sz w:val="18"/>
                <w:szCs w:val="18"/>
                <w:lang w:val="en-GB"/>
              </w:rPr>
            </w:pPr>
            <w:r w:rsidRPr="006C0EAD">
              <w:rPr>
                <w:b w:val="0"/>
                <w:bCs w:val="0"/>
                <w:sz w:val="18"/>
                <w:szCs w:val="18"/>
              </w:rPr>
              <w:t>Planning and Design</w:t>
            </w:r>
          </w:p>
        </w:tc>
        <w:tc>
          <w:tcPr>
            <w:tcW w:w="2876" w:type="pct"/>
            <w:shd w:val="clear" w:color="auto" w:fill="auto"/>
            <w:vAlign w:val="center"/>
          </w:tcPr>
          <w:p w14:paraId="474CF535" w14:textId="77777777" w:rsidR="00F70F3F" w:rsidRPr="006C0EAD" w:rsidRDefault="00F70F3F" w:rsidP="00662938">
            <w:pPr>
              <w:spacing w:before="40" w:after="40"/>
              <w:ind w:right="187"/>
              <w:jc w:val="left"/>
              <w:rPr>
                <w:b w:val="0"/>
                <w:bCs w:val="0"/>
                <w:sz w:val="18"/>
                <w:szCs w:val="18"/>
              </w:rPr>
            </w:pPr>
            <w:r w:rsidRPr="006C0EAD">
              <w:rPr>
                <w:b w:val="0"/>
                <w:bCs w:val="0"/>
                <w:sz w:val="18"/>
                <w:szCs w:val="18"/>
              </w:rPr>
              <w:t>MECON Limited, DMT Consulting Private Limited, SRK Consulting</w:t>
            </w:r>
          </w:p>
        </w:tc>
      </w:tr>
      <w:tr w:rsidR="00F70F3F" w:rsidRPr="008D5FF4" w14:paraId="5DAC8746" w14:textId="77777777" w:rsidTr="00662938">
        <w:trPr>
          <w:trHeight w:val="242"/>
        </w:trPr>
        <w:tc>
          <w:tcPr>
            <w:tcW w:w="617" w:type="pct"/>
            <w:vAlign w:val="center"/>
          </w:tcPr>
          <w:p w14:paraId="21EA856A" w14:textId="77777777" w:rsidR="00F70F3F" w:rsidRPr="006C0EAD" w:rsidRDefault="00F70F3F" w:rsidP="00E04184">
            <w:pPr>
              <w:pStyle w:val="ListParagraph"/>
              <w:numPr>
                <w:ilvl w:val="0"/>
                <w:numId w:val="29"/>
              </w:numPr>
              <w:spacing w:before="40" w:after="40"/>
              <w:ind w:right="187"/>
              <w:contextualSpacing w:val="0"/>
              <w:jc w:val="left"/>
              <w:rPr>
                <w:rFonts w:eastAsia="Arial"/>
                <w:b w:val="0"/>
                <w:bCs w:val="0"/>
                <w:color w:val="434242"/>
                <w:sz w:val="18"/>
                <w:szCs w:val="18"/>
                <w:lang w:val="en-GB"/>
              </w:rPr>
            </w:pPr>
          </w:p>
        </w:tc>
        <w:tc>
          <w:tcPr>
            <w:tcW w:w="1507" w:type="pct"/>
            <w:vAlign w:val="center"/>
          </w:tcPr>
          <w:p w14:paraId="3D0CFDEA" w14:textId="77777777" w:rsidR="00F70F3F" w:rsidRPr="006C0EAD" w:rsidRDefault="00F70F3F" w:rsidP="00662938">
            <w:pPr>
              <w:spacing w:before="40" w:after="40"/>
              <w:ind w:right="187"/>
              <w:jc w:val="left"/>
              <w:rPr>
                <w:rFonts w:eastAsia="Arial"/>
                <w:b w:val="0"/>
                <w:bCs w:val="0"/>
                <w:color w:val="434242"/>
                <w:sz w:val="18"/>
                <w:szCs w:val="18"/>
                <w:lang w:val="en-GB"/>
              </w:rPr>
            </w:pPr>
            <w:r w:rsidRPr="006C0EAD">
              <w:rPr>
                <w:b w:val="0"/>
                <w:bCs w:val="0"/>
                <w:sz w:val="18"/>
                <w:szCs w:val="18"/>
              </w:rPr>
              <w:t>Exploration</w:t>
            </w:r>
          </w:p>
        </w:tc>
        <w:tc>
          <w:tcPr>
            <w:tcW w:w="2876" w:type="pct"/>
            <w:vAlign w:val="center"/>
          </w:tcPr>
          <w:p w14:paraId="3675BBA5" w14:textId="77777777" w:rsidR="00F70F3F" w:rsidRPr="008D5FF4" w:rsidRDefault="00F70F3F" w:rsidP="00662938">
            <w:pPr>
              <w:spacing w:before="40" w:after="40"/>
              <w:ind w:right="187"/>
              <w:jc w:val="left"/>
              <w:rPr>
                <w:b w:val="0"/>
                <w:bCs w:val="0"/>
                <w:sz w:val="18"/>
                <w:szCs w:val="18"/>
              </w:rPr>
            </w:pPr>
            <w:r w:rsidRPr="006C0EAD">
              <w:rPr>
                <w:b w:val="0"/>
                <w:bCs w:val="0"/>
                <w:sz w:val="18"/>
                <w:szCs w:val="18"/>
              </w:rPr>
              <w:t>MECL</w:t>
            </w:r>
          </w:p>
        </w:tc>
      </w:tr>
      <w:tr w:rsidR="00F70F3F" w:rsidRPr="008D5FF4" w14:paraId="0D7C061F" w14:textId="77777777" w:rsidTr="00662938">
        <w:tc>
          <w:tcPr>
            <w:tcW w:w="617" w:type="pct"/>
            <w:vAlign w:val="center"/>
          </w:tcPr>
          <w:p w14:paraId="3ECE7C92" w14:textId="77777777" w:rsidR="00F70F3F" w:rsidRPr="008D5FF4" w:rsidRDefault="00F70F3F" w:rsidP="00E04184">
            <w:pPr>
              <w:pStyle w:val="ListParagraph"/>
              <w:numPr>
                <w:ilvl w:val="0"/>
                <w:numId w:val="29"/>
              </w:numPr>
              <w:spacing w:before="40" w:after="40"/>
              <w:ind w:right="187"/>
              <w:contextualSpacing w:val="0"/>
              <w:jc w:val="left"/>
              <w:rPr>
                <w:rFonts w:eastAsia="Arial"/>
                <w:b w:val="0"/>
                <w:bCs w:val="0"/>
                <w:color w:val="434242"/>
                <w:sz w:val="18"/>
                <w:szCs w:val="18"/>
                <w:lang w:val="en-GB"/>
              </w:rPr>
            </w:pPr>
          </w:p>
        </w:tc>
        <w:tc>
          <w:tcPr>
            <w:tcW w:w="1507" w:type="pct"/>
            <w:vAlign w:val="center"/>
          </w:tcPr>
          <w:p w14:paraId="128DB559" w14:textId="77777777" w:rsidR="00F70F3F" w:rsidRPr="008D5FF4" w:rsidRDefault="00F70F3F" w:rsidP="00662938">
            <w:pPr>
              <w:spacing w:before="40" w:after="40"/>
              <w:ind w:right="187"/>
              <w:jc w:val="left"/>
              <w:rPr>
                <w:b w:val="0"/>
                <w:bCs w:val="0"/>
                <w:sz w:val="18"/>
                <w:szCs w:val="18"/>
              </w:rPr>
            </w:pPr>
            <w:r w:rsidRPr="0067466C">
              <w:rPr>
                <w:b w:val="0"/>
                <w:bCs w:val="0"/>
                <w:sz w:val="18"/>
                <w:szCs w:val="18"/>
              </w:rPr>
              <w:t>Geomatics</w:t>
            </w:r>
          </w:p>
        </w:tc>
        <w:tc>
          <w:tcPr>
            <w:tcW w:w="2876" w:type="pct"/>
            <w:vAlign w:val="center"/>
          </w:tcPr>
          <w:p w14:paraId="6172D5AC" w14:textId="77777777" w:rsidR="00F70F3F" w:rsidRPr="008D5FF4" w:rsidRDefault="00F70F3F" w:rsidP="00662938">
            <w:pPr>
              <w:spacing w:before="40" w:after="40"/>
              <w:ind w:right="187"/>
              <w:jc w:val="left"/>
              <w:rPr>
                <w:b w:val="0"/>
                <w:bCs w:val="0"/>
                <w:sz w:val="18"/>
                <w:szCs w:val="18"/>
              </w:rPr>
            </w:pPr>
            <w:r>
              <w:rPr>
                <w:b w:val="0"/>
                <w:bCs w:val="0"/>
                <w:sz w:val="18"/>
                <w:szCs w:val="18"/>
              </w:rPr>
              <w:t>ISRO</w:t>
            </w:r>
          </w:p>
        </w:tc>
      </w:tr>
      <w:tr w:rsidR="00F70F3F" w:rsidRPr="008D5FF4" w14:paraId="4B2FA013" w14:textId="77777777" w:rsidTr="00662938">
        <w:tc>
          <w:tcPr>
            <w:tcW w:w="617" w:type="pct"/>
            <w:vAlign w:val="center"/>
          </w:tcPr>
          <w:p w14:paraId="6A03968C" w14:textId="77777777" w:rsidR="00F70F3F" w:rsidRPr="008D5FF4" w:rsidRDefault="00F70F3F" w:rsidP="00E04184">
            <w:pPr>
              <w:pStyle w:val="ListParagraph"/>
              <w:numPr>
                <w:ilvl w:val="0"/>
                <w:numId w:val="29"/>
              </w:numPr>
              <w:spacing w:before="40" w:after="40"/>
              <w:ind w:right="187"/>
              <w:contextualSpacing w:val="0"/>
              <w:jc w:val="left"/>
              <w:rPr>
                <w:rFonts w:eastAsia="Arial"/>
                <w:b w:val="0"/>
                <w:bCs w:val="0"/>
                <w:color w:val="434242"/>
                <w:sz w:val="18"/>
                <w:szCs w:val="18"/>
                <w:lang w:val="en-GB"/>
              </w:rPr>
            </w:pPr>
          </w:p>
        </w:tc>
        <w:tc>
          <w:tcPr>
            <w:tcW w:w="1507" w:type="pct"/>
            <w:vAlign w:val="center"/>
          </w:tcPr>
          <w:p w14:paraId="26B3570C" w14:textId="77777777" w:rsidR="00F70F3F" w:rsidRPr="008D5FF4" w:rsidRDefault="00F70F3F" w:rsidP="00662938">
            <w:pPr>
              <w:spacing w:before="40" w:after="40"/>
              <w:ind w:right="187"/>
              <w:jc w:val="left"/>
              <w:rPr>
                <w:b w:val="0"/>
                <w:bCs w:val="0"/>
                <w:sz w:val="18"/>
                <w:szCs w:val="18"/>
              </w:rPr>
            </w:pPr>
            <w:r w:rsidRPr="0067466C">
              <w:rPr>
                <w:b w:val="0"/>
                <w:bCs w:val="0"/>
                <w:sz w:val="18"/>
                <w:szCs w:val="18"/>
              </w:rPr>
              <w:t>Environment Management</w:t>
            </w:r>
          </w:p>
        </w:tc>
        <w:tc>
          <w:tcPr>
            <w:tcW w:w="2876" w:type="pct"/>
            <w:vAlign w:val="center"/>
          </w:tcPr>
          <w:p w14:paraId="491F2733" w14:textId="77777777" w:rsidR="00F70F3F" w:rsidRPr="008D5FF4" w:rsidRDefault="00F70F3F" w:rsidP="00662938">
            <w:pPr>
              <w:spacing w:before="40" w:after="40"/>
              <w:ind w:right="187"/>
              <w:jc w:val="left"/>
              <w:rPr>
                <w:b w:val="0"/>
                <w:bCs w:val="0"/>
                <w:sz w:val="18"/>
                <w:szCs w:val="18"/>
              </w:rPr>
            </w:pPr>
            <w:r w:rsidRPr="00820C2A">
              <w:rPr>
                <w:b w:val="0"/>
                <w:bCs w:val="0"/>
                <w:sz w:val="18"/>
                <w:szCs w:val="18"/>
              </w:rPr>
              <w:t>Engineers India Limited</w:t>
            </w:r>
            <w:r>
              <w:rPr>
                <w:b w:val="0"/>
                <w:bCs w:val="0"/>
                <w:sz w:val="18"/>
                <w:szCs w:val="18"/>
              </w:rPr>
              <w:t xml:space="preserve">, </w:t>
            </w:r>
            <w:r w:rsidRPr="00820C2A">
              <w:rPr>
                <w:b w:val="0"/>
                <w:bCs w:val="0"/>
                <w:sz w:val="18"/>
                <w:szCs w:val="18"/>
              </w:rPr>
              <w:t>MECON Limited</w:t>
            </w:r>
          </w:p>
        </w:tc>
      </w:tr>
    </w:tbl>
    <w:p w14:paraId="7A7B636B" w14:textId="082C2F7B" w:rsidR="00F70F3F" w:rsidRDefault="00F70F3F" w:rsidP="00F70F3F">
      <w:pPr>
        <w:pStyle w:val="Source"/>
      </w:pPr>
      <w:r>
        <w:t>S</w:t>
      </w:r>
      <w:r w:rsidRPr="0079027D">
        <w:t>ource:</w:t>
      </w:r>
      <w:r>
        <w:t xml:space="preserve"> Crisil Intelligence</w:t>
      </w:r>
    </w:p>
    <w:p w14:paraId="7A993822" w14:textId="197B8BEB" w:rsidR="00C7511A" w:rsidRPr="0079027D" w:rsidRDefault="00C7511A" w:rsidP="00C7511A">
      <w:pPr>
        <w:ind w:right="182"/>
      </w:pPr>
      <w:r w:rsidRPr="00B409D5">
        <w:rPr>
          <w:b/>
          <w:bCs/>
        </w:rPr>
        <w:t>Planning and Design:</w:t>
      </w:r>
      <w:r>
        <w:t xml:space="preserve"> </w:t>
      </w:r>
      <w:r w:rsidR="00DB59CD">
        <w:t>CMPDIL</w:t>
      </w:r>
      <w:r>
        <w:t xml:space="preserve">'s planning and design division focuses on creating efficient and sustainable mining plans. </w:t>
      </w:r>
      <w:r w:rsidRPr="0079027D">
        <w:t xml:space="preserve">The Scheme for Accreditation of Prospecting/Exploration Agency (APA) and Mining Plan Preparation Agency (MPPA) was introduced by the Ministry of Coal </w:t>
      </w:r>
      <w:r w:rsidR="003C4886">
        <w:t>and a</w:t>
      </w:r>
      <w:r w:rsidRPr="0079027D">
        <w:t>ccordingly, QCI – NABET has developed the Scheme of Accreditation for Prospecting/ Exploration Agency (APA) and Mining Plan Preparation Agency/ organization (MPPA). The list of companies who have been accredited are as follows:</w:t>
      </w:r>
    </w:p>
    <w:p w14:paraId="630B77F8" w14:textId="10EBB169" w:rsidR="00C7511A" w:rsidRPr="0079027D" w:rsidRDefault="00C7511A" w:rsidP="00C7511A">
      <w:pPr>
        <w:pStyle w:val="Caption"/>
        <w:ind w:right="182"/>
      </w:pPr>
      <w:bookmarkStart w:id="6599" w:name="_Toc198731463"/>
      <w:r w:rsidRPr="0079027D">
        <w:t xml:space="preserve">Table </w:t>
      </w:r>
      <w:r w:rsidRPr="0079027D">
        <w:fldChar w:fldCharType="begin"/>
      </w:r>
      <w:r w:rsidRPr="0079027D">
        <w:instrText xml:space="preserve"> STYLEREF 1 \s </w:instrText>
      </w:r>
      <w:r w:rsidRPr="0079027D">
        <w:fldChar w:fldCharType="separate"/>
      </w:r>
      <w:r w:rsidR="002142B9">
        <w:rPr>
          <w:noProof/>
        </w:rPr>
        <w:t>4</w:t>
      </w:r>
      <w:r w:rsidRPr="0079027D">
        <w:fldChar w:fldCharType="end"/>
      </w:r>
      <w:r w:rsidRPr="0079027D">
        <w:t>.</w:t>
      </w:r>
      <w:r w:rsidRPr="0079027D">
        <w:fldChar w:fldCharType="begin"/>
      </w:r>
      <w:r w:rsidRPr="0079027D">
        <w:instrText xml:space="preserve"> SEQ Table \* ARABIC \s 1 </w:instrText>
      </w:r>
      <w:r w:rsidRPr="0079027D">
        <w:fldChar w:fldCharType="separate"/>
      </w:r>
      <w:r w:rsidR="002142B9">
        <w:rPr>
          <w:noProof/>
        </w:rPr>
        <w:t>2</w:t>
      </w:r>
      <w:r w:rsidRPr="0079027D">
        <w:fldChar w:fldCharType="end"/>
      </w:r>
      <w:r w:rsidRPr="0079027D">
        <w:t xml:space="preserve"> Mining Plan Preparing Agency (MPPA)</w:t>
      </w:r>
      <w:bookmarkEnd w:id="6599"/>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1276"/>
        <w:gridCol w:w="5423"/>
        <w:gridCol w:w="2081"/>
        <w:gridCol w:w="1750"/>
      </w:tblGrid>
      <w:tr w:rsidR="00C7511A" w:rsidRPr="00E202E7" w14:paraId="10EFDED1" w14:textId="77777777" w:rsidTr="008D5FF4">
        <w:trPr>
          <w:tblHeader/>
        </w:trPr>
        <w:tc>
          <w:tcPr>
            <w:tcW w:w="606" w:type="pct"/>
            <w:shd w:val="clear" w:color="auto" w:fill="156082" w:themeFill="accent1"/>
            <w:vAlign w:val="center"/>
          </w:tcPr>
          <w:p w14:paraId="4A065C9B" w14:textId="77777777" w:rsidR="00C7511A" w:rsidRPr="00662938" w:rsidRDefault="00C7511A" w:rsidP="002F7E18">
            <w:pPr>
              <w:spacing w:before="80" w:after="80" w:line="240" w:lineRule="auto"/>
              <w:ind w:right="182"/>
              <w:jc w:val="center"/>
              <w:rPr>
                <w:color w:val="FFFFFF"/>
                <w:sz w:val="18"/>
                <w:szCs w:val="18"/>
                <w:lang w:val="en-GB"/>
              </w:rPr>
            </w:pPr>
            <w:r w:rsidRPr="00E202E7">
              <w:rPr>
                <w:color w:val="FFFFFF"/>
                <w:sz w:val="18"/>
                <w:szCs w:val="18"/>
                <w:lang w:val="en-GB"/>
              </w:rPr>
              <w:t>Sr. No.</w:t>
            </w:r>
          </w:p>
        </w:tc>
        <w:tc>
          <w:tcPr>
            <w:tcW w:w="2575" w:type="pct"/>
            <w:shd w:val="clear" w:color="auto" w:fill="156082" w:themeFill="accent1"/>
            <w:vAlign w:val="center"/>
          </w:tcPr>
          <w:p w14:paraId="711B7548" w14:textId="77777777" w:rsidR="00C7511A" w:rsidRPr="00662938" w:rsidRDefault="00C7511A" w:rsidP="002F7E18">
            <w:pPr>
              <w:spacing w:before="80" w:after="80" w:line="240" w:lineRule="auto"/>
              <w:ind w:right="182"/>
              <w:rPr>
                <w:color w:val="FFFFFF"/>
                <w:sz w:val="18"/>
                <w:szCs w:val="18"/>
                <w:lang w:val="en-GB"/>
              </w:rPr>
            </w:pPr>
            <w:r w:rsidRPr="00E202E7">
              <w:rPr>
                <w:color w:val="FFFFFF"/>
                <w:sz w:val="18"/>
                <w:szCs w:val="18"/>
                <w:lang w:val="en-GB"/>
              </w:rPr>
              <w:t>Name of Company</w:t>
            </w:r>
          </w:p>
        </w:tc>
        <w:tc>
          <w:tcPr>
            <w:tcW w:w="988" w:type="pct"/>
            <w:shd w:val="clear" w:color="auto" w:fill="156082" w:themeFill="accent1"/>
          </w:tcPr>
          <w:p w14:paraId="456F363B" w14:textId="77777777" w:rsidR="00C7511A" w:rsidRPr="00662938" w:rsidRDefault="00C7511A" w:rsidP="002F7E18">
            <w:pPr>
              <w:spacing w:before="80" w:after="80" w:line="240" w:lineRule="auto"/>
              <w:ind w:right="182"/>
              <w:rPr>
                <w:color w:val="FFFFFF"/>
                <w:sz w:val="18"/>
                <w:szCs w:val="18"/>
                <w:lang w:val="en-GB"/>
              </w:rPr>
            </w:pPr>
            <w:r w:rsidRPr="00E202E7">
              <w:rPr>
                <w:color w:val="FFFFFF"/>
                <w:sz w:val="18"/>
                <w:szCs w:val="18"/>
                <w:lang w:val="en-GB"/>
              </w:rPr>
              <w:t>Location</w:t>
            </w:r>
          </w:p>
        </w:tc>
        <w:tc>
          <w:tcPr>
            <w:tcW w:w="831" w:type="pct"/>
            <w:shd w:val="clear" w:color="auto" w:fill="156082" w:themeFill="accent1"/>
            <w:vAlign w:val="center"/>
          </w:tcPr>
          <w:p w14:paraId="56803EA3" w14:textId="77777777" w:rsidR="00C7511A" w:rsidRPr="00662938" w:rsidRDefault="00C7511A" w:rsidP="002F7E18">
            <w:pPr>
              <w:spacing w:before="80" w:after="80" w:line="240" w:lineRule="auto"/>
              <w:ind w:right="182"/>
              <w:rPr>
                <w:color w:val="FFFFFF"/>
                <w:sz w:val="18"/>
                <w:szCs w:val="18"/>
                <w:lang w:val="en-GB"/>
              </w:rPr>
            </w:pPr>
            <w:r w:rsidRPr="00E202E7">
              <w:rPr>
                <w:color w:val="FFFFFF"/>
                <w:sz w:val="18"/>
                <w:szCs w:val="18"/>
                <w:lang w:val="en-GB"/>
              </w:rPr>
              <w:t>Scope</w:t>
            </w:r>
          </w:p>
        </w:tc>
      </w:tr>
      <w:tr w:rsidR="00C7511A" w:rsidRPr="008D5FF4" w14:paraId="1A2303CB" w14:textId="77777777" w:rsidTr="008D5FF4">
        <w:tc>
          <w:tcPr>
            <w:tcW w:w="606" w:type="pct"/>
            <w:shd w:val="clear" w:color="auto" w:fill="C9D8E1"/>
          </w:tcPr>
          <w:p w14:paraId="5D43A51B"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shd w:val="clear" w:color="auto" w:fill="C9D8E1"/>
          </w:tcPr>
          <w:p w14:paraId="0721EAF5" w14:textId="5DF649FB" w:rsidR="00C7511A" w:rsidRPr="008D5FF4" w:rsidRDefault="00C7511A" w:rsidP="00885F04">
            <w:pPr>
              <w:spacing w:before="40" w:after="40"/>
              <w:ind w:right="187"/>
              <w:rPr>
                <w:rFonts w:eastAsia="Arial"/>
                <w:color w:val="434242"/>
                <w:sz w:val="18"/>
                <w:szCs w:val="18"/>
                <w:lang w:val="en-GB"/>
              </w:rPr>
            </w:pPr>
            <w:r w:rsidRPr="008D5FF4">
              <w:rPr>
                <w:sz w:val="18"/>
                <w:szCs w:val="18"/>
              </w:rPr>
              <w:t>Central Mine Planning and Design Institute</w:t>
            </w:r>
            <w:r w:rsidR="0070633B">
              <w:rPr>
                <w:sz w:val="18"/>
                <w:szCs w:val="18"/>
              </w:rPr>
              <w:t xml:space="preserve"> Limited</w:t>
            </w:r>
          </w:p>
        </w:tc>
        <w:tc>
          <w:tcPr>
            <w:tcW w:w="988" w:type="pct"/>
            <w:shd w:val="clear" w:color="auto" w:fill="C9D8E1"/>
          </w:tcPr>
          <w:p w14:paraId="3B3F6CEE" w14:textId="77777777" w:rsidR="00C7511A" w:rsidRPr="008D5FF4" w:rsidRDefault="00C7511A" w:rsidP="00885F04">
            <w:pPr>
              <w:spacing w:before="40" w:after="40"/>
              <w:ind w:right="187"/>
              <w:rPr>
                <w:sz w:val="18"/>
                <w:szCs w:val="18"/>
              </w:rPr>
            </w:pPr>
            <w:r w:rsidRPr="008D5FF4">
              <w:rPr>
                <w:sz w:val="18"/>
                <w:szCs w:val="18"/>
              </w:rPr>
              <w:t>Ranchi</w:t>
            </w:r>
          </w:p>
        </w:tc>
        <w:tc>
          <w:tcPr>
            <w:tcW w:w="831" w:type="pct"/>
            <w:shd w:val="clear" w:color="auto" w:fill="C9D8E1"/>
          </w:tcPr>
          <w:p w14:paraId="0B42BB95" w14:textId="77777777" w:rsidR="00C7511A" w:rsidRPr="008D5FF4" w:rsidRDefault="00C7511A" w:rsidP="00885F04">
            <w:pPr>
              <w:spacing w:before="40" w:after="40"/>
              <w:ind w:right="187"/>
              <w:rPr>
                <w:rFonts w:eastAsia="Arial"/>
                <w:color w:val="434242"/>
                <w:sz w:val="18"/>
                <w:szCs w:val="18"/>
                <w:lang w:val="en-GB"/>
              </w:rPr>
            </w:pPr>
            <w:r w:rsidRPr="008D5FF4">
              <w:rPr>
                <w:sz w:val="18"/>
                <w:szCs w:val="18"/>
              </w:rPr>
              <w:t>MPPA</w:t>
            </w:r>
          </w:p>
        </w:tc>
      </w:tr>
      <w:tr w:rsidR="00C7511A" w:rsidRPr="008D5FF4" w14:paraId="7B7C247E" w14:textId="77777777" w:rsidTr="002F7E18">
        <w:trPr>
          <w:trHeight w:val="242"/>
        </w:trPr>
        <w:tc>
          <w:tcPr>
            <w:tcW w:w="606" w:type="pct"/>
          </w:tcPr>
          <w:p w14:paraId="4C555338"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00666855" w14:textId="77777777" w:rsidR="00C7511A" w:rsidRPr="008D5FF4" w:rsidRDefault="00C7511A" w:rsidP="00885F04">
            <w:pPr>
              <w:spacing w:before="40" w:after="40"/>
              <w:ind w:right="187"/>
              <w:rPr>
                <w:rFonts w:eastAsia="Arial"/>
                <w:b w:val="0"/>
                <w:bCs w:val="0"/>
                <w:color w:val="434242"/>
                <w:sz w:val="18"/>
                <w:szCs w:val="18"/>
                <w:lang w:val="en-GB"/>
              </w:rPr>
            </w:pPr>
            <w:r w:rsidRPr="008D5FF4">
              <w:rPr>
                <w:b w:val="0"/>
                <w:bCs w:val="0"/>
                <w:sz w:val="18"/>
                <w:szCs w:val="18"/>
              </w:rPr>
              <w:t>Indian Mine Planners &amp; Consultants</w:t>
            </w:r>
          </w:p>
        </w:tc>
        <w:tc>
          <w:tcPr>
            <w:tcW w:w="988" w:type="pct"/>
          </w:tcPr>
          <w:p w14:paraId="73BD4850" w14:textId="77777777" w:rsidR="00C7511A" w:rsidRPr="008D5FF4" w:rsidRDefault="00C7511A" w:rsidP="00885F04">
            <w:pPr>
              <w:spacing w:before="40" w:after="40"/>
              <w:ind w:right="187"/>
              <w:rPr>
                <w:b w:val="0"/>
                <w:bCs w:val="0"/>
                <w:sz w:val="18"/>
                <w:szCs w:val="18"/>
              </w:rPr>
            </w:pPr>
            <w:r w:rsidRPr="008D5FF4">
              <w:rPr>
                <w:b w:val="0"/>
                <w:bCs w:val="0"/>
                <w:sz w:val="18"/>
                <w:szCs w:val="18"/>
              </w:rPr>
              <w:t>Kolkata</w:t>
            </w:r>
          </w:p>
        </w:tc>
        <w:tc>
          <w:tcPr>
            <w:tcW w:w="831" w:type="pct"/>
          </w:tcPr>
          <w:p w14:paraId="3F8C1130" w14:textId="77777777" w:rsidR="00C7511A" w:rsidRPr="008D5FF4" w:rsidRDefault="00C7511A" w:rsidP="00885F04">
            <w:pPr>
              <w:spacing w:before="40" w:after="40"/>
              <w:ind w:right="187"/>
              <w:rPr>
                <w:rFonts w:eastAsia="Arial"/>
                <w:b w:val="0"/>
                <w:bCs w:val="0"/>
                <w:color w:val="434242"/>
                <w:sz w:val="18"/>
                <w:szCs w:val="18"/>
                <w:lang w:val="en-GB"/>
              </w:rPr>
            </w:pPr>
            <w:r w:rsidRPr="008D5FF4">
              <w:rPr>
                <w:b w:val="0"/>
                <w:bCs w:val="0"/>
                <w:sz w:val="18"/>
                <w:szCs w:val="18"/>
              </w:rPr>
              <w:t>APA &amp; MPPA</w:t>
            </w:r>
          </w:p>
        </w:tc>
      </w:tr>
      <w:tr w:rsidR="00C7511A" w:rsidRPr="008D5FF4" w14:paraId="0D15D3D8" w14:textId="77777777" w:rsidTr="002F7E18">
        <w:tc>
          <w:tcPr>
            <w:tcW w:w="606" w:type="pct"/>
          </w:tcPr>
          <w:p w14:paraId="6490EF9B"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2744F4A3" w14:textId="77777777" w:rsidR="00C7511A" w:rsidRPr="008D5FF4" w:rsidRDefault="00C7511A" w:rsidP="00885F04">
            <w:pPr>
              <w:spacing w:before="40" w:after="40"/>
              <w:ind w:right="187"/>
              <w:rPr>
                <w:b w:val="0"/>
                <w:bCs w:val="0"/>
                <w:sz w:val="18"/>
                <w:szCs w:val="18"/>
              </w:rPr>
            </w:pPr>
            <w:r w:rsidRPr="008D5FF4">
              <w:rPr>
                <w:b w:val="0"/>
                <w:bCs w:val="0"/>
                <w:sz w:val="18"/>
                <w:szCs w:val="18"/>
              </w:rPr>
              <w:t>Adani Enterprises Ltd.</w:t>
            </w:r>
          </w:p>
        </w:tc>
        <w:tc>
          <w:tcPr>
            <w:tcW w:w="988" w:type="pct"/>
          </w:tcPr>
          <w:p w14:paraId="1B69D733" w14:textId="77777777" w:rsidR="00C7511A" w:rsidRPr="008D5FF4" w:rsidRDefault="00C7511A" w:rsidP="00885F04">
            <w:pPr>
              <w:spacing w:before="40" w:after="40"/>
              <w:ind w:right="187"/>
              <w:rPr>
                <w:b w:val="0"/>
                <w:bCs w:val="0"/>
                <w:sz w:val="18"/>
                <w:szCs w:val="18"/>
              </w:rPr>
            </w:pPr>
            <w:r w:rsidRPr="008D5FF4">
              <w:rPr>
                <w:b w:val="0"/>
                <w:bCs w:val="0"/>
                <w:sz w:val="18"/>
                <w:szCs w:val="18"/>
              </w:rPr>
              <w:t>Ahmedabad</w:t>
            </w:r>
          </w:p>
        </w:tc>
        <w:tc>
          <w:tcPr>
            <w:tcW w:w="831" w:type="pct"/>
          </w:tcPr>
          <w:p w14:paraId="46718C07"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5AF2A6CD" w14:textId="77777777" w:rsidTr="002F7E18">
        <w:tc>
          <w:tcPr>
            <w:tcW w:w="606" w:type="pct"/>
          </w:tcPr>
          <w:p w14:paraId="196CBD25"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7BA0E657" w14:textId="77777777" w:rsidR="00C7511A" w:rsidRPr="008D5FF4" w:rsidRDefault="00C7511A" w:rsidP="00885F04">
            <w:pPr>
              <w:spacing w:before="40" w:after="40"/>
              <w:ind w:right="187"/>
              <w:rPr>
                <w:b w:val="0"/>
                <w:bCs w:val="0"/>
                <w:sz w:val="18"/>
                <w:szCs w:val="18"/>
              </w:rPr>
            </w:pPr>
            <w:r w:rsidRPr="008D5FF4">
              <w:rPr>
                <w:b w:val="0"/>
                <w:bCs w:val="0"/>
                <w:sz w:val="18"/>
                <w:szCs w:val="18"/>
              </w:rPr>
              <w:t>Min Mec Consultancy Private Limited</w:t>
            </w:r>
          </w:p>
        </w:tc>
        <w:tc>
          <w:tcPr>
            <w:tcW w:w="988" w:type="pct"/>
          </w:tcPr>
          <w:p w14:paraId="66B196C2" w14:textId="77777777" w:rsidR="00C7511A" w:rsidRPr="008D5FF4" w:rsidRDefault="00C7511A" w:rsidP="00885F04">
            <w:pPr>
              <w:spacing w:before="40" w:after="40"/>
              <w:ind w:right="187"/>
              <w:rPr>
                <w:b w:val="0"/>
                <w:bCs w:val="0"/>
                <w:sz w:val="18"/>
                <w:szCs w:val="18"/>
              </w:rPr>
            </w:pPr>
            <w:r w:rsidRPr="008D5FF4">
              <w:rPr>
                <w:b w:val="0"/>
                <w:bCs w:val="0"/>
                <w:sz w:val="18"/>
                <w:szCs w:val="18"/>
              </w:rPr>
              <w:t>Delhi</w:t>
            </w:r>
          </w:p>
        </w:tc>
        <w:tc>
          <w:tcPr>
            <w:tcW w:w="831" w:type="pct"/>
          </w:tcPr>
          <w:p w14:paraId="45F173C2"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0313CD9F" w14:textId="77777777" w:rsidTr="002F7E18">
        <w:tc>
          <w:tcPr>
            <w:tcW w:w="606" w:type="pct"/>
          </w:tcPr>
          <w:p w14:paraId="29F5F1B2"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5B4610BB" w14:textId="77777777" w:rsidR="00C7511A" w:rsidRPr="008D5FF4" w:rsidRDefault="00C7511A" w:rsidP="00885F04">
            <w:pPr>
              <w:spacing w:before="40" w:after="40"/>
              <w:ind w:right="187"/>
              <w:rPr>
                <w:b w:val="0"/>
                <w:bCs w:val="0"/>
                <w:sz w:val="18"/>
                <w:szCs w:val="18"/>
              </w:rPr>
            </w:pPr>
            <w:r w:rsidRPr="008D5FF4">
              <w:rPr>
                <w:b w:val="0"/>
                <w:bCs w:val="0"/>
                <w:sz w:val="18"/>
                <w:szCs w:val="18"/>
              </w:rPr>
              <w:t>Matrix Mining Solutions Private Limited</w:t>
            </w:r>
          </w:p>
        </w:tc>
        <w:tc>
          <w:tcPr>
            <w:tcW w:w="988" w:type="pct"/>
          </w:tcPr>
          <w:p w14:paraId="29FCB252" w14:textId="77777777" w:rsidR="00C7511A" w:rsidRPr="008D5FF4" w:rsidRDefault="00C7511A" w:rsidP="00885F04">
            <w:pPr>
              <w:spacing w:before="40" w:after="40"/>
              <w:ind w:right="187"/>
              <w:rPr>
                <w:b w:val="0"/>
                <w:bCs w:val="0"/>
                <w:sz w:val="18"/>
                <w:szCs w:val="18"/>
              </w:rPr>
            </w:pPr>
            <w:r w:rsidRPr="008D5FF4">
              <w:rPr>
                <w:b w:val="0"/>
                <w:bCs w:val="0"/>
                <w:sz w:val="18"/>
                <w:szCs w:val="18"/>
              </w:rPr>
              <w:t>Gurgaon</w:t>
            </w:r>
          </w:p>
        </w:tc>
        <w:tc>
          <w:tcPr>
            <w:tcW w:w="831" w:type="pct"/>
          </w:tcPr>
          <w:p w14:paraId="5E51CC34"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156EA678" w14:textId="77777777" w:rsidTr="002F7E18">
        <w:tc>
          <w:tcPr>
            <w:tcW w:w="606" w:type="pct"/>
          </w:tcPr>
          <w:p w14:paraId="29C4015D"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5F7513E5" w14:textId="77777777" w:rsidR="00C7511A" w:rsidRPr="008D5FF4" w:rsidRDefault="00C7511A" w:rsidP="00885F04">
            <w:pPr>
              <w:spacing w:before="40" w:after="40"/>
              <w:ind w:right="187"/>
              <w:rPr>
                <w:b w:val="0"/>
                <w:bCs w:val="0"/>
                <w:sz w:val="18"/>
                <w:szCs w:val="18"/>
              </w:rPr>
            </w:pPr>
            <w:r w:rsidRPr="008D5FF4">
              <w:rPr>
                <w:b w:val="0"/>
                <w:bCs w:val="0"/>
                <w:sz w:val="18"/>
                <w:szCs w:val="18"/>
              </w:rPr>
              <w:t>United Exploration India Pvt. Ltd.</w:t>
            </w:r>
          </w:p>
        </w:tc>
        <w:tc>
          <w:tcPr>
            <w:tcW w:w="988" w:type="pct"/>
          </w:tcPr>
          <w:p w14:paraId="29891122" w14:textId="77777777" w:rsidR="00C7511A" w:rsidRPr="008D5FF4" w:rsidRDefault="00C7511A" w:rsidP="00885F04">
            <w:pPr>
              <w:spacing w:before="40" w:after="40"/>
              <w:ind w:right="187"/>
              <w:rPr>
                <w:b w:val="0"/>
                <w:bCs w:val="0"/>
                <w:sz w:val="18"/>
                <w:szCs w:val="18"/>
              </w:rPr>
            </w:pPr>
            <w:r w:rsidRPr="008D5FF4">
              <w:rPr>
                <w:b w:val="0"/>
                <w:bCs w:val="0"/>
                <w:sz w:val="18"/>
                <w:szCs w:val="18"/>
              </w:rPr>
              <w:t>Kolkata</w:t>
            </w:r>
          </w:p>
        </w:tc>
        <w:tc>
          <w:tcPr>
            <w:tcW w:w="831" w:type="pct"/>
          </w:tcPr>
          <w:p w14:paraId="0A631022" w14:textId="77777777" w:rsidR="00C7511A" w:rsidRPr="008D5FF4" w:rsidRDefault="00C7511A" w:rsidP="00885F04">
            <w:pPr>
              <w:spacing w:before="40" w:after="40"/>
              <w:ind w:right="187"/>
              <w:rPr>
                <w:b w:val="0"/>
                <w:bCs w:val="0"/>
                <w:sz w:val="18"/>
                <w:szCs w:val="18"/>
              </w:rPr>
            </w:pPr>
            <w:r w:rsidRPr="008D5FF4">
              <w:rPr>
                <w:b w:val="0"/>
                <w:bCs w:val="0"/>
                <w:sz w:val="18"/>
                <w:szCs w:val="18"/>
              </w:rPr>
              <w:t>APA &amp; MPPA</w:t>
            </w:r>
          </w:p>
        </w:tc>
      </w:tr>
      <w:tr w:rsidR="00C7511A" w:rsidRPr="008D5FF4" w14:paraId="560304FC" w14:textId="77777777" w:rsidTr="002F7E18">
        <w:tc>
          <w:tcPr>
            <w:tcW w:w="606" w:type="pct"/>
          </w:tcPr>
          <w:p w14:paraId="50F51353"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lang w:val="en-GB"/>
              </w:rPr>
            </w:pPr>
          </w:p>
        </w:tc>
        <w:tc>
          <w:tcPr>
            <w:tcW w:w="2575" w:type="pct"/>
          </w:tcPr>
          <w:p w14:paraId="64F326CD" w14:textId="77777777" w:rsidR="00C7511A" w:rsidRPr="008D5FF4" w:rsidRDefault="00C7511A" w:rsidP="00885F04">
            <w:pPr>
              <w:spacing w:before="40" w:after="40"/>
              <w:ind w:right="187"/>
              <w:rPr>
                <w:b w:val="0"/>
                <w:bCs w:val="0"/>
                <w:sz w:val="18"/>
                <w:szCs w:val="18"/>
              </w:rPr>
            </w:pPr>
            <w:r w:rsidRPr="008D5FF4">
              <w:rPr>
                <w:b w:val="0"/>
                <w:bCs w:val="0"/>
                <w:sz w:val="18"/>
                <w:szCs w:val="18"/>
              </w:rPr>
              <w:t>Natural Resources Division-Tata Steel Limited</w:t>
            </w:r>
          </w:p>
        </w:tc>
        <w:tc>
          <w:tcPr>
            <w:tcW w:w="988" w:type="pct"/>
          </w:tcPr>
          <w:p w14:paraId="5F246388" w14:textId="77777777" w:rsidR="00C7511A" w:rsidRPr="008D5FF4" w:rsidRDefault="00C7511A" w:rsidP="00885F04">
            <w:pPr>
              <w:spacing w:before="40" w:after="40"/>
              <w:ind w:right="187"/>
              <w:rPr>
                <w:b w:val="0"/>
                <w:bCs w:val="0"/>
                <w:sz w:val="18"/>
                <w:szCs w:val="18"/>
              </w:rPr>
            </w:pPr>
            <w:r w:rsidRPr="008D5FF4">
              <w:rPr>
                <w:b w:val="0"/>
                <w:bCs w:val="0"/>
                <w:sz w:val="18"/>
                <w:szCs w:val="18"/>
              </w:rPr>
              <w:t>East Singhbhum</w:t>
            </w:r>
          </w:p>
        </w:tc>
        <w:tc>
          <w:tcPr>
            <w:tcW w:w="831" w:type="pct"/>
          </w:tcPr>
          <w:p w14:paraId="120B492D" w14:textId="77777777" w:rsidR="00C7511A" w:rsidRPr="008D5FF4" w:rsidRDefault="00C7511A" w:rsidP="00885F04">
            <w:pPr>
              <w:spacing w:before="40" w:after="40"/>
              <w:ind w:right="187"/>
              <w:rPr>
                <w:b w:val="0"/>
                <w:bCs w:val="0"/>
                <w:sz w:val="18"/>
                <w:szCs w:val="18"/>
              </w:rPr>
            </w:pPr>
            <w:r w:rsidRPr="008D5FF4">
              <w:rPr>
                <w:b w:val="0"/>
                <w:bCs w:val="0"/>
                <w:sz w:val="18"/>
                <w:szCs w:val="18"/>
              </w:rPr>
              <w:t>APA &amp; MPPA</w:t>
            </w:r>
          </w:p>
        </w:tc>
      </w:tr>
      <w:tr w:rsidR="00C7511A" w:rsidRPr="008D5FF4" w14:paraId="7546CFA9" w14:textId="77777777" w:rsidTr="002F7E18">
        <w:tc>
          <w:tcPr>
            <w:tcW w:w="606" w:type="pct"/>
          </w:tcPr>
          <w:p w14:paraId="4CE315E2"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3ECB4CE1" w14:textId="77777777" w:rsidR="00C7511A" w:rsidRPr="008D5FF4" w:rsidRDefault="00C7511A" w:rsidP="00885F04">
            <w:pPr>
              <w:spacing w:before="40" w:after="40"/>
              <w:ind w:right="187"/>
              <w:rPr>
                <w:b w:val="0"/>
                <w:bCs w:val="0"/>
                <w:sz w:val="18"/>
                <w:szCs w:val="18"/>
              </w:rPr>
            </w:pPr>
            <w:r w:rsidRPr="008D5FF4">
              <w:rPr>
                <w:b w:val="0"/>
                <w:bCs w:val="0"/>
                <w:sz w:val="18"/>
                <w:szCs w:val="18"/>
              </w:rPr>
              <w:t>DMT Consulting Private Limited</w:t>
            </w:r>
          </w:p>
        </w:tc>
        <w:tc>
          <w:tcPr>
            <w:tcW w:w="988" w:type="pct"/>
          </w:tcPr>
          <w:p w14:paraId="18511C0C" w14:textId="77777777" w:rsidR="00C7511A" w:rsidRPr="008D5FF4" w:rsidRDefault="00C7511A" w:rsidP="00885F04">
            <w:pPr>
              <w:spacing w:before="40" w:after="40"/>
              <w:ind w:right="187"/>
              <w:rPr>
                <w:b w:val="0"/>
                <w:bCs w:val="0"/>
                <w:sz w:val="18"/>
                <w:szCs w:val="18"/>
              </w:rPr>
            </w:pPr>
            <w:r w:rsidRPr="008D5FF4">
              <w:rPr>
                <w:b w:val="0"/>
                <w:bCs w:val="0"/>
                <w:sz w:val="18"/>
                <w:szCs w:val="18"/>
              </w:rPr>
              <w:t>Kolkata</w:t>
            </w:r>
          </w:p>
        </w:tc>
        <w:tc>
          <w:tcPr>
            <w:tcW w:w="831" w:type="pct"/>
          </w:tcPr>
          <w:p w14:paraId="7AADB6B2"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51486DDA" w14:textId="77777777" w:rsidTr="002F7E18">
        <w:tc>
          <w:tcPr>
            <w:tcW w:w="606" w:type="pct"/>
            <w:shd w:val="clear" w:color="auto" w:fill="FFFFFF" w:themeFill="background1"/>
          </w:tcPr>
          <w:p w14:paraId="3899701E"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shd w:val="clear" w:color="auto" w:fill="FFFFFF" w:themeFill="background1"/>
          </w:tcPr>
          <w:p w14:paraId="716F1420" w14:textId="77777777" w:rsidR="00C7511A" w:rsidRPr="008D5FF4" w:rsidRDefault="00C7511A" w:rsidP="00885F04">
            <w:pPr>
              <w:spacing w:before="40" w:after="40"/>
              <w:ind w:right="187"/>
              <w:rPr>
                <w:b w:val="0"/>
                <w:bCs w:val="0"/>
                <w:sz w:val="18"/>
                <w:szCs w:val="18"/>
              </w:rPr>
            </w:pPr>
            <w:r w:rsidRPr="008D5FF4">
              <w:rPr>
                <w:b w:val="0"/>
                <w:bCs w:val="0"/>
                <w:sz w:val="18"/>
                <w:szCs w:val="18"/>
              </w:rPr>
              <w:t>JMS Mining Private Limited</w:t>
            </w:r>
          </w:p>
        </w:tc>
        <w:tc>
          <w:tcPr>
            <w:tcW w:w="988" w:type="pct"/>
            <w:shd w:val="clear" w:color="auto" w:fill="FFFFFF" w:themeFill="background1"/>
          </w:tcPr>
          <w:p w14:paraId="4D63F8AD" w14:textId="77777777" w:rsidR="00C7511A" w:rsidRPr="008D5FF4" w:rsidRDefault="00C7511A" w:rsidP="00885F04">
            <w:pPr>
              <w:spacing w:before="40" w:after="40"/>
              <w:ind w:right="187"/>
              <w:rPr>
                <w:b w:val="0"/>
                <w:bCs w:val="0"/>
                <w:sz w:val="18"/>
                <w:szCs w:val="18"/>
              </w:rPr>
            </w:pPr>
            <w:r w:rsidRPr="008D5FF4">
              <w:rPr>
                <w:b w:val="0"/>
                <w:bCs w:val="0"/>
                <w:sz w:val="18"/>
                <w:szCs w:val="18"/>
              </w:rPr>
              <w:t>Kolkata</w:t>
            </w:r>
          </w:p>
        </w:tc>
        <w:tc>
          <w:tcPr>
            <w:tcW w:w="831" w:type="pct"/>
            <w:shd w:val="clear" w:color="auto" w:fill="FFFFFF" w:themeFill="background1"/>
          </w:tcPr>
          <w:p w14:paraId="0F47D1CD"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4E45ACDE" w14:textId="77777777" w:rsidTr="002F7E18">
        <w:tc>
          <w:tcPr>
            <w:tcW w:w="606" w:type="pct"/>
          </w:tcPr>
          <w:p w14:paraId="62AB2FDE"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5C583229" w14:textId="77777777" w:rsidR="00C7511A" w:rsidRPr="008D5FF4" w:rsidRDefault="00C7511A" w:rsidP="00885F04">
            <w:pPr>
              <w:spacing w:before="40" w:after="40"/>
              <w:ind w:right="187"/>
              <w:rPr>
                <w:b w:val="0"/>
                <w:bCs w:val="0"/>
                <w:sz w:val="18"/>
                <w:szCs w:val="18"/>
              </w:rPr>
            </w:pPr>
            <w:r w:rsidRPr="008D5FF4">
              <w:rPr>
                <w:b w:val="0"/>
                <w:bCs w:val="0"/>
                <w:sz w:val="18"/>
                <w:szCs w:val="18"/>
              </w:rPr>
              <w:t>The Singareni Collieries Company Limited (A Government Company)</w:t>
            </w:r>
          </w:p>
        </w:tc>
        <w:tc>
          <w:tcPr>
            <w:tcW w:w="988" w:type="pct"/>
          </w:tcPr>
          <w:p w14:paraId="3E8938EB" w14:textId="77777777" w:rsidR="00C7511A" w:rsidRPr="008D5FF4" w:rsidRDefault="00C7511A" w:rsidP="00885F04">
            <w:pPr>
              <w:spacing w:before="40" w:after="40"/>
              <w:ind w:right="187"/>
              <w:rPr>
                <w:b w:val="0"/>
                <w:bCs w:val="0"/>
                <w:sz w:val="18"/>
                <w:szCs w:val="18"/>
              </w:rPr>
            </w:pPr>
            <w:r w:rsidRPr="008D5FF4">
              <w:rPr>
                <w:b w:val="0"/>
                <w:bCs w:val="0"/>
                <w:sz w:val="18"/>
                <w:szCs w:val="18"/>
              </w:rPr>
              <w:t>Khammam</w:t>
            </w:r>
          </w:p>
        </w:tc>
        <w:tc>
          <w:tcPr>
            <w:tcW w:w="831" w:type="pct"/>
          </w:tcPr>
          <w:p w14:paraId="31596A09"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1DFC704C" w14:textId="77777777" w:rsidTr="002F7E18">
        <w:tc>
          <w:tcPr>
            <w:tcW w:w="606" w:type="pct"/>
          </w:tcPr>
          <w:p w14:paraId="62059311"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lang w:val="en-GB"/>
              </w:rPr>
            </w:pPr>
          </w:p>
        </w:tc>
        <w:tc>
          <w:tcPr>
            <w:tcW w:w="2575" w:type="pct"/>
          </w:tcPr>
          <w:p w14:paraId="0AE7EBE4" w14:textId="77777777" w:rsidR="00C7511A" w:rsidRPr="008D5FF4" w:rsidRDefault="00C7511A" w:rsidP="00885F04">
            <w:pPr>
              <w:spacing w:before="40" w:after="40"/>
              <w:ind w:right="187"/>
              <w:rPr>
                <w:b w:val="0"/>
                <w:bCs w:val="0"/>
                <w:sz w:val="18"/>
                <w:szCs w:val="18"/>
              </w:rPr>
            </w:pPr>
            <w:r w:rsidRPr="008D5FF4">
              <w:rPr>
                <w:b w:val="0"/>
                <w:bCs w:val="0"/>
                <w:sz w:val="18"/>
                <w:szCs w:val="18"/>
              </w:rPr>
              <w:t>MECON Limited</w:t>
            </w:r>
          </w:p>
        </w:tc>
        <w:tc>
          <w:tcPr>
            <w:tcW w:w="988" w:type="pct"/>
          </w:tcPr>
          <w:p w14:paraId="7E512ED7" w14:textId="77777777" w:rsidR="00C7511A" w:rsidRPr="008D5FF4" w:rsidRDefault="00C7511A" w:rsidP="00885F04">
            <w:pPr>
              <w:spacing w:before="40" w:after="40"/>
              <w:ind w:right="187"/>
              <w:rPr>
                <w:b w:val="0"/>
                <w:bCs w:val="0"/>
                <w:sz w:val="18"/>
                <w:szCs w:val="18"/>
              </w:rPr>
            </w:pPr>
            <w:r w:rsidRPr="008D5FF4">
              <w:rPr>
                <w:b w:val="0"/>
                <w:bCs w:val="0"/>
                <w:sz w:val="18"/>
                <w:szCs w:val="18"/>
              </w:rPr>
              <w:t>Ranchi</w:t>
            </w:r>
          </w:p>
        </w:tc>
        <w:tc>
          <w:tcPr>
            <w:tcW w:w="831" w:type="pct"/>
          </w:tcPr>
          <w:p w14:paraId="0B7EE3F9" w14:textId="77777777" w:rsidR="00C7511A" w:rsidRPr="008D5FF4" w:rsidRDefault="00C7511A" w:rsidP="00885F04">
            <w:pPr>
              <w:spacing w:before="40" w:after="40"/>
              <w:ind w:right="187"/>
              <w:rPr>
                <w:b w:val="0"/>
                <w:bCs w:val="0"/>
                <w:sz w:val="18"/>
                <w:szCs w:val="18"/>
              </w:rPr>
            </w:pPr>
            <w:r w:rsidRPr="008D5FF4">
              <w:rPr>
                <w:b w:val="0"/>
                <w:bCs w:val="0"/>
                <w:sz w:val="18"/>
                <w:szCs w:val="18"/>
              </w:rPr>
              <w:t>MPPA</w:t>
            </w:r>
          </w:p>
        </w:tc>
      </w:tr>
      <w:tr w:rsidR="00C7511A" w:rsidRPr="008D5FF4" w14:paraId="0D60A315" w14:textId="77777777" w:rsidTr="002F7E18">
        <w:tc>
          <w:tcPr>
            <w:tcW w:w="606" w:type="pct"/>
          </w:tcPr>
          <w:p w14:paraId="786CC6DB"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lang w:val="en-GB"/>
              </w:rPr>
            </w:pPr>
          </w:p>
        </w:tc>
        <w:tc>
          <w:tcPr>
            <w:tcW w:w="2575" w:type="pct"/>
          </w:tcPr>
          <w:p w14:paraId="0015C90E" w14:textId="77777777" w:rsidR="00C7511A" w:rsidRPr="008D5FF4" w:rsidRDefault="00C7511A" w:rsidP="00885F04">
            <w:pPr>
              <w:spacing w:before="40" w:after="40"/>
              <w:ind w:right="187"/>
              <w:rPr>
                <w:b w:val="0"/>
                <w:bCs w:val="0"/>
                <w:sz w:val="18"/>
                <w:szCs w:val="18"/>
              </w:rPr>
            </w:pPr>
            <w:r w:rsidRPr="008D5FF4">
              <w:rPr>
                <w:b w:val="0"/>
                <w:bCs w:val="0"/>
                <w:sz w:val="18"/>
                <w:szCs w:val="18"/>
              </w:rPr>
              <w:t>Geo Technical Mining Solutions</w:t>
            </w:r>
          </w:p>
        </w:tc>
        <w:tc>
          <w:tcPr>
            <w:tcW w:w="988" w:type="pct"/>
          </w:tcPr>
          <w:p w14:paraId="5ECEDD8C" w14:textId="77777777" w:rsidR="00C7511A" w:rsidRPr="008D5FF4" w:rsidRDefault="00C7511A" w:rsidP="00885F04">
            <w:pPr>
              <w:spacing w:before="40" w:after="40"/>
              <w:ind w:right="187"/>
              <w:rPr>
                <w:b w:val="0"/>
                <w:bCs w:val="0"/>
                <w:sz w:val="18"/>
                <w:szCs w:val="18"/>
              </w:rPr>
            </w:pPr>
            <w:r w:rsidRPr="008D5FF4">
              <w:rPr>
                <w:b w:val="0"/>
                <w:bCs w:val="0"/>
                <w:sz w:val="18"/>
                <w:szCs w:val="18"/>
              </w:rPr>
              <w:t>Dharmapuri</w:t>
            </w:r>
          </w:p>
        </w:tc>
        <w:tc>
          <w:tcPr>
            <w:tcW w:w="831" w:type="pct"/>
          </w:tcPr>
          <w:p w14:paraId="41163E4B" w14:textId="77777777" w:rsidR="00C7511A" w:rsidRPr="008D5FF4" w:rsidRDefault="00C7511A" w:rsidP="00885F04">
            <w:pPr>
              <w:spacing w:before="40" w:after="40"/>
              <w:ind w:right="187"/>
              <w:rPr>
                <w:b w:val="0"/>
                <w:bCs w:val="0"/>
                <w:sz w:val="18"/>
                <w:szCs w:val="18"/>
              </w:rPr>
            </w:pPr>
            <w:r w:rsidRPr="008D5FF4">
              <w:rPr>
                <w:b w:val="0"/>
                <w:bCs w:val="0"/>
                <w:sz w:val="18"/>
                <w:szCs w:val="18"/>
              </w:rPr>
              <w:t>APA &amp; MPPA</w:t>
            </w:r>
          </w:p>
        </w:tc>
      </w:tr>
      <w:tr w:rsidR="00C7511A" w:rsidRPr="008D5FF4" w14:paraId="2E1272E3" w14:textId="77777777" w:rsidTr="002F7E18">
        <w:tc>
          <w:tcPr>
            <w:tcW w:w="606" w:type="pct"/>
          </w:tcPr>
          <w:p w14:paraId="4F5D1C51"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42143867" w14:textId="77777777" w:rsidR="00C7511A" w:rsidRPr="008D5FF4" w:rsidRDefault="00C7511A" w:rsidP="00885F04">
            <w:pPr>
              <w:spacing w:before="40" w:after="40"/>
              <w:ind w:right="187"/>
              <w:rPr>
                <w:b w:val="0"/>
                <w:bCs w:val="0"/>
                <w:sz w:val="18"/>
                <w:szCs w:val="18"/>
              </w:rPr>
            </w:pPr>
            <w:r w:rsidRPr="008D5FF4">
              <w:rPr>
                <w:b w:val="0"/>
                <w:bCs w:val="0"/>
                <w:sz w:val="18"/>
                <w:szCs w:val="18"/>
              </w:rPr>
              <w:t>Novomine India Private Limited</w:t>
            </w:r>
          </w:p>
        </w:tc>
        <w:tc>
          <w:tcPr>
            <w:tcW w:w="988" w:type="pct"/>
          </w:tcPr>
          <w:p w14:paraId="1CC48D41" w14:textId="77777777" w:rsidR="00C7511A" w:rsidRPr="008D5FF4" w:rsidRDefault="00C7511A" w:rsidP="00885F04">
            <w:pPr>
              <w:spacing w:before="40" w:after="40"/>
              <w:ind w:right="187"/>
              <w:rPr>
                <w:b w:val="0"/>
                <w:bCs w:val="0"/>
                <w:sz w:val="18"/>
                <w:szCs w:val="18"/>
              </w:rPr>
            </w:pPr>
            <w:r w:rsidRPr="008D5FF4">
              <w:rPr>
                <w:b w:val="0"/>
                <w:bCs w:val="0"/>
                <w:sz w:val="18"/>
                <w:szCs w:val="18"/>
              </w:rPr>
              <w:t>East Khasi Hills</w:t>
            </w:r>
          </w:p>
        </w:tc>
        <w:tc>
          <w:tcPr>
            <w:tcW w:w="831" w:type="pct"/>
          </w:tcPr>
          <w:p w14:paraId="3B6BB52E" w14:textId="77777777" w:rsidR="00C7511A" w:rsidRPr="008D5FF4" w:rsidRDefault="00C7511A" w:rsidP="00885F04">
            <w:pPr>
              <w:spacing w:before="40" w:after="40"/>
              <w:ind w:right="187"/>
              <w:rPr>
                <w:b w:val="0"/>
                <w:bCs w:val="0"/>
                <w:sz w:val="18"/>
                <w:szCs w:val="18"/>
              </w:rPr>
            </w:pPr>
            <w:r w:rsidRPr="008D5FF4">
              <w:rPr>
                <w:b w:val="0"/>
                <w:bCs w:val="0"/>
                <w:sz w:val="18"/>
                <w:szCs w:val="18"/>
              </w:rPr>
              <w:t>APA &amp; MPPA</w:t>
            </w:r>
          </w:p>
        </w:tc>
      </w:tr>
      <w:tr w:rsidR="00C7511A" w:rsidRPr="008D5FF4" w14:paraId="4D7B6B5A" w14:textId="77777777" w:rsidTr="002F7E18">
        <w:tc>
          <w:tcPr>
            <w:tcW w:w="606" w:type="pct"/>
          </w:tcPr>
          <w:p w14:paraId="14CE4BC1" w14:textId="77777777" w:rsidR="00C7511A" w:rsidRPr="008D5FF4" w:rsidRDefault="00C7511A" w:rsidP="00885F04">
            <w:pPr>
              <w:pStyle w:val="ListParagraph"/>
              <w:numPr>
                <w:ilvl w:val="0"/>
                <w:numId w:val="60"/>
              </w:numPr>
              <w:spacing w:before="40" w:after="40"/>
              <w:ind w:right="187"/>
              <w:contextualSpacing w:val="0"/>
              <w:jc w:val="left"/>
              <w:rPr>
                <w:rFonts w:eastAsia="Arial"/>
                <w:b w:val="0"/>
                <w:bCs w:val="0"/>
                <w:color w:val="434242"/>
                <w:sz w:val="18"/>
                <w:szCs w:val="18"/>
                <w:lang w:val="en-GB"/>
              </w:rPr>
            </w:pPr>
          </w:p>
        </w:tc>
        <w:tc>
          <w:tcPr>
            <w:tcW w:w="2575" w:type="pct"/>
          </w:tcPr>
          <w:p w14:paraId="493CE40F" w14:textId="77777777" w:rsidR="00C7511A" w:rsidRPr="008D5FF4" w:rsidRDefault="00C7511A" w:rsidP="00885F04">
            <w:pPr>
              <w:spacing w:before="40" w:after="40"/>
              <w:ind w:right="187"/>
              <w:rPr>
                <w:b w:val="0"/>
                <w:bCs w:val="0"/>
                <w:sz w:val="18"/>
                <w:szCs w:val="18"/>
              </w:rPr>
            </w:pPr>
            <w:r w:rsidRPr="008D5FF4">
              <w:rPr>
                <w:b w:val="0"/>
                <w:bCs w:val="0"/>
                <w:sz w:val="18"/>
                <w:szCs w:val="18"/>
              </w:rPr>
              <w:t>Surmine Consulting Private Limited</w:t>
            </w:r>
          </w:p>
        </w:tc>
        <w:tc>
          <w:tcPr>
            <w:tcW w:w="988" w:type="pct"/>
          </w:tcPr>
          <w:p w14:paraId="4005EF16" w14:textId="77777777" w:rsidR="00C7511A" w:rsidRPr="008D5FF4" w:rsidRDefault="00C7511A" w:rsidP="00885F04">
            <w:pPr>
              <w:spacing w:before="40" w:after="40"/>
              <w:ind w:right="187"/>
              <w:rPr>
                <w:b w:val="0"/>
                <w:bCs w:val="0"/>
                <w:sz w:val="18"/>
                <w:szCs w:val="18"/>
              </w:rPr>
            </w:pPr>
            <w:r w:rsidRPr="008D5FF4">
              <w:rPr>
                <w:b w:val="0"/>
                <w:bCs w:val="0"/>
                <w:sz w:val="18"/>
                <w:szCs w:val="18"/>
              </w:rPr>
              <w:t>Delhi</w:t>
            </w:r>
          </w:p>
        </w:tc>
        <w:tc>
          <w:tcPr>
            <w:tcW w:w="831" w:type="pct"/>
          </w:tcPr>
          <w:p w14:paraId="3EB1FE74" w14:textId="77777777" w:rsidR="00C7511A" w:rsidRPr="008D5FF4" w:rsidRDefault="00C7511A" w:rsidP="00885F04">
            <w:pPr>
              <w:spacing w:before="40" w:after="40"/>
              <w:ind w:right="187"/>
              <w:rPr>
                <w:b w:val="0"/>
                <w:bCs w:val="0"/>
                <w:sz w:val="18"/>
                <w:szCs w:val="18"/>
              </w:rPr>
            </w:pPr>
            <w:r w:rsidRPr="008D5FF4">
              <w:rPr>
                <w:b w:val="0"/>
                <w:bCs w:val="0"/>
                <w:sz w:val="18"/>
                <w:szCs w:val="18"/>
              </w:rPr>
              <w:t>APA &amp; MPPA</w:t>
            </w:r>
          </w:p>
        </w:tc>
      </w:tr>
    </w:tbl>
    <w:p w14:paraId="12D232EA" w14:textId="77777777" w:rsidR="00C7511A" w:rsidRPr="0079027D" w:rsidRDefault="00C7511A" w:rsidP="00C7511A">
      <w:pPr>
        <w:pStyle w:val="Source"/>
        <w:ind w:right="182"/>
      </w:pPr>
      <w:r w:rsidRPr="0079027D">
        <w:t>Source: National Accreditation Board for Education and Training (NABET), APA- Accredited Prospecting/Exploration Agency, MPPA- Mining Plan Preparing Agency</w:t>
      </w:r>
    </w:p>
    <w:p w14:paraId="0697582F" w14:textId="7490289E" w:rsidR="00C7511A" w:rsidRPr="0079027D" w:rsidRDefault="00C7511A" w:rsidP="00807182">
      <w:pPr>
        <w:ind w:right="182"/>
      </w:pPr>
      <w:r w:rsidRPr="0079027D">
        <w:rPr>
          <w:b/>
          <w:bCs/>
        </w:rPr>
        <w:t>Exploration:</w:t>
      </w:r>
      <w:r w:rsidRPr="0079027D">
        <w:t xml:space="preserve"> In the realm of exploration, </w:t>
      </w:r>
      <w:r w:rsidR="00574D9A" w:rsidRPr="00574D9A">
        <w:t xml:space="preserve">agencies like </w:t>
      </w:r>
      <w:r w:rsidR="00DB59CD">
        <w:t>CMPDIL</w:t>
      </w:r>
      <w:r w:rsidR="00574D9A">
        <w:t xml:space="preserve"> and </w:t>
      </w:r>
      <w:r w:rsidR="00574D9A" w:rsidRPr="00574D9A">
        <w:t>Mineral Exploration Consulting Limited (</w:t>
      </w:r>
      <w:r w:rsidR="00B11A43" w:rsidRPr="00574D9A">
        <w:t xml:space="preserve">MECL) </w:t>
      </w:r>
      <w:r w:rsidR="00E479BF" w:rsidRPr="0079027D">
        <w:t>conduct</w:t>
      </w:r>
      <w:r w:rsidRPr="0079027D">
        <w:t xml:space="preserve"> geological </w:t>
      </w:r>
      <w:r w:rsidR="00875512">
        <w:t xml:space="preserve">mapping, </w:t>
      </w:r>
      <w:r w:rsidRPr="0079027D">
        <w:t xml:space="preserve">surveys and resource assessments. </w:t>
      </w:r>
      <w:r w:rsidR="00B70191" w:rsidRPr="00B70191">
        <w:t>The Ministry of Mines has introduced a Scheme for Accreditation of Agencies for Mineral Exploration, as per the notification dated 12</w:t>
      </w:r>
      <w:r w:rsidR="002748C8" w:rsidRPr="002748C8">
        <w:rPr>
          <w:vertAlign w:val="superscript"/>
        </w:rPr>
        <w:t>th</w:t>
      </w:r>
      <w:r w:rsidR="002748C8">
        <w:t xml:space="preserve"> </w:t>
      </w:r>
      <w:r w:rsidR="00B70191" w:rsidRPr="00B70191">
        <w:t xml:space="preserve">August 2021. The Quality Council of India - National Accreditation Board for Education and Training (QCI-NABET) has developed this scheme, which aims to accredit agencies undertaking mineral exploration and preparation of Geological Reports (GR). </w:t>
      </w:r>
      <w:r w:rsidRPr="0079027D">
        <w:t>In India, the National Accreditation Board for Education and Training (NABET) accredits mineral exploration agenc</w:t>
      </w:r>
      <w:r w:rsidRPr="00A43B26">
        <w:t>ies</w:t>
      </w:r>
      <w:r w:rsidR="00807182" w:rsidRPr="00A43B26">
        <w:t xml:space="preserve">. </w:t>
      </w:r>
    </w:p>
    <w:p w14:paraId="6B6DD1DC" w14:textId="75DE4575" w:rsidR="000C608A" w:rsidRDefault="002065E5" w:rsidP="00753743">
      <w:r w:rsidRPr="002065E5">
        <w:t xml:space="preserve">After the amendment in the Mines and Minerals (Development and Regulation) Act, 1957 (MMDR Act) in 2023, which empowered the Central Government to exclusively auction Composite </w:t>
      </w:r>
      <w:r w:rsidR="00B82061" w:rsidRPr="002065E5">
        <w:t>License</w:t>
      </w:r>
      <w:r w:rsidRPr="002065E5">
        <w:t xml:space="preserve"> and Mining Lease for critical and strategic minerals listed in Part D of the first Schedule of the</w:t>
      </w:r>
      <w:r w:rsidR="00EA0AB5">
        <w:t xml:space="preserve"> MMDR</w:t>
      </w:r>
      <w:r w:rsidRPr="002065E5">
        <w:t xml:space="preserve"> Act, a scheme for engagement of Notified Private Exploration Agencies (NPEAs) in mineral exploration directly through the National Mineral Exploration Trust (NMET) was notified.</w:t>
      </w:r>
    </w:p>
    <w:p w14:paraId="2BAFB968" w14:textId="407B8396" w:rsidR="00C7511A" w:rsidRDefault="00C7511A" w:rsidP="00C7511A">
      <w:pPr>
        <w:ind w:right="182"/>
      </w:pPr>
      <w:r w:rsidRPr="00F92851">
        <w:rPr>
          <w:b/>
          <w:bCs/>
        </w:rPr>
        <w:t>Geomatics</w:t>
      </w:r>
      <w:r w:rsidRPr="00F92851">
        <w:t xml:space="preserve">: </w:t>
      </w:r>
      <w:r w:rsidR="00DB59CD">
        <w:t>CMPDIL</w:t>
      </w:r>
      <w:r w:rsidRPr="00F92851">
        <w:t>'s</w:t>
      </w:r>
      <w:r w:rsidRPr="00BF08F8">
        <w:t xml:space="preserve"> geomatics</w:t>
      </w:r>
      <w:r>
        <w:t xml:space="preserve"> services involve the application of geospatial technologies for mining operations. The Indian Space Research Organization (ISRO), through its National Remote Sensing Centre (NRSC), offers comparable geospatial data services, aiding various sectors, including mining. </w:t>
      </w:r>
    </w:p>
    <w:p w14:paraId="097AF046" w14:textId="41E17B85" w:rsidR="00C7511A" w:rsidRDefault="00C7511A" w:rsidP="00C7511A">
      <w:pPr>
        <w:ind w:right="182"/>
      </w:pPr>
      <w:r w:rsidRPr="00F92851">
        <w:rPr>
          <w:b/>
          <w:bCs/>
        </w:rPr>
        <w:t>Environment Management:</w:t>
      </w:r>
      <w:r w:rsidRPr="006B79FD">
        <w:t xml:space="preserve"> Addressing environmental concerns, </w:t>
      </w:r>
      <w:r w:rsidR="00DB59CD">
        <w:t>CMPDIL</w:t>
      </w:r>
      <w:r w:rsidRPr="006B79FD">
        <w:t>'s environment management division ensures compliance with environmental</w:t>
      </w:r>
      <w:r>
        <w:t xml:space="preserve"> standards and implements sustainable practices. A total of 219 EIA Consulting Companies have been accredited by MoEF&amp;CC, GoI </w:t>
      </w:r>
      <w:r w:rsidRPr="001F7E0E">
        <w:t>(as on March 5, 2025)</w:t>
      </w:r>
      <w:r>
        <w:t>.  A few of the important companies are listed below:</w:t>
      </w:r>
    </w:p>
    <w:p w14:paraId="4C605F08" w14:textId="04A23D12" w:rsidR="00C7511A" w:rsidRDefault="00C7511A" w:rsidP="00C7511A">
      <w:pPr>
        <w:pStyle w:val="Caption"/>
        <w:ind w:right="182"/>
      </w:pPr>
      <w:bookmarkStart w:id="6600" w:name="_Toc198731464"/>
      <w:r w:rsidRPr="0079027D">
        <w:t xml:space="preserve">Table </w:t>
      </w:r>
      <w:r w:rsidRPr="0079027D">
        <w:fldChar w:fldCharType="begin"/>
      </w:r>
      <w:r w:rsidRPr="0079027D">
        <w:instrText xml:space="preserve"> STYLEREF 1 \s </w:instrText>
      </w:r>
      <w:r w:rsidRPr="0079027D">
        <w:fldChar w:fldCharType="separate"/>
      </w:r>
      <w:r w:rsidR="002142B9">
        <w:rPr>
          <w:noProof/>
        </w:rPr>
        <w:t>4</w:t>
      </w:r>
      <w:r w:rsidRPr="0079027D">
        <w:fldChar w:fldCharType="end"/>
      </w:r>
      <w:r w:rsidRPr="0079027D">
        <w:t>.</w:t>
      </w:r>
      <w:r w:rsidRPr="0079027D">
        <w:fldChar w:fldCharType="begin"/>
      </w:r>
      <w:r w:rsidRPr="0079027D">
        <w:instrText xml:space="preserve"> SEQ Table \* ARABIC \s 1 </w:instrText>
      </w:r>
      <w:r w:rsidRPr="0079027D">
        <w:fldChar w:fldCharType="separate"/>
      </w:r>
      <w:r w:rsidR="002142B9">
        <w:rPr>
          <w:noProof/>
        </w:rPr>
        <w:t>3</w:t>
      </w:r>
      <w:r w:rsidRPr="0079027D">
        <w:fldChar w:fldCharType="end"/>
      </w:r>
      <w:r w:rsidRPr="0079027D">
        <w:t xml:space="preserve"> List of </w:t>
      </w:r>
      <w:r w:rsidRPr="00D41CAA">
        <w:t>Accredited EIA Consultant Organisations</w:t>
      </w:r>
      <w:bookmarkEnd w:id="6600"/>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990"/>
        <w:gridCol w:w="9540"/>
      </w:tblGrid>
      <w:tr w:rsidR="00C7511A" w:rsidRPr="00E202E7" w14:paraId="0C888B11" w14:textId="77777777" w:rsidTr="00662938">
        <w:trPr>
          <w:tblHeader/>
        </w:trPr>
        <w:tc>
          <w:tcPr>
            <w:tcW w:w="470" w:type="pct"/>
            <w:shd w:val="clear" w:color="auto" w:fill="156082" w:themeFill="accent1"/>
            <w:vAlign w:val="center"/>
          </w:tcPr>
          <w:p w14:paraId="282A9930" w14:textId="77777777" w:rsidR="00C7511A" w:rsidRPr="00662938" w:rsidRDefault="00C7511A" w:rsidP="00662938">
            <w:pPr>
              <w:spacing w:before="80" w:after="80" w:line="240" w:lineRule="auto"/>
              <w:ind w:right="182"/>
              <w:jc w:val="left"/>
              <w:rPr>
                <w:color w:val="FFFFFF"/>
                <w:sz w:val="18"/>
                <w:szCs w:val="18"/>
                <w:lang w:val="en-GB"/>
              </w:rPr>
            </w:pPr>
            <w:r w:rsidRPr="00E202E7">
              <w:rPr>
                <w:color w:val="FFFFFF"/>
                <w:sz w:val="18"/>
                <w:szCs w:val="18"/>
                <w:lang w:val="en-GB"/>
              </w:rPr>
              <w:t>Sr. No.</w:t>
            </w:r>
          </w:p>
        </w:tc>
        <w:tc>
          <w:tcPr>
            <w:tcW w:w="4530" w:type="pct"/>
            <w:shd w:val="clear" w:color="auto" w:fill="156082" w:themeFill="accent1"/>
            <w:vAlign w:val="center"/>
          </w:tcPr>
          <w:p w14:paraId="054393C4" w14:textId="77777777" w:rsidR="00C7511A" w:rsidRPr="00662938" w:rsidRDefault="00C7511A" w:rsidP="00662938">
            <w:pPr>
              <w:spacing w:before="80" w:after="80" w:line="240" w:lineRule="auto"/>
              <w:ind w:right="182"/>
              <w:jc w:val="left"/>
              <w:rPr>
                <w:color w:val="FFFFFF"/>
                <w:sz w:val="18"/>
                <w:szCs w:val="18"/>
                <w:lang w:val="en-GB"/>
              </w:rPr>
            </w:pPr>
            <w:r w:rsidRPr="00E202E7">
              <w:rPr>
                <w:color w:val="FFFFFF"/>
                <w:sz w:val="18"/>
                <w:szCs w:val="18"/>
                <w:lang w:val="en-GB"/>
              </w:rPr>
              <w:t>Name of Company</w:t>
            </w:r>
          </w:p>
        </w:tc>
      </w:tr>
      <w:tr w:rsidR="00C7511A" w:rsidRPr="006A559B" w14:paraId="237A3B1E" w14:textId="77777777" w:rsidTr="00662938">
        <w:tc>
          <w:tcPr>
            <w:tcW w:w="470" w:type="pct"/>
            <w:shd w:val="clear" w:color="auto" w:fill="C9D8E1"/>
            <w:vAlign w:val="center"/>
          </w:tcPr>
          <w:p w14:paraId="6D4BBBE0" w14:textId="77777777" w:rsidR="00C7511A" w:rsidRPr="006A559B" w:rsidRDefault="00C7511A" w:rsidP="00662938">
            <w:pPr>
              <w:spacing w:before="40" w:after="40" w:line="240" w:lineRule="auto"/>
              <w:ind w:right="187"/>
              <w:jc w:val="left"/>
              <w:rPr>
                <w:rFonts w:eastAsia="Arial"/>
                <w:color w:val="434242"/>
                <w:sz w:val="18"/>
                <w:szCs w:val="20"/>
                <w:lang w:val="en-GB"/>
              </w:rPr>
            </w:pPr>
            <w:r w:rsidRPr="00662938">
              <w:rPr>
                <w:sz w:val="18"/>
                <w:szCs w:val="20"/>
              </w:rPr>
              <w:t>1</w:t>
            </w:r>
          </w:p>
        </w:tc>
        <w:tc>
          <w:tcPr>
            <w:tcW w:w="4530" w:type="pct"/>
            <w:shd w:val="clear" w:color="auto" w:fill="C9D8E1"/>
            <w:vAlign w:val="center"/>
          </w:tcPr>
          <w:p w14:paraId="0D738321" w14:textId="512C5C76" w:rsidR="00C7511A" w:rsidRPr="006A559B" w:rsidRDefault="00C7511A" w:rsidP="00662938">
            <w:pPr>
              <w:spacing w:before="40" w:after="40" w:line="240" w:lineRule="auto"/>
              <w:ind w:right="187"/>
              <w:jc w:val="left"/>
              <w:rPr>
                <w:rFonts w:eastAsia="Arial"/>
                <w:color w:val="434242"/>
                <w:sz w:val="18"/>
                <w:szCs w:val="20"/>
                <w:lang w:val="en-GB"/>
              </w:rPr>
            </w:pPr>
            <w:r w:rsidRPr="00662938">
              <w:rPr>
                <w:sz w:val="18"/>
                <w:szCs w:val="20"/>
              </w:rPr>
              <w:t>Central Mine Planning &amp; Design Institute Limited</w:t>
            </w:r>
            <w:r w:rsidR="002F1EDF" w:rsidRPr="00662938">
              <w:rPr>
                <w:sz w:val="18"/>
                <w:szCs w:val="20"/>
              </w:rPr>
              <w:t>*</w:t>
            </w:r>
          </w:p>
        </w:tc>
      </w:tr>
      <w:tr w:rsidR="00C7511A" w:rsidRPr="006A559B" w14:paraId="3584BE47" w14:textId="77777777" w:rsidTr="00662938">
        <w:trPr>
          <w:trHeight w:val="242"/>
        </w:trPr>
        <w:tc>
          <w:tcPr>
            <w:tcW w:w="470" w:type="pct"/>
            <w:vAlign w:val="center"/>
          </w:tcPr>
          <w:p w14:paraId="233AB53B" w14:textId="77777777" w:rsidR="00C7511A" w:rsidRPr="006A559B" w:rsidRDefault="00C7511A" w:rsidP="00662938">
            <w:pPr>
              <w:spacing w:before="40" w:after="40" w:line="240" w:lineRule="auto"/>
              <w:ind w:right="187"/>
              <w:jc w:val="left"/>
              <w:rPr>
                <w:rFonts w:eastAsia="Arial"/>
                <w:b w:val="0"/>
                <w:bCs w:val="0"/>
                <w:color w:val="434242"/>
                <w:sz w:val="18"/>
                <w:szCs w:val="20"/>
                <w:lang w:val="en-GB"/>
              </w:rPr>
            </w:pPr>
            <w:r w:rsidRPr="00662938">
              <w:rPr>
                <w:sz w:val="18"/>
                <w:szCs w:val="20"/>
              </w:rPr>
              <w:t>2</w:t>
            </w:r>
          </w:p>
        </w:tc>
        <w:tc>
          <w:tcPr>
            <w:tcW w:w="4530" w:type="pct"/>
            <w:vAlign w:val="center"/>
          </w:tcPr>
          <w:p w14:paraId="1E476F47" w14:textId="74F7D99D" w:rsidR="00C7511A" w:rsidRPr="006A559B" w:rsidRDefault="00C7511A" w:rsidP="00662938">
            <w:pPr>
              <w:spacing w:before="40" w:after="40" w:line="240" w:lineRule="auto"/>
              <w:ind w:right="187"/>
              <w:jc w:val="left"/>
              <w:rPr>
                <w:rFonts w:eastAsia="Arial"/>
                <w:b w:val="0"/>
                <w:bCs w:val="0"/>
                <w:color w:val="434242"/>
                <w:sz w:val="18"/>
                <w:szCs w:val="20"/>
                <w:lang w:val="en-GB"/>
              </w:rPr>
            </w:pPr>
            <w:r w:rsidRPr="00662938">
              <w:rPr>
                <w:sz w:val="18"/>
                <w:szCs w:val="20"/>
              </w:rPr>
              <w:t>Engineers India Limited</w:t>
            </w:r>
            <w:r w:rsidR="006A559B" w:rsidRPr="00662938">
              <w:rPr>
                <w:sz w:val="18"/>
                <w:szCs w:val="20"/>
              </w:rPr>
              <w:t xml:space="preserve"> (EIL)</w:t>
            </w:r>
            <w:r w:rsidR="002F1EDF" w:rsidRPr="00662938">
              <w:rPr>
                <w:sz w:val="18"/>
                <w:szCs w:val="20"/>
              </w:rPr>
              <w:t>*</w:t>
            </w:r>
          </w:p>
        </w:tc>
      </w:tr>
      <w:tr w:rsidR="00C7511A" w:rsidRPr="006A559B" w14:paraId="0A411D17" w14:textId="77777777" w:rsidTr="00662938">
        <w:tc>
          <w:tcPr>
            <w:tcW w:w="470" w:type="pct"/>
            <w:vAlign w:val="center"/>
          </w:tcPr>
          <w:p w14:paraId="40846835" w14:textId="77777777" w:rsidR="00C7511A" w:rsidRPr="006A559B" w:rsidRDefault="00C7511A" w:rsidP="00662938">
            <w:pPr>
              <w:spacing w:before="40" w:after="40" w:line="240" w:lineRule="auto"/>
              <w:ind w:right="187"/>
              <w:jc w:val="left"/>
              <w:rPr>
                <w:rFonts w:eastAsia="Arial"/>
                <w:b w:val="0"/>
                <w:bCs w:val="0"/>
                <w:color w:val="434242"/>
                <w:sz w:val="18"/>
                <w:szCs w:val="20"/>
                <w:lang w:val="en-GB"/>
              </w:rPr>
            </w:pPr>
            <w:r w:rsidRPr="00662938">
              <w:rPr>
                <w:sz w:val="18"/>
                <w:szCs w:val="20"/>
              </w:rPr>
              <w:t>3</w:t>
            </w:r>
          </w:p>
        </w:tc>
        <w:tc>
          <w:tcPr>
            <w:tcW w:w="4530" w:type="pct"/>
            <w:vAlign w:val="center"/>
          </w:tcPr>
          <w:p w14:paraId="329E9EDC" w14:textId="0E1F8985" w:rsidR="00C7511A" w:rsidRPr="006A559B" w:rsidRDefault="00C7511A" w:rsidP="00662938">
            <w:pPr>
              <w:spacing w:before="40" w:after="40" w:line="240" w:lineRule="auto"/>
              <w:ind w:right="187"/>
              <w:jc w:val="left"/>
              <w:rPr>
                <w:b w:val="0"/>
                <w:bCs w:val="0"/>
                <w:sz w:val="18"/>
                <w:szCs w:val="20"/>
              </w:rPr>
            </w:pPr>
            <w:r w:rsidRPr="00662938">
              <w:rPr>
                <w:sz w:val="18"/>
                <w:szCs w:val="20"/>
              </w:rPr>
              <w:t>M</w:t>
            </w:r>
            <w:r w:rsidR="006A559B" w:rsidRPr="00662938">
              <w:rPr>
                <w:sz w:val="18"/>
                <w:szCs w:val="20"/>
              </w:rPr>
              <w:t>ECON</w:t>
            </w:r>
            <w:r w:rsidRPr="00662938">
              <w:rPr>
                <w:sz w:val="18"/>
                <w:szCs w:val="20"/>
              </w:rPr>
              <w:t xml:space="preserve"> Limited</w:t>
            </w:r>
            <w:r w:rsidR="002F1EDF" w:rsidRPr="00662938">
              <w:rPr>
                <w:sz w:val="18"/>
                <w:szCs w:val="20"/>
              </w:rPr>
              <w:t>*</w:t>
            </w:r>
          </w:p>
        </w:tc>
      </w:tr>
      <w:tr w:rsidR="00C7511A" w:rsidRPr="006A559B" w14:paraId="009D224E" w14:textId="77777777" w:rsidTr="00662938">
        <w:tc>
          <w:tcPr>
            <w:tcW w:w="470" w:type="pct"/>
            <w:vAlign w:val="center"/>
          </w:tcPr>
          <w:p w14:paraId="7F05B38C" w14:textId="77777777" w:rsidR="00C7511A" w:rsidRPr="006A559B" w:rsidRDefault="00C7511A" w:rsidP="00662938">
            <w:pPr>
              <w:spacing w:before="40" w:after="40" w:line="240" w:lineRule="auto"/>
              <w:ind w:right="187"/>
              <w:jc w:val="left"/>
              <w:rPr>
                <w:rFonts w:eastAsia="Arial"/>
                <w:b w:val="0"/>
                <w:bCs w:val="0"/>
                <w:color w:val="434242"/>
                <w:sz w:val="18"/>
                <w:szCs w:val="20"/>
                <w:lang w:val="en-GB"/>
              </w:rPr>
            </w:pPr>
            <w:r w:rsidRPr="00662938">
              <w:rPr>
                <w:sz w:val="18"/>
                <w:szCs w:val="20"/>
              </w:rPr>
              <w:t>4</w:t>
            </w:r>
          </w:p>
        </w:tc>
        <w:tc>
          <w:tcPr>
            <w:tcW w:w="4530" w:type="pct"/>
            <w:vAlign w:val="center"/>
          </w:tcPr>
          <w:p w14:paraId="18C60AE8" w14:textId="77777777" w:rsidR="00C7511A" w:rsidRPr="006A559B" w:rsidRDefault="00C7511A" w:rsidP="00662938">
            <w:pPr>
              <w:spacing w:before="40" w:after="40" w:line="240" w:lineRule="auto"/>
              <w:ind w:right="187"/>
              <w:jc w:val="left"/>
              <w:rPr>
                <w:b w:val="0"/>
                <w:bCs w:val="0"/>
                <w:sz w:val="18"/>
                <w:szCs w:val="20"/>
              </w:rPr>
            </w:pPr>
            <w:r w:rsidRPr="00662938">
              <w:rPr>
                <w:sz w:val="18"/>
                <w:szCs w:val="20"/>
              </w:rPr>
              <w:t>Min Mec Consultancy Private Limited</w:t>
            </w:r>
          </w:p>
        </w:tc>
      </w:tr>
      <w:tr w:rsidR="00C7511A" w:rsidRPr="006A559B" w14:paraId="60400F01" w14:textId="77777777" w:rsidTr="00662938">
        <w:tc>
          <w:tcPr>
            <w:tcW w:w="470" w:type="pct"/>
            <w:vAlign w:val="center"/>
          </w:tcPr>
          <w:p w14:paraId="2739AA68" w14:textId="77777777" w:rsidR="00C7511A" w:rsidRPr="006A559B" w:rsidRDefault="00C7511A" w:rsidP="00662938">
            <w:pPr>
              <w:spacing w:before="40" w:after="40" w:line="240" w:lineRule="auto"/>
              <w:ind w:right="187"/>
              <w:jc w:val="left"/>
              <w:rPr>
                <w:rFonts w:eastAsia="Arial"/>
                <w:b w:val="0"/>
                <w:bCs w:val="0"/>
                <w:color w:val="434242"/>
                <w:sz w:val="18"/>
                <w:szCs w:val="20"/>
                <w:lang w:val="en-GB"/>
              </w:rPr>
            </w:pPr>
            <w:r w:rsidRPr="00662938">
              <w:rPr>
                <w:sz w:val="18"/>
                <w:szCs w:val="20"/>
              </w:rPr>
              <w:t>5</w:t>
            </w:r>
          </w:p>
        </w:tc>
        <w:tc>
          <w:tcPr>
            <w:tcW w:w="4530" w:type="pct"/>
            <w:vAlign w:val="center"/>
          </w:tcPr>
          <w:p w14:paraId="6A4B27BB" w14:textId="77777777" w:rsidR="00C7511A" w:rsidRPr="006A559B" w:rsidRDefault="00C7511A" w:rsidP="00662938">
            <w:pPr>
              <w:spacing w:before="40" w:after="40" w:line="240" w:lineRule="auto"/>
              <w:ind w:right="187"/>
              <w:jc w:val="left"/>
              <w:rPr>
                <w:b w:val="0"/>
                <w:bCs w:val="0"/>
                <w:sz w:val="18"/>
                <w:szCs w:val="20"/>
              </w:rPr>
            </w:pPr>
            <w:r w:rsidRPr="00662938">
              <w:rPr>
                <w:sz w:val="18"/>
                <w:szCs w:val="20"/>
              </w:rPr>
              <w:t>B. S. Envi-Tech Pvt Ltd</w:t>
            </w:r>
          </w:p>
        </w:tc>
      </w:tr>
    </w:tbl>
    <w:p w14:paraId="148C8843" w14:textId="12D1B807" w:rsidR="00C7511A" w:rsidRPr="00D41CAA" w:rsidRDefault="00C7511A" w:rsidP="00C7511A">
      <w:pPr>
        <w:pStyle w:val="Source"/>
        <w:ind w:right="182"/>
      </w:pPr>
      <w:r w:rsidRPr="00B12588">
        <w:t xml:space="preserve">Source: </w:t>
      </w:r>
      <w:r w:rsidRPr="00D41CAA">
        <w:t xml:space="preserve">National Accreditation Board for Education and Training </w:t>
      </w:r>
      <w:r>
        <w:t>(NABET)</w:t>
      </w:r>
      <w:r w:rsidR="002F1EDF">
        <w:t>, *</w:t>
      </w:r>
      <w:r w:rsidR="00C3282E">
        <w:t xml:space="preserve"> are government companies</w:t>
      </w:r>
    </w:p>
    <w:p w14:paraId="6E541F38" w14:textId="77777777" w:rsidR="00C7511A" w:rsidRDefault="00C7511A" w:rsidP="00C7511A">
      <w:pPr>
        <w:ind w:right="182"/>
      </w:pPr>
      <w:r>
        <w:t>Furthermore, government-affiliated companies with research subsidiaries play a significant role in infrastructure consulting. For instance, RITES Limited, a public sector enterprise under the Ministry of Railways, offers comprehensive engineering consultancy services, including transport infrastructure and related technologies. Similarly, WAPCOS Limited, under the Ministry of Jal Shakti, provides consultancy in water resources, power, and infrastructure sectors, supported by its research and development initiatives.</w:t>
      </w:r>
    </w:p>
    <w:p w14:paraId="2C3E9FFB" w14:textId="2CA1B47E" w:rsidR="00C7511A" w:rsidRDefault="00C7511A" w:rsidP="00C7511A">
      <w:pPr>
        <w:ind w:right="182"/>
      </w:pPr>
      <w:r>
        <w:t xml:space="preserve">In conclusion, benchmarking </w:t>
      </w:r>
      <w:r w:rsidR="00DB59CD">
        <w:t>CMPDIL</w:t>
      </w:r>
      <w:r>
        <w:t xml:space="preserve"> involves analyzing its services in relation to both public and private sector organizations engaged in similar domains. This comparative analysis not only highlights </w:t>
      </w:r>
      <w:r w:rsidR="00DB59CD">
        <w:t>CMPDIL</w:t>
      </w:r>
      <w:r>
        <w:t xml:space="preserve">'s strengths but also identifies areas for potential growth and improvement, ensuring it remains at the forefront of the mining consultancy industry in India. </w:t>
      </w:r>
      <w:r w:rsidRPr="00633CD6">
        <w:t xml:space="preserve">A comprehensive peer comparison of </w:t>
      </w:r>
      <w:r w:rsidR="00DB59CD">
        <w:t>CMPDIL</w:t>
      </w:r>
      <w:r w:rsidRPr="00633CD6">
        <w:t xml:space="preserve"> with</w:t>
      </w:r>
      <w:r w:rsidR="00ED2F50">
        <w:t xml:space="preserve"> </w:t>
      </w:r>
      <w:r w:rsidRPr="00633CD6">
        <w:t>R</w:t>
      </w:r>
      <w:r w:rsidR="004849C0">
        <w:t>ITES Limited</w:t>
      </w:r>
      <w:r w:rsidR="00ED2F50">
        <w:t xml:space="preserve"> and EIL</w:t>
      </w:r>
      <w:r w:rsidR="004849C0">
        <w:t>,</w:t>
      </w:r>
      <w:r w:rsidR="00835D3A">
        <w:t xml:space="preserve"> which are listed entities</w:t>
      </w:r>
      <w:r w:rsidR="004849C0">
        <w:t xml:space="preserve"> </w:t>
      </w:r>
      <w:r w:rsidRPr="00633CD6">
        <w:t xml:space="preserve"> can provide valuable insights into the company's performance</w:t>
      </w:r>
      <w:r>
        <w:t>,</w:t>
      </w:r>
      <w:r w:rsidRPr="00633CD6">
        <w:t xml:space="preserve"> given their similar business profiles and operations in the engineering, consulting, and infrastructure development sectors.</w:t>
      </w:r>
      <w:r w:rsidR="004A2B5D">
        <w:t xml:space="preserve"> Further, a comparison with </w:t>
      </w:r>
      <w:r w:rsidR="004A2B5D" w:rsidRPr="00633CD6">
        <w:t>MECL</w:t>
      </w:r>
      <w:r w:rsidR="004A2B5D">
        <w:t xml:space="preserve"> and</w:t>
      </w:r>
      <w:r w:rsidR="004A2B5D" w:rsidRPr="00633CD6">
        <w:t xml:space="preserve"> M</w:t>
      </w:r>
      <w:r w:rsidR="004A2B5D">
        <w:t xml:space="preserve">ECON Limited, as both these companies are also into </w:t>
      </w:r>
      <w:r w:rsidR="000E693E">
        <w:t xml:space="preserve">the </w:t>
      </w:r>
      <w:r w:rsidR="00BB3478">
        <w:t xml:space="preserve">mining consultancy business with mainly government clientele can </w:t>
      </w:r>
      <w:r w:rsidR="00ED2F50">
        <w:t>bring a better comparison for CMPDIL’s overall financial and operational parameters.</w:t>
      </w:r>
    </w:p>
    <w:p w14:paraId="55211AB3" w14:textId="0427BC34" w:rsidR="00ED2F50" w:rsidRDefault="00ED2F50" w:rsidP="00C7511A">
      <w:pPr>
        <w:ind w:right="182"/>
        <w:rPr>
          <w:b/>
          <w:bCs/>
        </w:rPr>
      </w:pPr>
      <w:r w:rsidRPr="00A40FC5">
        <w:rPr>
          <w:b/>
          <w:bCs/>
        </w:rPr>
        <w:t>RITES Limited:</w:t>
      </w:r>
      <w:r>
        <w:t xml:space="preserve"> RITES, </w:t>
      </w:r>
      <w:r w:rsidRPr="00F44F64">
        <w:t>a Navratna Central Public Sector Enterprise</w:t>
      </w:r>
      <w:r>
        <w:t>, is a multidisciplinary consultancy organization in the fields of transport, infrastructure, and related technologies. Its expertise in infrastructure development and project management presents competition, particularly in projects related to transportation and infrastructure.</w:t>
      </w:r>
    </w:p>
    <w:p w14:paraId="798C24BD" w14:textId="7067B1E9" w:rsidR="00C7511A" w:rsidRDefault="00C7511A" w:rsidP="00C7511A">
      <w:pPr>
        <w:ind w:right="182"/>
      </w:pPr>
      <w:r w:rsidRPr="00A40FC5">
        <w:rPr>
          <w:b/>
          <w:bCs/>
        </w:rPr>
        <w:t>Engineers India Limited (EIL):</w:t>
      </w:r>
      <w:r>
        <w:t xml:space="preserve"> EIL is a leading </w:t>
      </w:r>
      <w:r w:rsidRPr="00F44F64">
        <w:t>engineering consultancy and Project Management company</w:t>
      </w:r>
      <w:r>
        <w:t xml:space="preserve"> in India, primarily serving the petroleum, petrochemical, and natural gas sectors. EIL </w:t>
      </w:r>
      <w:r w:rsidRPr="00F44F64">
        <w:t>has also diversified into sectors like infrastructure, water and waste management, solar &amp; nuclear power and fertilizers to leverage its strong technical competencies and track record.</w:t>
      </w:r>
    </w:p>
    <w:p w14:paraId="5E2110C9" w14:textId="296D36EB" w:rsidR="00C7511A" w:rsidRDefault="00C7511A" w:rsidP="00C7511A">
      <w:pPr>
        <w:ind w:right="182"/>
      </w:pPr>
      <w:r w:rsidRPr="00A40FC5">
        <w:rPr>
          <w:b/>
          <w:bCs/>
        </w:rPr>
        <w:t xml:space="preserve">Mineral Exploration </w:t>
      </w:r>
      <w:r>
        <w:rPr>
          <w:b/>
          <w:bCs/>
        </w:rPr>
        <w:t xml:space="preserve">&amp; </w:t>
      </w:r>
      <w:r w:rsidRPr="00A40FC5">
        <w:rPr>
          <w:b/>
          <w:bCs/>
        </w:rPr>
        <w:t>C</w:t>
      </w:r>
      <w:r>
        <w:rPr>
          <w:b/>
          <w:bCs/>
        </w:rPr>
        <w:t>onsulting</w:t>
      </w:r>
      <w:r w:rsidRPr="00A40FC5">
        <w:rPr>
          <w:b/>
          <w:bCs/>
        </w:rPr>
        <w:t xml:space="preserve"> Limited (MECL):</w:t>
      </w:r>
      <w:r>
        <w:t xml:space="preserve"> MECL specializes in the exploration of mineral resources, including coal, lignite, and other minerals. Its proficiency in geological exploration and resource assessment positions it as a direct competitor to </w:t>
      </w:r>
      <w:r w:rsidR="00DB59CD">
        <w:t>CMPDIL</w:t>
      </w:r>
      <w:r>
        <w:t xml:space="preserve"> in the field of mineral exploration. </w:t>
      </w:r>
    </w:p>
    <w:p w14:paraId="334F9E5E" w14:textId="6B731717" w:rsidR="00540DFE" w:rsidRDefault="00C7511A" w:rsidP="00C7511A">
      <w:pPr>
        <w:ind w:right="182"/>
      </w:pPr>
      <w:r w:rsidRPr="00A40FC5">
        <w:rPr>
          <w:b/>
          <w:bCs/>
        </w:rPr>
        <w:t>MECON Limited</w:t>
      </w:r>
      <w:r>
        <w:t xml:space="preserve">: MECON, </w:t>
      </w:r>
      <w:r w:rsidRPr="00F44F64">
        <w:t>formerly known as Metallurgical &amp; Engineering Consultants (India) Limited</w:t>
      </w:r>
      <w:r>
        <w:t xml:space="preserve"> and</w:t>
      </w:r>
      <w:r w:rsidRPr="00F44F64">
        <w:t xml:space="preserve"> a central public sector undertaking</w:t>
      </w:r>
      <w:r>
        <w:t>,</w:t>
      </w:r>
      <w:r w:rsidRPr="00F44F64">
        <w:t xml:space="preserve"> </w:t>
      </w:r>
      <w:r>
        <w:t>offers a wide range of services, including engineering, consultancy, and project management across various sectors such as metals, power, and oil &amp; gas. Its multidisciplinary approach and experience in large projects make it a formidable competitor in engineering consultancy.</w:t>
      </w:r>
    </w:p>
    <w:p w14:paraId="1D05FE96" w14:textId="52961F76" w:rsidR="00C7511A" w:rsidRDefault="00540DFE" w:rsidP="00C7511A">
      <w:pPr>
        <w:ind w:right="182"/>
      </w:pPr>
      <w:r>
        <w:t xml:space="preserve">In order to undertake </w:t>
      </w:r>
      <w:r w:rsidR="002C5443">
        <w:t>competition</w:t>
      </w:r>
      <w:r>
        <w:t xml:space="preserve"> benchmarking, it is required to benchmark with listed companies </w:t>
      </w:r>
      <w:r w:rsidR="00034E65">
        <w:t xml:space="preserve">of </w:t>
      </w:r>
      <w:r>
        <w:t xml:space="preserve">similar line of business and </w:t>
      </w:r>
      <w:r w:rsidR="002C5443">
        <w:t>size in terms of revenue</w:t>
      </w:r>
      <w:r w:rsidR="004B04B1">
        <w:t xml:space="preserve"> generation</w:t>
      </w:r>
      <w:r w:rsidR="002C5443">
        <w:t>. However, in comparison with CMPDIL</w:t>
      </w:r>
      <w:r w:rsidR="004162CB">
        <w:t>, RITES and EIL may be considered</w:t>
      </w:r>
      <w:r w:rsidR="007F2FCD">
        <w:t xml:space="preserve"> </w:t>
      </w:r>
      <w:r w:rsidR="004B04B1">
        <w:t>to</w:t>
      </w:r>
      <w:r w:rsidR="007C4568">
        <w:t xml:space="preserve"> a</w:t>
      </w:r>
      <w:r w:rsidR="004B04B1">
        <w:t xml:space="preserve"> limited extent </w:t>
      </w:r>
      <w:r w:rsidR="00E05C62">
        <w:t xml:space="preserve">except </w:t>
      </w:r>
      <w:r w:rsidR="007C4568">
        <w:t>these</w:t>
      </w:r>
      <w:r w:rsidR="00AB10E9">
        <w:t xml:space="preserve"> are</w:t>
      </w:r>
      <w:r w:rsidR="007C4568">
        <w:t xml:space="preserve"> </w:t>
      </w:r>
      <w:r w:rsidR="00DE4184">
        <w:t xml:space="preserve">listed </w:t>
      </w:r>
      <w:r w:rsidR="005F34C5">
        <w:t xml:space="preserve">Central Public Sector Enterprises </w:t>
      </w:r>
      <w:r w:rsidR="00B11385">
        <w:t>providing consultancy services</w:t>
      </w:r>
      <w:r w:rsidR="00AB10E9">
        <w:t xml:space="preserve"> </w:t>
      </w:r>
      <w:r w:rsidR="00A31998">
        <w:t xml:space="preserve">catering to different industries. MECL and MECON Limited although being </w:t>
      </w:r>
      <w:r w:rsidR="007B7FCC">
        <w:t>non-listed</w:t>
      </w:r>
      <w:r w:rsidR="00A31998">
        <w:t xml:space="preserve"> entities have been considered as these </w:t>
      </w:r>
      <w:r w:rsidR="00DE482C">
        <w:t xml:space="preserve">entities are involved in </w:t>
      </w:r>
      <w:r w:rsidR="007B7FCC">
        <w:t xml:space="preserve">a </w:t>
      </w:r>
      <w:r w:rsidR="00DE482C">
        <w:t xml:space="preserve">similar line of business catering to the mining </w:t>
      </w:r>
      <w:r w:rsidR="003C11B1">
        <w:t xml:space="preserve">&amp; commodity </w:t>
      </w:r>
      <w:r w:rsidR="00DE482C">
        <w:t xml:space="preserve">industry. </w:t>
      </w:r>
      <w:r w:rsidR="00B11385">
        <w:t xml:space="preserve"> </w:t>
      </w:r>
    </w:p>
    <w:p w14:paraId="0A047B8A" w14:textId="3E6B9425" w:rsidR="00C7511A" w:rsidRDefault="00C7511A" w:rsidP="00C7511A">
      <w:pPr>
        <w:pStyle w:val="Heading2"/>
        <w:ind w:right="182"/>
      </w:pPr>
      <w:bookmarkStart w:id="6601" w:name="_Toc198471882"/>
      <w:bookmarkStart w:id="6602" w:name="_Toc198727920"/>
      <w:bookmarkStart w:id="6603" w:name="_Toc198729035"/>
      <w:bookmarkStart w:id="6604" w:name="_Toc198730150"/>
      <w:bookmarkStart w:id="6605" w:name="_Toc198731265"/>
      <w:bookmarkStart w:id="6606" w:name="_Toc198731266"/>
      <w:bookmarkEnd w:id="6601"/>
      <w:bookmarkEnd w:id="6602"/>
      <w:bookmarkEnd w:id="6603"/>
      <w:bookmarkEnd w:id="6604"/>
      <w:bookmarkEnd w:id="6605"/>
      <w:r w:rsidRPr="006F53BC">
        <w:t>Financial benchmarking</w:t>
      </w:r>
      <w:bookmarkEnd w:id="6606"/>
    </w:p>
    <w:p w14:paraId="7114BC6F" w14:textId="7511B25E" w:rsidR="00C7511A" w:rsidRDefault="00E51740" w:rsidP="00C41ABD">
      <w:pPr>
        <w:ind w:right="182"/>
      </w:pPr>
      <w:r w:rsidRPr="00662938">
        <w:t>CIL plays a pivotal role in India's energy generation and significantly contributes to the country's industrial growth. CMPDIL's relationship with CIL provides the company with a solid foundation and extensive resources that are pivotal to its success in the mining and allied sectors.</w:t>
      </w:r>
      <w:r w:rsidR="00296C60" w:rsidRPr="00662938">
        <w:t xml:space="preserve"> </w:t>
      </w:r>
      <w:r w:rsidR="00F91F0A" w:rsidRPr="00662938">
        <w:t>As an instrumental subsidiary of CIL, CMPDIL is the largest consultancy service provider in the coal and mineral sector in India</w:t>
      </w:r>
      <w:r w:rsidR="00296C60" w:rsidRPr="00662938">
        <w:t xml:space="preserve"> leading to</w:t>
      </w:r>
      <w:r w:rsidR="00F91F0A" w:rsidRPr="00662938">
        <w:t xml:space="preserve"> CMPDIL</w:t>
      </w:r>
      <w:r w:rsidR="00296C60" w:rsidRPr="00662938">
        <w:t>’s</w:t>
      </w:r>
      <w:r w:rsidR="00F91F0A" w:rsidRPr="00662938">
        <w:t xml:space="preserve"> competitive edge over its peers</w:t>
      </w:r>
      <w:r w:rsidR="00F91F0A" w:rsidRPr="00362EB2">
        <w:t>.</w:t>
      </w:r>
      <w:r w:rsidR="00F91F0A">
        <w:t xml:space="preserve"> </w:t>
      </w:r>
      <w:r w:rsidR="00DB59CD">
        <w:t>CMPDIL</w:t>
      </w:r>
      <w:r w:rsidR="00C7511A" w:rsidRPr="005721E9">
        <w:t xml:space="preserve">, </w:t>
      </w:r>
      <w:r w:rsidR="00ED2F50">
        <w:t xml:space="preserve">RITES, </w:t>
      </w:r>
      <w:r w:rsidR="00C7511A" w:rsidRPr="005721E9">
        <w:t>EIL, MECL,</w:t>
      </w:r>
      <w:r w:rsidR="00ED2F50">
        <w:t xml:space="preserve"> and</w:t>
      </w:r>
      <w:r w:rsidR="00C7511A" w:rsidRPr="005721E9">
        <w:t xml:space="preserve"> MECON are all government-affiliated consultancy and engineering firms, in distinct sectors. A direct comparison of financial parameters without adjusting for business models, revenue sources, and sector dynamics can be misleading. Instead, a structured approach is required to derive meaningful insights</w:t>
      </w:r>
      <w:r w:rsidR="00C7511A">
        <w:t xml:space="preserve">. </w:t>
      </w:r>
      <w:r w:rsidR="00DB59CD">
        <w:t>CMPDIL</w:t>
      </w:r>
      <w:r w:rsidR="00C7511A">
        <w:t xml:space="preserve"> and MECL are service providers with project-based revenues tied to coal and mineral exploration, dependent on government contracts. RITES and EIL have a mix of consultancy and project execution in infrastructure, transport, and oil &amp; gas, which brings higher revenue but also more volatility. MECON serves both mining and metallurgical industries, making its performance dependent on the steel and metals sector.</w:t>
      </w:r>
    </w:p>
    <w:p w14:paraId="26866BE5" w14:textId="77777777" w:rsidR="00C03E46" w:rsidRDefault="00C03E46" w:rsidP="00942EFA">
      <w:pPr>
        <w:ind w:right="182"/>
        <w:jc w:val="left"/>
        <w:rPr>
          <w:b/>
          <w:bCs/>
        </w:rPr>
      </w:pPr>
    </w:p>
    <w:p w14:paraId="16268AE7" w14:textId="77777777" w:rsidR="00C03E46" w:rsidRDefault="00C03E46" w:rsidP="00942EFA">
      <w:pPr>
        <w:ind w:right="182"/>
        <w:jc w:val="left"/>
        <w:rPr>
          <w:b/>
          <w:bCs/>
        </w:rPr>
      </w:pPr>
    </w:p>
    <w:p w14:paraId="52C0F578" w14:textId="77777777" w:rsidR="00C03E46" w:rsidRDefault="00C03E46" w:rsidP="00942EFA">
      <w:pPr>
        <w:ind w:right="182"/>
        <w:jc w:val="left"/>
        <w:rPr>
          <w:b/>
          <w:bCs/>
        </w:rPr>
      </w:pPr>
    </w:p>
    <w:p w14:paraId="45442FFC" w14:textId="77777777" w:rsidR="00C03E46" w:rsidRDefault="00C03E46" w:rsidP="00942EFA">
      <w:pPr>
        <w:ind w:right="182"/>
        <w:jc w:val="left"/>
        <w:rPr>
          <w:b/>
          <w:bCs/>
        </w:rPr>
      </w:pPr>
    </w:p>
    <w:p w14:paraId="48848918" w14:textId="77777777" w:rsidR="00C03E46" w:rsidRDefault="00C03E46" w:rsidP="00942EFA">
      <w:pPr>
        <w:ind w:right="182"/>
        <w:jc w:val="left"/>
        <w:rPr>
          <w:b/>
          <w:bCs/>
        </w:rPr>
      </w:pPr>
    </w:p>
    <w:p w14:paraId="640DBA29" w14:textId="77777777" w:rsidR="00C03E46" w:rsidRDefault="00C03E46" w:rsidP="00942EFA">
      <w:pPr>
        <w:ind w:right="182"/>
        <w:jc w:val="left"/>
        <w:rPr>
          <w:b/>
          <w:bCs/>
        </w:rPr>
      </w:pPr>
    </w:p>
    <w:p w14:paraId="3A01AC4A" w14:textId="77777777" w:rsidR="00C03E46" w:rsidRDefault="00C03E46" w:rsidP="00942EFA">
      <w:pPr>
        <w:ind w:right="182"/>
        <w:jc w:val="left"/>
        <w:rPr>
          <w:b/>
          <w:bCs/>
        </w:rPr>
      </w:pPr>
    </w:p>
    <w:p w14:paraId="1970E1C8" w14:textId="77777777" w:rsidR="00C03E46" w:rsidRDefault="00C03E46" w:rsidP="00942EFA">
      <w:pPr>
        <w:ind w:right="182"/>
        <w:jc w:val="left"/>
        <w:rPr>
          <w:b/>
          <w:bCs/>
        </w:rPr>
      </w:pPr>
    </w:p>
    <w:p w14:paraId="7FC678C7" w14:textId="77777777" w:rsidR="00C03E46" w:rsidRDefault="00C03E46" w:rsidP="00942EFA">
      <w:pPr>
        <w:ind w:right="182"/>
        <w:jc w:val="left"/>
        <w:rPr>
          <w:b/>
          <w:bCs/>
        </w:rPr>
      </w:pPr>
    </w:p>
    <w:p w14:paraId="3377BC37" w14:textId="77777777" w:rsidR="00C03E46" w:rsidRDefault="00C03E46" w:rsidP="00942EFA">
      <w:pPr>
        <w:ind w:right="182"/>
        <w:jc w:val="left"/>
        <w:rPr>
          <w:b/>
          <w:bCs/>
        </w:rPr>
      </w:pPr>
    </w:p>
    <w:p w14:paraId="2C6C256D" w14:textId="77777777" w:rsidR="00C03E46" w:rsidRDefault="00C03E46" w:rsidP="00942EFA">
      <w:pPr>
        <w:ind w:right="182"/>
        <w:jc w:val="left"/>
        <w:rPr>
          <w:b/>
          <w:bCs/>
        </w:rPr>
      </w:pPr>
    </w:p>
    <w:p w14:paraId="789E79EB" w14:textId="77777777" w:rsidR="00C03E46" w:rsidRDefault="00C03E46" w:rsidP="00942EFA">
      <w:pPr>
        <w:ind w:right="182"/>
        <w:jc w:val="left"/>
        <w:rPr>
          <w:b/>
          <w:bCs/>
        </w:rPr>
      </w:pPr>
    </w:p>
    <w:p w14:paraId="4E8CAD38" w14:textId="77777777" w:rsidR="00C03E46" w:rsidRDefault="00C03E46" w:rsidP="00942EFA">
      <w:pPr>
        <w:ind w:right="182"/>
        <w:jc w:val="left"/>
        <w:rPr>
          <w:b/>
          <w:bCs/>
        </w:rPr>
      </w:pPr>
    </w:p>
    <w:p w14:paraId="52AB94D8" w14:textId="77777777" w:rsidR="00C03E46" w:rsidRDefault="00C03E46" w:rsidP="00942EFA">
      <w:pPr>
        <w:ind w:right="182"/>
        <w:jc w:val="left"/>
        <w:rPr>
          <w:b/>
          <w:bCs/>
        </w:rPr>
      </w:pPr>
    </w:p>
    <w:p w14:paraId="657138B6" w14:textId="067A9B25" w:rsidR="006D64F7" w:rsidRDefault="00942EFA" w:rsidP="00942EFA">
      <w:pPr>
        <w:ind w:right="182"/>
        <w:jc w:val="left"/>
        <w:rPr>
          <w:b/>
          <w:bCs/>
        </w:rPr>
      </w:pPr>
      <w:bookmarkStart w:id="6607" w:name="_Toc198731518"/>
      <w:r w:rsidRPr="00662938">
        <w:rPr>
          <w:b/>
          <w:bCs/>
        </w:rPr>
        <w:t xml:space="preserve">Figure </w:t>
      </w:r>
      <w:r w:rsidRPr="00662938">
        <w:rPr>
          <w:b/>
          <w:bCs/>
        </w:rPr>
        <w:fldChar w:fldCharType="begin"/>
      </w:r>
      <w:r w:rsidRPr="00662938">
        <w:rPr>
          <w:b/>
          <w:bCs/>
        </w:rPr>
        <w:instrText xml:space="preserve"> STYLEREF 1 \s </w:instrText>
      </w:r>
      <w:r w:rsidRPr="00662938">
        <w:rPr>
          <w:b/>
          <w:bCs/>
        </w:rPr>
        <w:fldChar w:fldCharType="separate"/>
      </w:r>
      <w:r w:rsidR="002142B9">
        <w:rPr>
          <w:b/>
          <w:bCs/>
          <w:noProof/>
        </w:rPr>
        <w:t>4</w:t>
      </w:r>
      <w:r w:rsidRPr="00662938">
        <w:rPr>
          <w:b/>
          <w:bCs/>
        </w:rPr>
        <w:fldChar w:fldCharType="end"/>
      </w:r>
      <w:r w:rsidRPr="00662938">
        <w:rPr>
          <w:b/>
          <w:bCs/>
        </w:rPr>
        <w:t>.</w:t>
      </w:r>
      <w:r w:rsidRPr="00662938">
        <w:rPr>
          <w:b/>
          <w:bCs/>
        </w:rPr>
        <w:fldChar w:fldCharType="begin"/>
      </w:r>
      <w:r w:rsidRPr="00662938">
        <w:rPr>
          <w:b/>
          <w:bCs/>
        </w:rPr>
        <w:instrText xml:space="preserve"> SEQ Figure \* ARABIC \s 1 </w:instrText>
      </w:r>
      <w:r w:rsidRPr="00662938">
        <w:rPr>
          <w:b/>
          <w:bCs/>
        </w:rPr>
        <w:fldChar w:fldCharType="separate"/>
      </w:r>
      <w:r w:rsidR="002142B9">
        <w:rPr>
          <w:b/>
          <w:bCs/>
          <w:noProof/>
        </w:rPr>
        <w:t>1</w:t>
      </w:r>
      <w:r w:rsidRPr="00662938">
        <w:rPr>
          <w:b/>
          <w:bCs/>
        </w:rPr>
        <w:fldChar w:fldCharType="end"/>
      </w:r>
      <w:r w:rsidRPr="00662938">
        <w:rPr>
          <w:b/>
          <w:bCs/>
        </w:rPr>
        <w:t>: Snapshot of CMPDIL’s financial performance</w:t>
      </w:r>
      <w:r w:rsidR="004E3C8F" w:rsidRPr="00ED24CA">
        <w:rPr>
          <w:b/>
          <w:bCs/>
        </w:rPr>
        <w:t xml:space="preserve"> in fiscal 2025</w:t>
      </w:r>
      <w:bookmarkEnd w:id="6607"/>
      <w:r w:rsidR="004E3C8F" w:rsidRPr="00ED24CA">
        <w:rPr>
          <w:b/>
          <w:bCs/>
        </w:rPr>
        <w:t xml:space="preserve"> </w:t>
      </w:r>
    </w:p>
    <w:p w14:paraId="4CE8143D" w14:textId="0B852DA0" w:rsidR="00690B65" w:rsidRDefault="009E5359" w:rsidP="00662938">
      <w:pPr>
        <w:pStyle w:val="Source"/>
        <w:spacing w:after="0" w:line="240" w:lineRule="auto"/>
        <w:ind w:right="182"/>
      </w:pPr>
      <w:r>
        <w:rPr>
          <w:noProof/>
        </w:rPr>
        <w:drawing>
          <wp:inline distT="0" distB="0" distL="0" distR="0" wp14:anchorId="31D6DE5D" wp14:editId="16924889">
            <wp:extent cx="6562725" cy="4143095"/>
            <wp:effectExtent l="0" t="0" r="0" b="0"/>
            <wp:docPr id="140342964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0087" cy="4154056"/>
                    </a:xfrm>
                    <a:prstGeom prst="rect">
                      <a:avLst/>
                    </a:prstGeom>
                    <a:noFill/>
                  </pic:spPr>
                </pic:pic>
              </a:graphicData>
            </a:graphic>
          </wp:inline>
        </w:drawing>
      </w:r>
    </w:p>
    <w:p w14:paraId="320D5A68" w14:textId="61D89564" w:rsidR="00942EFA" w:rsidRPr="00F245BB" w:rsidRDefault="00942EFA" w:rsidP="00662938">
      <w:pPr>
        <w:pStyle w:val="Source"/>
        <w:spacing w:line="360" w:lineRule="auto"/>
        <w:ind w:right="182"/>
      </w:pPr>
      <w:r>
        <w:t>Source: CMPDIL, Crisil Intelligence</w:t>
      </w:r>
    </w:p>
    <w:p w14:paraId="438DD726" w14:textId="34E5F676" w:rsidR="00C7511A" w:rsidRDefault="00C7511A" w:rsidP="00C7511A">
      <w:pPr>
        <w:pStyle w:val="Heading30"/>
        <w:ind w:right="182"/>
      </w:pPr>
      <w:r w:rsidRPr="00F074C6">
        <w:t>Revenue</w:t>
      </w:r>
      <w:r w:rsidR="007F20C8">
        <w:t xml:space="preserve"> from Operations</w:t>
      </w:r>
    </w:p>
    <w:p w14:paraId="3383AB24" w14:textId="7E39F7D2" w:rsidR="00C7511A" w:rsidRPr="00867E9D" w:rsidRDefault="00C7511A" w:rsidP="00C7511A">
      <w:pPr>
        <w:ind w:right="182"/>
      </w:pPr>
      <w:r w:rsidRPr="0003476B">
        <w:t xml:space="preserve">Benchmarking the revenues </w:t>
      </w:r>
      <w:r w:rsidR="003E24EE">
        <w:t>from operations</w:t>
      </w:r>
      <w:r w:rsidR="00AA74D6">
        <w:rPr>
          <w:rStyle w:val="FootnoteReference"/>
        </w:rPr>
        <w:footnoteReference w:id="58"/>
      </w:r>
      <w:r w:rsidR="003E24EE">
        <w:t xml:space="preserve"> </w:t>
      </w:r>
      <w:r w:rsidRPr="0003476B">
        <w:t xml:space="preserve">of </w:t>
      </w:r>
      <w:r w:rsidR="00DB59CD">
        <w:t>CMPDIL</w:t>
      </w:r>
      <w:r w:rsidRPr="0003476B">
        <w:t xml:space="preserve"> against its competitors provides valuable insights into its market position and financial performance. Below is a comparative overview of the revenue</w:t>
      </w:r>
      <w:r w:rsidR="00257C32">
        <w:t xml:space="preserve"> from operations</w:t>
      </w:r>
      <w:r w:rsidRPr="0003476B">
        <w:t xml:space="preserve"> </w:t>
      </w:r>
      <w:r w:rsidR="000B1252">
        <w:t xml:space="preserve">of CMPDIL with its peers - </w:t>
      </w:r>
      <w:r w:rsidR="00257C32" w:rsidRPr="0003476B">
        <w:t>RITES Limited</w:t>
      </w:r>
      <w:r w:rsidR="00257C32">
        <w:t xml:space="preserve">, </w:t>
      </w:r>
      <w:r w:rsidRPr="0003476B">
        <w:t>Engineers India Limited (EIL), Mineral Exploration C</w:t>
      </w:r>
      <w:r>
        <w:t>onsulting</w:t>
      </w:r>
      <w:r w:rsidRPr="0003476B">
        <w:t xml:space="preserve"> Limited (MECL), </w:t>
      </w:r>
      <w:r w:rsidR="00257C32">
        <w:t xml:space="preserve">and </w:t>
      </w:r>
      <w:r w:rsidRPr="0003476B">
        <w:t>MECON Limited</w:t>
      </w:r>
      <w:r w:rsidR="00257C32">
        <w:t>.</w:t>
      </w:r>
    </w:p>
    <w:p w14:paraId="1D1DF7F0" w14:textId="652E6D41" w:rsidR="00577264" w:rsidRDefault="00577264" w:rsidP="00577264">
      <w:pPr>
        <w:pStyle w:val="Caption"/>
        <w:ind w:right="182"/>
      </w:pPr>
      <w:bookmarkStart w:id="6608" w:name="_Toc198731465"/>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4</w:t>
      </w:r>
      <w:r w:rsidRPr="000174A7">
        <w:fldChar w:fldCharType="end"/>
      </w:r>
      <w:r>
        <w:t xml:space="preserve"> Total Revenue</w:t>
      </w:r>
      <w:r w:rsidR="007F20C8">
        <w:t xml:space="preserve"> from Operations</w:t>
      </w:r>
      <w:r>
        <w:t xml:space="preserve"> (Rs million) and CAGR 202</w:t>
      </w:r>
      <w:r w:rsidR="00FD1E69">
        <w:t>3</w:t>
      </w:r>
      <w:r>
        <w:t>-2</w:t>
      </w:r>
      <w:r w:rsidR="00DE575D">
        <w:t>5</w:t>
      </w:r>
      <w:r w:rsidR="00217D74">
        <w:t xml:space="preserve"> (%)</w:t>
      </w:r>
      <w:bookmarkEnd w:id="6608"/>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2377"/>
        <w:gridCol w:w="2001"/>
        <w:gridCol w:w="1839"/>
        <w:gridCol w:w="2161"/>
        <w:gridCol w:w="2152"/>
      </w:tblGrid>
      <w:tr w:rsidR="009275A7" w:rsidRPr="008D5FF4" w14:paraId="774527E1" w14:textId="77777777" w:rsidTr="00662938">
        <w:trPr>
          <w:tblHeader/>
        </w:trPr>
        <w:tc>
          <w:tcPr>
            <w:tcW w:w="1129" w:type="pct"/>
            <w:shd w:val="clear" w:color="auto" w:fill="156082" w:themeFill="accent1"/>
            <w:vAlign w:val="center"/>
          </w:tcPr>
          <w:p w14:paraId="21BD75DA" w14:textId="77777777" w:rsidR="009275A7" w:rsidRPr="008D5FF4" w:rsidRDefault="009275A7" w:rsidP="009A364A">
            <w:pPr>
              <w:spacing w:before="80" w:after="80" w:line="240" w:lineRule="auto"/>
              <w:jc w:val="left"/>
              <w:rPr>
                <w:color w:val="FFFFFF"/>
                <w:szCs w:val="20"/>
                <w:lang w:val="en-GB"/>
              </w:rPr>
            </w:pPr>
            <w:r w:rsidRPr="008D5FF4">
              <w:rPr>
                <w:color w:val="FFFFFF"/>
                <w:szCs w:val="20"/>
                <w:lang w:val="en-GB"/>
              </w:rPr>
              <w:t>Company</w:t>
            </w:r>
          </w:p>
        </w:tc>
        <w:tc>
          <w:tcPr>
            <w:tcW w:w="950" w:type="pct"/>
            <w:shd w:val="clear" w:color="auto" w:fill="156082" w:themeFill="accent1"/>
            <w:vAlign w:val="center"/>
          </w:tcPr>
          <w:p w14:paraId="71D44C0F" w14:textId="77777777" w:rsidR="009275A7" w:rsidRPr="008D5FF4" w:rsidRDefault="009275A7" w:rsidP="009A364A">
            <w:pPr>
              <w:spacing w:before="80" w:after="80" w:line="240" w:lineRule="auto"/>
              <w:jc w:val="center"/>
              <w:rPr>
                <w:color w:val="FFFFFF"/>
                <w:szCs w:val="20"/>
                <w:lang w:val="en-GB"/>
              </w:rPr>
            </w:pPr>
            <w:r w:rsidRPr="008D5FF4">
              <w:rPr>
                <w:color w:val="FFFFFF"/>
                <w:szCs w:val="20"/>
                <w:lang w:val="en-GB"/>
              </w:rPr>
              <w:t>2023</w:t>
            </w:r>
          </w:p>
        </w:tc>
        <w:tc>
          <w:tcPr>
            <w:tcW w:w="873" w:type="pct"/>
            <w:shd w:val="clear" w:color="auto" w:fill="156082" w:themeFill="accent1"/>
            <w:vAlign w:val="center"/>
          </w:tcPr>
          <w:p w14:paraId="7876C912" w14:textId="77777777" w:rsidR="009275A7" w:rsidRPr="008D5FF4" w:rsidRDefault="009275A7" w:rsidP="009A364A">
            <w:pPr>
              <w:spacing w:before="80" w:after="80" w:line="240" w:lineRule="auto"/>
              <w:jc w:val="center"/>
              <w:rPr>
                <w:color w:val="FFFFFF"/>
                <w:szCs w:val="20"/>
                <w:lang w:val="en-GB"/>
              </w:rPr>
            </w:pPr>
            <w:r w:rsidRPr="008D5FF4">
              <w:rPr>
                <w:color w:val="FFFFFF"/>
                <w:szCs w:val="20"/>
                <w:lang w:val="en-GB"/>
              </w:rPr>
              <w:t>2024</w:t>
            </w:r>
          </w:p>
        </w:tc>
        <w:tc>
          <w:tcPr>
            <w:tcW w:w="1026" w:type="pct"/>
            <w:shd w:val="clear" w:color="auto" w:fill="156082" w:themeFill="accent1"/>
            <w:vAlign w:val="center"/>
          </w:tcPr>
          <w:p w14:paraId="000C9E6B" w14:textId="77777777" w:rsidR="009275A7" w:rsidRPr="008D5FF4" w:rsidRDefault="009275A7" w:rsidP="009A364A">
            <w:pPr>
              <w:spacing w:before="80" w:after="80" w:line="240" w:lineRule="auto"/>
              <w:jc w:val="center"/>
              <w:rPr>
                <w:color w:val="FFFFFF"/>
                <w:szCs w:val="20"/>
                <w:lang w:val="en-GB"/>
              </w:rPr>
            </w:pPr>
            <w:r>
              <w:rPr>
                <w:color w:val="FFFFFF"/>
                <w:szCs w:val="20"/>
                <w:lang w:val="en-GB"/>
              </w:rPr>
              <w:t>2025</w:t>
            </w:r>
          </w:p>
        </w:tc>
        <w:tc>
          <w:tcPr>
            <w:tcW w:w="1023" w:type="pct"/>
            <w:shd w:val="clear" w:color="auto" w:fill="156082" w:themeFill="accent1"/>
            <w:vAlign w:val="center"/>
          </w:tcPr>
          <w:p w14:paraId="7F26317B" w14:textId="57EEA0B5" w:rsidR="009275A7" w:rsidRPr="008D5FF4" w:rsidRDefault="009275A7" w:rsidP="009A364A">
            <w:pPr>
              <w:spacing w:before="80" w:after="80" w:line="240" w:lineRule="auto"/>
              <w:jc w:val="center"/>
              <w:rPr>
                <w:color w:val="FFFFFF"/>
                <w:szCs w:val="20"/>
                <w:lang w:val="en-GB"/>
              </w:rPr>
            </w:pPr>
            <w:r w:rsidRPr="008D5FF4">
              <w:rPr>
                <w:color w:val="FFFFFF"/>
                <w:szCs w:val="20"/>
                <w:lang w:val="en-GB"/>
              </w:rPr>
              <w:t>CAGR</w:t>
            </w:r>
            <w:r>
              <w:rPr>
                <w:rStyle w:val="FootnoteReference"/>
                <w:color w:val="FFFFFF"/>
                <w:szCs w:val="20"/>
                <w:lang w:val="en-GB"/>
              </w:rPr>
              <w:footnoteReference w:id="59"/>
            </w:r>
            <w:r w:rsidRPr="008D5FF4">
              <w:rPr>
                <w:color w:val="FFFFFF"/>
                <w:szCs w:val="20"/>
                <w:lang w:val="en-GB"/>
              </w:rPr>
              <w:t xml:space="preserve"> </w:t>
            </w:r>
          </w:p>
        </w:tc>
      </w:tr>
      <w:tr w:rsidR="009275A7" w:rsidRPr="008D5FF4" w14:paraId="7612EF4D" w14:textId="77777777" w:rsidTr="00662938">
        <w:tc>
          <w:tcPr>
            <w:tcW w:w="1129" w:type="pct"/>
            <w:shd w:val="clear" w:color="auto" w:fill="C9D8E1"/>
            <w:vAlign w:val="center"/>
          </w:tcPr>
          <w:p w14:paraId="3317D574" w14:textId="77777777" w:rsidR="009275A7" w:rsidRPr="008D5FF4" w:rsidRDefault="009275A7" w:rsidP="002531FD">
            <w:pPr>
              <w:spacing w:before="80" w:after="80" w:line="240" w:lineRule="auto"/>
              <w:jc w:val="left"/>
              <w:rPr>
                <w:rFonts w:eastAsia="Arial"/>
                <w:color w:val="434242"/>
                <w:szCs w:val="20"/>
                <w:lang w:val="en-GB"/>
              </w:rPr>
            </w:pPr>
            <w:r>
              <w:rPr>
                <w:szCs w:val="20"/>
              </w:rPr>
              <w:t>CMPDIL</w:t>
            </w:r>
          </w:p>
        </w:tc>
        <w:tc>
          <w:tcPr>
            <w:tcW w:w="950" w:type="pct"/>
            <w:shd w:val="clear" w:color="auto" w:fill="C9D8E1"/>
            <w:vAlign w:val="bottom"/>
          </w:tcPr>
          <w:p w14:paraId="3BF86E3C" w14:textId="78982953" w:rsidR="009275A7" w:rsidRPr="00662938" w:rsidRDefault="009275A7" w:rsidP="002531FD">
            <w:pPr>
              <w:spacing w:before="80" w:after="80" w:line="240" w:lineRule="auto"/>
              <w:jc w:val="center"/>
              <w:rPr>
                <w:b w:val="0"/>
                <w:bCs w:val="0"/>
                <w:szCs w:val="20"/>
              </w:rPr>
            </w:pPr>
            <w:r w:rsidRPr="00662938">
              <w:rPr>
                <w:color w:val="000000"/>
                <w:szCs w:val="20"/>
              </w:rPr>
              <w:t>13</w:t>
            </w:r>
            <w:r>
              <w:rPr>
                <w:color w:val="000000"/>
                <w:szCs w:val="20"/>
              </w:rPr>
              <w:t>,</w:t>
            </w:r>
            <w:r w:rsidRPr="00662938">
              <w:rPr>
                <w:color w:val="000000"/>
                <w:szCs w:val="20"/>
              </w:rPr>
              <w:t>861</w:t>
            </w:r>
          </w:p>
        </w:tc>
        <w:tc>
          <w:tcPr>
            <w:tcW w:w="873" w:type="pct"/>
            <w:shd w:val="clear" w:color="auto" w:fill="C9D8E1"/>
            <w:vAlign w:val="bottom"/>
          </w:tcPr>
          <w:p w14:paraId="44A9D654" w14:textId="007652BD" w:rsidR="009275A7" w:rsidRPr="00662938" w:rsidRDefault="009275A7" w:rsidP="002531FD">
            <w:pPr>
              <w:spacing w:before="80" w:after="80" w:line="240" w:lineRule="auto"/>
              <w:jc w:val="center"/>
              <w:rPr>
                <w:b w:val="0"/>
                <w:bCs w:val="0"/>
                <w:szCs w:val="20"/>
              </w:rPr>
            </w:pPr>
            <w:r w:rsidRPr="00662938">
              <w:rPr>
                <w:color w:val="000000"/>
                <w:szCs w:val="20"/>
              </w:rPr>
              <w:t>17</w:t>
            </w:r>
            <w:r>
              <w:rPr>
                <w:color w:val="000000"/>
                <w:szCs w:val="20"/>
              </w:rPr>
              <w:t>,</w:t>
            </w:r>
            <w:r w:rsidRPr="00662938">
              <w:rPr>
                <w:color w:val="000000"/>
                <w:szCs w:val="20"/>
              </w:rPr>
              <w:t>327</w:t>
            </w:r>
          </w:p>
        </w:tc>
        <w:tc>
          <w:tcPr>
            <w:tcW w:w="1026" w:type="pct"/>
            <w:shd w:val="clear" w:color="auto" w:fill="C9D8E1"/>
            <w:vAlign w:val="center"/>
          </w:tcPr>
          <w:p w14:paraId="429028E3" w14:textId="4ED92E97" w:rsidR="009275A7" w:rsidRPr="00662938" w:rsidRDefault="009275A7" w:rsidP="002531FD">
            <w:pPr>
              <w:spacing w:before="80" w:after="80" w:line="240" w:lineRule="auto"/>
              <w:jc w:val="center"/>
              <w:rPr>
                <w:b w:val="0"/>
                <w:bCs w:val="0"/>
                <w:szCs w:val="20"/>
              </w:rPr>
            </w:pPr>
            <w:r w:rsidRPr="000D73C6">
              <w:rPr>
                <w:szCs w:val="20"/>
              </w:rPr>
              <w:t>21</w:t>
            </w:r>
            <w:r>
              <w:rPr>
                <w:szCs w:val="20"/>
              </w:rPr>
              <w:t>,</w:t>
            </w:r>
            <w:r w:rsidRPr="000D73C6">
              <w:rPr>
                <w:szCs w:val="20"/>
              </w:rPr>
              <w:t>028</w:t>
            </w:r>
          </w:p>
        </w:tc>
        <w:tc>
          <w:tcPr>
            <w:tcW w:w="1023" w:type="pct"/>
            <w:shd w:val="clear" w:color="auto" w:fill="C9D8E1"/>
            <w:vAlign w:val="center"/>
          </w:tcPr>
          <w:p w14:paraId="2F7D542C" w14:textId="5650BA41" w:rsidR="009275A7" w:rsidRPr="00662938" w:rsidRDefault="00AC5203" w:rsidP="002531FD">
            <w:pPr>
              <w:spacing w:before="80" w:after="80" w:line="240" w:lineRule="auto"/>
              <w:jc w:val="center"/>
              <w:rPr>
                <w:b w:val="0"/>
                <w:bCs w:val="0"/>
                <w:szCs w:val="20"/>
              </w:rPr>
            </w:pPr>
            <w:r>
              <w:rPr>
                <w:szCs w:val="20"/>
              </w:rPr>
              <w:t>23.2</w:t>
            </w:r>
            <w:r w:rsidR="009275A7" w:rsidRPr="000D73C6">
              <w:rPr>
                <w:szCs w:val="20"/>
              </w:rPr>
              <w:t>%</w:t>
            </w:r>
          </w:p>
        </w:tc>
      </w:tr>
      <w:tr w:rsidR="009275A7" w:rsidRPr="008D5FF4" w14:paraId="159B6143" w14:textId="77777777" w:rsidTr="00662938">
        <w:tc>
          <w:tcPr>
            <w:tcW w:w="1129" w:type="pct"/>
            <w:vAlign w:val="center"/>
          </w:tcPr>
          <w:p w14:paraId="7CF2D39D" w14:textId="77777777" w:rsidR="009275A7" w:rsidRPr="008D5FF4" w:rsidRDefault="009275A7" w:rsidP="007A575F">
            <w:pPr>
              <w:spacing w:before="80" w:after="80" w:line="240" w:lineRule="auto"/>
              <w:jc w:val="left"/>
              <w:rPr>
                <w:rFonts w:eastAsia="Arial"/>
                <w:b w:val="0"/>
                <w:bCs w:val="0"/>
                <w:color w:val="434242"/>
                <w:szCs w:val="20"/>
                <w:lang w:val="en-GB"/>
              </w:rPr>
            </w:pPr>
            <w:r w:rsidRPr="008D5FF4">
              <w:rPr>
                <w:b w:val="0"/>
                <w:bCs w:val="0"/>
                <w:szCs w:val="20"/>
              </w:rPr>
              <w:t>RITES</w:t>
            </w:r>
          </w:p>
        </w:tc>
        <w:tc>
          <w:tcPr>
            <w:tcW w:w="950" w:type="pct"/>
            <w:vAlign w:val="bottom"/>
          </w:tcPr>
          <w:p w14:paraId="422D2783" w14:textId="3BFDA043" w:rsidR="009275A7" w:rsidRPr="00662938" w:rsidRDefault="009275A7" w:rsidP="007A575F">
            <w:pPr>
              <w:spacing w:before="80" w:after="80" w:line="240" w:lineRule="auto"/>
              <w:jc w:val="center"/>
              <w:rPr>
                <w:b w:val="0"/>
                <w:bCs w:val="0"/>
                <w:szCs w:val="20"/>
              </w:rPr>
            </w:pPr>
            <w:r w:rsidRPr="000D73C6">
              <w:rPr>
                <w:color w:val="000000"/>
                <w:szCs w:val="20"/>
              </w:rPr>
              <w:t>26</w:t>
            </w:r>
            <w:r>
              <w:rPr>
                <w:color w:val="000000"/>
                <w:szCs w:val="20"/>
              </w:rPr>
              <w:t>,</w:t>
            </w:r>
            <w:r w:rsidRPr="000D73C6">
              <w:rPr>
                <w:color w:val="000000"/>
                <w:szCs w:val="20"/>
              </w:rPr>
              <w:t>283</w:t>
            </w:r>
          </w:p>
        </w:tc>
        <w:tc>
          <w:tcPr>
            <w:tcW w:w="873" w:type="pct"/>
            <w:vAlign w:val="bottom"/>
          </w:tcPr>
          <w:p w14:paraId="5951B44A" w14:textId="6ED2EF3B" w:rsidR="009275A7" w:rsidRPr="00662938" w:rsidRDefault="009275A7" w:rsidP="007A575F">
            <w:pPr>
              <w:spacing w:before="80" w:after="80" w:line="240" w:lineRule="auto"/>
              <w:jc w:val="center"/>
              <w:rPr>
                <w:b w:val="0"/>
                <w:bCs w:val="0"/>
                <w:szCs w:val="20"/>
              </w:rPr>
            </w:pPr>
            <w:r w:rsidRPr="000D73C6">
              <w:rPr>
                <w:color w:val="000000"/>
                <w:szCs w:val="20"/>
              </w:rPr>
              <w:t>24</w:t>
            </w:r>
            <w:r>
              <w:rPr>
                <w:color w:val="000000"/>
                <w:szCs w:val="20"/>
              </w:rPr>
              <w:t>,</w:t>
            </w:r>
            <w:r w:rsidRPr="000D73C6">
              <w:rPr>
                <w:color w:val="000000"/>
                <w:szCs w:val="20"/>
              </w:rPr>
              <w:t>529</w:t>
            </w:r>
          </w:p>
        </w:tc>
        <w:tc>
          <w:tcPr>
            <w:tcW w:w="1026" w:type="pct"/>
            <w:vAlign w:val="center"/>
          </w:tcPr>
          <w:p w14:paraId="2E7E63B5" w14:textId="4A464DBD" w:rsidR="009275A7" w:rsidRPr="00662938" w:rsidRDefault="009275A7" w:rsidP="007A575F">
            <w:pPr>
              <w:spacing w:before="80" w:after="80" w:line="240" w:lineRule="auto"/>
              <w:jc w:val="center"/>
              <w:rPr>
                <w:b w:val="0"/>
                <w:bCs w:val="0"/>
                <w:szCs w:val="20"/>
              </w:rPr>
            </w:pPr>
            <w:r w:rsidRPr="000D73C6">
              <w:rPr>
                <w:szCs w:val="20"/>
              </w:rPr>
              <w:t>22</w:t>
            </w:r>
            <w:r>
              <w:rPr>
                <w:szCs w:val="20"/>
              </w:rPr>
              <w:t>,</w:t>
            </w:r>
            <w:r w:rsidRPr="000D73C6">
              <w:rPr>
                <w:szCs w:val="20"/>
              </w:rPr>
              <w:t>178</w:t>
            </w:r>
          </w:p>
        </w:tc>
        <w:tc>
          <w:tcPr>
            <w:tcW w:w="1023" w:type="pct"/>
            <w:vAlign w:val="center"/>
          </w:tcPr>
          <w:p w14:paraId="41C3F504" w14:textId="3DF18D18" w:rsidR="009275A7" w:rsidRPr="000D73C6" w:rsidRDefault="009275A7" w:rsidP="007A575F">
            <w:pPr>
              <w:spacing w:before="80" w:after="80" w:line="240" w:lineRule="auto"/>
              <w:jc w:val="center"/>
              <w:rPr>
                <w:b w:val="0"/>
                <w:bCs w:val="0"/>
                <w:szCs w:val="20"/>
              </w:rPr>
            </w:pPr>
            <w:r w:rsidRPr="000D73C6">
              <w:rPr>
                <w:szCs w:val="20"/>
              </w:rPr>
              <w:t>-</w:t>
            </w:r>
            <w:r w:rsidR="003A189B">
              <w:rPr>
                <w:szCs w:val="20"/>
              </w:rPr>
              <w:t>8.1</w:t>
            </w:r>
            <w:r w:rsidRPr="000D73C6">
              <w:rPr>
                <w:szCs w:val="20"/>
              </w:rPr>
              <w:t>%</w:t>
            </w:r>
          </w:p>
        </w:tc>
      </w:tr>
      <w:tr w:rsidR="009275A7" w:rsidRPr="008D5FF4" w14:paraId="1C03D445" w14:textId="77777777" w:rsidTr="00662938">
        <w:trPr>
          <w:trHeight w:val="242"/>
        </w:trPr>
        <w:tc>
          <w:tcPr>
            <w:tcW w:w="1129" w:type="pct"/>
            <w:vAlign w:val="center"/>
          </w:tcPr>
          <w:p w14:paraId="4F735C93" w14:textId="77777777" w:rsidR="009275A7" w:rsidRPr="008D5FF4" w:rsidRDefault="009275A7" w:rsidP="007F20C8">
            <w:pPr>
              <w:spacing w:before="80" w:after="80" w:line="240" w:lineRule="auto"/>
              <w:jc w:val="left"/>
              <w:rPr>
                <w:rFonts w:eastAsia="Arial"/>
                <w:b w:val="0"/>
                <w:bCs w:val="0"/>
                <w:color w:val="434242"/>
                <w:szCs w:val="20"/>
                <w:lang w:val="en-GB"/>
              </w:rPr>
            </w:pPr>
            <w:r w:rsidRPr="008D5FF4">
              <w:rPr>
                <w:b w:val="0"/>
                <w:bCs w:val="0"/>
                <w:szCs w:val="20"/>
              </w:rPr>
              <w:t>EIL</w:t>
            </w:r>
          </w:p>
        </w:tc>
        <w:tc>
          <w:tcPr>
            <w:tcW w:w="950" w:type="pct"/>
            <w:vAlign w:val="bottom"/>
          </w:tcPr>
          <w:p w14:paraId="2A6610B0" w14:textId="72064626" w:rsidR="009275A7" w:rsidRPr="000D73C6" w:rsidRDefault="009275A7" w:rsidP="007F20C8">
            <w:pPr>
              <w:spacing w:before="80" w:after="80" w:line="240" w:lineRule="auto"/>
              <w:jc w:val="center"/>
              <w:rPr>
                <w:b w:val="0"/>
                <w:bCs w:val="0"/>
                <w:szCs w:val="20"/>
              </w:rPr>
            </w:pPr>
            <w:r w:rsidRPr="00662938">
              <w:rPr>
                <w:color w:val="000000"/>
                <w:szCs w:val="20"/>
              </w:rPr>
              <w:t>33</w:t>
            </w:r>
            <w:r>
              <w:rPr>
                <w:color w:val="000000"/>
                <w:szCs w:val="20"/>
              </w:rPr>
              <w:t>,</w:t>
            </w:r>
            <w:r w:rsidRPr="00662938">
              <w:rPr>
                <w:color w:val="000000"/>
                <w:szCs w:val="20"/>
              </w:rPr>
              <w:t>301</w:t>
            </w:r>
          </w:p>
        </w:tc>
        <w:tc>
          <w:tcPr>
            <w:tcW w:w="873" w:type="pct"/>
            <w:vAlign w:val="bottom"/>
          </w:tcPr>
          <w:p w14:paraId="289B03C9" w14:textId="75BE12BE" w:rsidR="009275A7" w:rsidRPr="000D73C6" w:rsidRDefault="009275A7" w:rsidP="007F20C8">
            <w:pPr>
              <w:spacing w:before="80" w:after="80" w:line="240" w:lineRule="auto"/>
              <w:jc w:val="center"/>
              <w:rPr>
                <w:b w:val="0"/>
                <w:bCs w:val="0"/>
                <w:szCs w:val="20"/>
              </w:rPr>
            </w:pPr>
            <w:r w:rsidRPr="00662938">
              <w:rPr>
                <w:color w:val="000000"/>
                <w:szCs w:val="20"/>
              </w:rPr>
              <w:t>32</w:t>
            </w:r>
            <w:r>
              <w:rPr>
                <w:color w:val="000000"/>
                <w:szCs w:val="20"/>
              </w:rPr>
              <w:t>,</w:t>
            </w:r>
            <w:r w:rsidRPr="00662938">
              <w:rPr>
                <w:color w:val="000000"/>
                <w:szCs w:val="20"/>
              </w:rPr>
              <w:t>809</w:t>
            </w:r>
          </w:p>
        </w:tc>
        <w:tc>
          <w:tcPr>
            <w:tcW w:w="1026" w:type="pct"/>
            <w:vAlign w:val="center"/>
          </w:tcPr>
          <w:p w14:paraId="5DECF34F" w14:textId="071D5359" w:rsidR="009275A7" w:rsidRPr="000D73C6" w:rsidRDefault="009275A7" w:rsidP="007F20C8">
            <w:pPr>
              <w:spacing w:before="80" w:after="80" w:line="240" w:lineRule="auto"/>
              <w:jc w:val="center"/>
              <w:rPr>
                <w:b w:val="0"/>
                <w:bCs w:val="0"/>
                <w:szCs w:val="20"/>
              </w:rPr>
            </w:pPr>
            <w:r w:rsidRPr="000D73C6">
              <w:rPr>
                <w:szCs w:val="20"/>
              </w:rPr>
              <w:t>NA</w:t>
            </w:r>
          </w:p>
        </w:tc>
        <w:tc>
          <w:tcPr>
            <w:tcW w:w="1023" w:type="pct"/>
            <w:vAlign w:val="center"/>
          </w:tcPr>
          <w:p w14:paraId="663F0DDD" w14:textId="5291B19D" w:rsidR="009275A7" w:rsidRPr="000D73C6" w:rsidRDefault="003A189B" w:rsidP="007F20C8">
            <w:pPr>
              <w:spacing w:before="80" w:after="80" w:line="240" w:lineRule="auto"/>
              <w:jc w:val="center"/>
              <w:rPr>
                <w:b w:val="0"/>
                <w:bCs w:val="0"/>
                <w:szCs w:val="20"/>
              </w:rPr>
            </w:pPr>
            <w:r>
              <w:rPr>
                <w:szCs w:val="20"/>
              </w:rPr>
              <w:t>-1.5</w:t>
            </w:r>
            <w:r w:rsidR="009275A7" w:rsidRPr="000D73C6">
              <w:rPr>
                <w:szCs w:val="20"/>
              </w:rPr>
              <w:t>%</w:t>
            </w:r>
          </w:p>
        </w:tc>
      </w:tr>
      <w:tr w:rsidR="009275A7" w:rsidRPr="008D5FF4" w14:paraId="53246C44" w14:textId="77777777" w:rsidTr="00662938">
        <w:tc>
          <w:tcPr>
            <w:tcW w:w="1129" w:type="pct"/>
            <w:vAlign w:val="center"/>
          </w:tcPr>
          <w:p w14:paraId="59F30DA4" w14:textId="77777777" w:rsidR="009275A7" w:rsidRPr="008D5FF4" w:rsidRDefault="009275A7" w:rsidP="007F20C8">
            <w:pPr>
              <w:spacing w:before="80" w:after="80" w:line="240" w:lineRule="auto"/>
              <w:jc w:val="left"/>
              <w:rPr>
                <w:rFonts w:eastAsia="Arial"/>
                <w:b w:val="0"/>
                <w:bCs w:val="0"/>
                <w:color w:val="434242"/>
                <w:szCs w:val="20"/>
                <w:lang w:val="en-GB"/>
              </w:rPr>
            </w:pPr>
            <w:r w:rsidRPr="008D5FF4">
              <w:rPr>
                <w:b w:val="0"/>
                <w:bCs w:val="0"/>
                <w:szCs w:val="20"/>
              </w:rPr>
              <w:t>MECL</w:t>
            </w:r>
          </w:p>
        </w:tc>
        <w:tc>
          <w:tcPr>
            <w:tcW w:w="950" w:type="pct"/>
            <w:vAlign w:val="bottom"/>
          </w:tcPr>
          <w:p w14:paraId="29F302C1" w14:textId="3A57AB67" w:rsidR="009275A7" w:rsidRPr="000D73C6" w:rsidRDefault="009275A7" w:rsidP="007F20C8">
            <w:pPr>
              <w:spacing w:before="80" w:after="80" w:line="240" w:lineRule="auto"/>
              <w:jc w:val="center"/>
              <w:rPr>
                <w:b w:val="0"/>
                <w:bCs w:val="0"/>
                <w:szCs w:val="20"/>
              </w:rPr>
            </w:pPr>
            <w:r w:rsidRPr="00662938">
              <w:rPr>
                <w:color w:val="000000"/>
                <w:szCs w:val="20"/>
              </w:rPr>
              <w:t>2</w:t>
            </w:r>
            <w:r>
              <w:rPr>
                <w:color w:val="000000"/>
                <w:szCs w:val="20"/>
              </w:rPr>
              <w:t>,</w:t>
            </w:r>
            <w:r w:rsidRPr="00662938">
              <w:rPr>
                <w:color w:val="000000"/>
                <w:szCs w:val="20"/>
              </w:rPr>
              <w:t>122</w:t>
            </w:r>
          </w:p>
        </w:tc>
        <w:tc>
          <w:tcPr>
            <w:tcW w:w="873" w:type="pct"/>
            <w:vAlign w:val="bottom"/>
          </w:tcPr>
          <w:p w14:paraId="6ABD5CCF" w14:textId="50576050" w:rsidR="009275A7" w:rsidRPr="000D73C6" w:rsidRDefault="009275A7" w:rsidP="007F20C8">
            <w:pPr>
              <w:spacing w:before="80" w:after="80" w:line="240" w:lineRule="auto"/>
              <w:jc w:val="center"/>
              <w:rPr>
                <w:b w:val="0"/>
                <w:bCs w:val="0"/>
                <w:szCs w:val="20"/>
              </w:rPr>
            </w:pPr>
            <w:r w:rsidRPr="00662938">
              <w:rPr>
                <w:color w:val="000000"/>
                <w:szCs w:val="20"/>
              </w:rPr>
              <w:t>3</w:t>
            </w:r>
            <w:r>
              <w:rPr>
                <w:color w:val="000000"/>
                <w:szCs w:val="20"/>
              </w:rPr>
              <w:t>,</w:t>
            </w:r>
            <w:r w:rsidRPr="00662938">
              <w:rPr>
                <w:color w:val="000000"/>
                <w:szCs w:val="20"/>
              </w:rPr>
              <w:t>160</w:t>
            </w:r>
          </w:p>
        </w:tc>
        <w:tc>
          <w:tcPr>
            <w:tcW w:w="1026" w:type="pct"/>
            <w:vAlign w:val="center"/>
          </w:tcPr>
          <w:p w14:paraId="7D9E61F6" w14:textId="4316CB5B" w:rsidR="009275A7" w:rsidRPr="000D73C6" w:rsidRDefault="009275A7" w:rsidP="007F20C8">
            <w:pPr>
              <w:spacing w:before="80" w:after="80" w:line="240" w:lineRule="auto"/>
              <w:jc w:val="center"/>
              <w:rPr>
                <w:b w:val="0"/>
                <w:bCs w:val="0"/>
                <w:szCs w:val="20"/>
              </w:rPr>
            </w:pPr>
            <w:r>
              <w:rPr>
                <w:szCs w:val="20"/>
              </w:rPr>
              <w:t>NA</w:t>
            </w:r>
          </w:p>
        </w:tc>
        <w:tc>
          <w:tcPr>
            <w:tcW w:w="1023" w:type="pct"/>
            <w:vAlign w:val="center"/>
          </w:tcPr>
          <w:p w14:paraId="402128BB" w14:textId="5C844A48" w:rsidR="009275A7" w:rsidRPr="000D73C6" w:rsidRDefault="003A189B" w:rsidP="007F20C8">
            <w:pPr>
              <w:spacing w:before="80" w:after="80" w:line="240" w:lineRule="auto"/>
              <w:jc w:val="center"/>
              <w:rPr>
                <w:b w:val="0"/>
                <w:bCs w:val="0"/>
                <w:szCs w:val="20"/>
              </w:rPr>
            </w:pPr>
            <w:r>
              <w:rPr>
                <w:szCs w:val="20"/>
              </w:rPr>
              <w:t>48.9</w:t>
            </w:r>
            <w:r w:rsidR="009275A7" w:rsidRPr="000D73C6">
              <w:rPr>
                <w:szCs w:val="20"/>
              </w:rPr>
              <w:t>%</w:t>
            </w:r>
          </w:p>
        </w:tc>
      </w:tr>
      <w:tr w:rsidR="009275A7" w:rsidRPr="008D5FF4" w14:paraId="2EF1B36F" w14:textId="77777777" w:rsidTr="00662938">
        <w:tc>
          <w:tcPr>
            <w:tcW w:w="1129" w:type="pct"/>
            <w:vAlign w:val="center"/>
          </w:tcPr>
          <w:p w14:paraId="2511EC53" w14:textId="77777777" w:rsidR="009275A7" w:rsidRPr="008D5FF4" w:rsidRDefault="009275A7" w:rsidP="00814A63">
            <w:pPr>
              <w:spacing w:before="80" w:after="80" w:line="240" w:lineRule="auto"/>
              <w:jc w:val="left"/>
              <w:rPr>
                <w:rFonts w:eastAsia="Arial"/>
                <w:b w:val="0"/>
                <w:bCs w:val="0"/>
                <w:color w:val="434242"/>
                <w:szCs w:val="20"/>
                <w:lang w:val="en-GB"/>
              </w:rPr>
            </w:pPr>
            <w:r w:rsidRPr="008D5FF4">
              <w:rPr>
                <w:b w:val="0"/>
                <w:bCs w:val="0"/>
                <w:szCs w:val="20"/>
              </w:rPr>
              <w:t>MECON</w:t>
            </w:r>
          </w:p>
        </w:tc>
        <w:tc>
          <w:tcPr>
            <w:tcW w:w="950" w:type="pct"/>
            <w:vAlign w:val="bottom"/>
          </w:tcPr>
          <w:p w14:paraId="6C77394D" w14:textId="3C3418E9" w:rsidR="009275A7" w:rsidRPr="000D73C6" w:rsidRDefault="009275A7" w:rsidP="00814A63">
            <w:pPr>
              <w:spacing w:before="80" w:after="80" w:line="240" w:lineRule="auto"/>
              <w:jc w:val="center"/>
              <w:rPr>
                <w:b w:val="0"/>
                <w:bCs w:val="0"/>
                <w:szCs w:val="20"/>
              </w:rPr>
            </w:pPr>
            <w:r w:rsidRPr="00662938">
              <w:rPr>
                <w:color w:val="000000"/>
                <w:szCs w:val="20"/>
              </w:rPr>
              <w:t>8</w:t>
            </w:r>
            <w:r>
              <w:rPr>
                <w:color w:val="000000"/>
                <w:szCs w:val="20"/>
              </w:rPr>
              <w:t>,</w:t>
            </w:r>
            <w:r w:rsidRPr="00662938">
              <w:rPr>
                <w:color w:val="000000"/>
                <w:szCs w:val="20"/>
              </w:rPr>
              <w:t>895</w:t>
            </w:r>
          </w:p>
        </w:tc>
        <w:tc>
          <w:tcPr>
            <w:tcW w:w="873" w:type="pct"/>
            <w:vAlign w:val="bottom"/>
          </w:tcPr>
          <w:p w14:paraId="34DE2B3F" w14:textId="35AC761E" w:rsidR="009275A7" w:rsidRPr="000D73C6" w:rsidRDefault="009275A7" w:rsidP="00814A63">
            <w:pPr>
              <w:spacing w:before="80" w:after="80" w:line="240" w:lineRule="auto"/>
              <w:jc w:val="center"/>
              <w:rPr>
                <w:b w:val="0"/>
                <w:bCs w:val="0"/>
                <w:szCs w:val="20"/>
              </w:rPr>
            </w:pPr>
            <w:r w:rsidRPr="00662938">
              <w:rPr>
                <w:color w:val="000000"/>
                <w:szCs w:val="20"/>
              </w:rPr>
              <w:t>10</w:t>
            </w:r>
            <w:r>
              <w:rPr>
                <w:color w:val="000000"/>
                <w:szCs w:val="20"/>
              </w:rPr>
              <w:t>,</w:t>
            </w:r>
            <w:r w:rsidRPr="00662938">
              <w:rPr>
                <w:color w:val="000000"/>
                <w:szCs w:val="20"/>
              </w:rPr>
              <w:t>128</w:t>
            </w:r>
          </w:p>
        </w:tc>
        <w:tc>
          <w:tcPr>
            <w:tcW w:w="1026" w:type="pct"/>
            <w:vAlign w:val="center"/>
          </w:tcPr>
          <w:p w14:paraId="4A2DD57F" w14:textId="3D87AC93" w:rsidR="009275A7" w:rsidRPr="000D73C6" w:rsidRDefault="009275A7" w:rsidP="00814A63">
            <w:pPr>
              <w:spacing w:before="80" w:after="80" w:line="240" w:lineRule="auto"/>
              <w:jc w:val="center"/>
              <w:rPr>
                <w:b w:val="0"/>
                <w:bCs w:val="0"/>
                <w:szCs w:val="20"/>
              </w:rPr>
            </w:pPr>
            <w:r w:rsidRPr="000D73C6">
              <w:rPr>
                <w:szCs w:val="20"/>
              </w:rPr>
              <w:t>NA</w:t>
            </w:r>
          </w:p>
        </w:tc>
        <w:tc>
          <w:tcPr>
            <w:tcW w:w="1023" w:type="pct"/>
            <w:vAlign w:val="center"/>
          </w:tcPr>
          <w:p w14:paraId="5B643929" w14:textId="343C1DB6" w:rsidR="009275A7" w:rsidRPr="000D73C6" w:rsidRDefault="003A189B" w:rsidP="00814A63">
            <w:pPr>
              <w:spacing w:before="80" w:after="80" w:line="240" w:lineRule="auto"/>
              <w:jc w:val="center"/>
              <w:rPr>
                <w:b w:val="0"/>
                <w:bCs w:val="0"/>
                <w:szCs w:val="20"/>
              </w:rPr>
            </w:pPr>
            <w:r>
              <w:rPr>
                <w:szCs w:val="20"/>
              </w:rPr>
              <w:t>13.9</w:t>
            </w:r>
            <w:r w:rsidR="009275A7" w:rsidRPr="000D73C6">
              <w:rPr>
                <w:szCs w:val="20"/>
              </w:rPr>
              <w:t>%</w:t>
            </w:r>
          </w:p>
        </w:tc>
      </w:tr>
    </w:tbl>
    <w:p w14:paraId="529A55D4" w14:textId="1A9BFB5F" w:rsidR="00577264" w:rsidRDefault="00577264" w:rsidP="00662938">
      <w:pPr>
        <w:pStyle w:val="Source"/>
        <w:ind w:right="187"/>
      </w:pPr>
      <w:r w:rsidRPr="00B12588">
        <w:t xml:space="preserve">Source: </w:t>
      </w:r>
      <w:r>
        <w:t xml:space="preserve">Company </w:t>
      </w:r>
      <w:r w:rsidRPr="00B12588">
        <w:t>Annual Reports</w:t>
      </w:r>
      <w:r>
        <w:t>,</w:t>
      </w:r>
      <w:r w:rsidR="006D2082">
        <w:t xml:space="preserve"> Annual Report of Ministry of Mines</w:t>
      </w:r>
      <w:r w:rsidR="00EB1B83">
        <w:t>;</w:t>
      </w:r>
      <w:r>
        <w:t xml:space="preserve"> all years are fiscal, </w:t>
      </w:r>
      <w:r w:rsidRPr="00BD2973">
        <w:t>NA- Not Available</w:t>
      </w:r>
    </w:p>
    <w:p w14:paraId="05DB7C90" w14:textId="37F418E6" w:rsidR="00577264" w:rsidRPr="002966BC" w:rsidRDefault="00577264" w:rsidP="00577264">
      <w:pPr>
        <w:pStyle w:val="Caption"/>
        <w:ind w:right="182"/>
      </w:pPr>
      <w:bookmarkStart w:id="6609" w:name="_Toc198731519"/>
      <w:r w:rsidRPr="00EF4B0B">
        <w:t xml:space="preserve">Figure </w:t>
      </w:r>
      <w:r w:rsidRPr="00EF4B0B">
        <w:fldChar w:fldCharType="begin"/>
      </w:r>
      <w:r w:rsidRPr="00EF4B0B">
        <w:instrText xml:space="preserve"> STYLEREF 1 \s </w:instrText>
      </w:r>
      <w:r w:rsidRPr="00EF4B0B">
        <w:fldChar w:fldCharType="separate"/>
      </w:r>
      <w:r w:rsidR="002142B9">
        <w:rPr>
          <w:noProof/>
        </w:rPr>
        <w:t>4</w:t>
      </w:r>
      <w:r w:rsidRPr="00EF4B0B">
        <w:fldChar w:fldCharType="end"/>
      </w:r>
      <w:r w:rsidRPr="00EF4B0B">
        <w:t>.</w:t>
      </w:r>
      <w:r w:rsidRPr="00EF4B0B">
        <w:fldChar w:fldCharType="begin"/>
      </w:r>
      <w:r w:rsidRPr="00EF4B0B">
        <w:instrText xml:space="preserve"> SEQ Figure \* ARABIC \s 1 </w:instrText>
      </w:r>
      <w:r w:rsidRPr="00EF4B0B">
        <w:fldChar w:fldCharType="separate"/>
      </w:r>
      <w:r w:rsidR="002142B9">
        <w:rPr>
          <w:noProof/>
        </w:rPr>
        <w:t>2</w:t>
      </w:r>
      <w:r w:rsidRPr="00EF4B0B">
        <w:fldChar w:fldCharType="end"/>
      </w:r>
      <w:r w:rsidRPr="00EF4B0B">
        <w:t>:</w:t>
      </w:r>
      <w:r>
        <w:t xml:space="preserve"> </w:t>
      </w:r>
      <w:r w:rsidRPr="00664617">
        <w:t xml:space="preserve">Revenue (in million rupees) from exploration for CMPDIL and </w:t>
      </w:r>
      <w:r w:rsidR="0056239A">
        <w:t xml:space="preserve">Revenue of </w:t>
      </w:r>
      <w:r w:rsidRPr="00664617">
        <w:t>MECL</w:t>
      </w:r>
      <w:bookmarkEnd w:id="6609"/>
    </w:p>
    <w:p w14:paraId="50464BEC" w14:textId="0E4D4E18" w:rsidR="00577264" w:rsidRDefault="00577264" w:rsidP="00577264">
      <w:pPr>
        <w:pStyle w:val="Source"/>
        <w:ind w:right="182"/>
      </w:pPr>
      <w:r w:rsidRPr="00F77739">
        <w:rPr>
          <w:noProof/>
        </w:rPr>
        <w:drawing>
          <wp:inline distT="0" distB="0" distL="0" distR="0" wp14:anchorId="03BD09F6" wp14:editId="67BC8544">
            <wp:extent cx="6686550" cy="1638300"/>
            <wp:effectExtent l="0" t="0" r="0" b="0"/>
            <wp:docPr id="1994728581" name="Chart 1">
              <a:extLst xmlns:a="http://schemas.openxmlformats.org/drawingml/2006/main">
                <a:ext uri="{FF2B5EF4-FFF2-40B4-BE49-F238E27FC236}">
                  <a16:creationId xmlns:a16="http://schemas.microsoft.com/office/drawing/2014/main" id="{1231FC44-69E5-0AE4-0834-5E16C725F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t>Source: Company Annual Reports</w:t>
      </w:r>
      <w:r w:rsidR="004973C3">
        <w:t xml:space="preserve">; Revenue from Operations of MECL for fiscal 2025 is not available </w:t>
      </w:r>
    </w:p>
    <w:p w14:paraId="7C88FDAF" w14:textId="40C35682" w:rsidR="00D2483D" w:rsidRDefault="00577264" w:rsidP="00577264">
      <w:pPr>
        <w:ind w:right="182"/>
      </w:pPr>
      <w:r w:rsidRPr="009A3356">
        <w:t xml:space="preserve">The exploration vertical of </w:t>
      </w:r>
      <w:r>
        <w:t>CMPDIL</w:t>
      </w:r>
      <w:r w:rsidRPr="009A3356">
        <w:t xml:space="preserve"> can be compared with MECL, a leading mineral exploration company in India. A review of the financial performance of MECL reveals that its revenue from operations </w:t>
      </w:r>
      <w:r w:rsidR="007A2F76">
        <w:t xml:space="preserve">grew </w:t>
      </w:r>
      <w:r w:rsidRPr="009A3356">
        <w:t xml:space="preserve">by approximately </w:t>
      </w:r>
      <w:r w:rsidR="003A189B">
        <w:t>48.9</w:t>
      </w:r>
      <w:r w:rsidRPr="009A3356">
        <w:t xml:space="preserve">% </w:t>
      </w:r>
      <w:r>
        <w:t xml:space="preserve">annually from fiscal </w:t>
      </w:r>
      <w:r w:rsidRPr="009A3356">
        <w:t>202</w:t>
      </w:r>
      <w:r w:rsidR="007A2F76">
        <w:t>3</w:t>
      </w:r>
      <w:r>
        <w:t xml:space="preserve"> to </w:t>
      </w:r>
      <w:r w:rsidRPr="00B71FE8">
        <w:t>202</w:t>
      </w:r>
      <w:r>
        <w:t>4.</w:t>
      </w:r>
      <w:r w:rsidRPr="009A3356">
        <w:t xml:space="preserve"> Similarly, </w:t>
      </w:r>
      <w:r>
        <w:t>CMPDIL</w:t>
      </w:r>
      <w:r w:rsidRPr="009A3356">
        <w:t xml:space="preserve">'s exploration vertical also witnessed a </w:t>
      </w:r>
      <w:r w:rsidR="00026599">
        <w:t xml:space="preserve">growth </w:t>
      </w:r>
      <w:r w:rsidRPr="009A3356">
        <w:t xml:space="preserve">in revenue, albeit at a </w:t>
      </w:r>
      <w:r>
        <w:t>slightly</w:t>
      </w:r>
      <w:r w:rsidR="003A189B">
        <w:t xml:space="preserve"> lower </w:t>
      </w:r>
      <w:r w:rsidRPr="009A3356">
        <w:t xml:space="preserve">pace of </w:t>
      </w:r>
      <w:r w:rsidR="003C55A6">
        <w:t>22.7</w:t>
      </w:r>
      <w:r w:rsidRPr="009A3356">
        <w:t>%.</w:t>
      </w:r>
      <w:r w:rsidR="00B657B0">
        <w:t>However, in fiscal 2025, CMPDIL</w:t>
      </w:r>
      <w:r w:rsidR="008E3CD5">
        <w:t xml:space="preserve">’s revenue from exploration has </w:t>
      </w:r>
      <w:r w:rsidR="00615933">
        <w:t>witnessed</w:t>
      </w:r>
      <w:r w:rsidR="008E3CD5">
        <w:t xml:space="preserve"> a significant growth </w:t>
      </w:r>
      <w:r w:rsidR="00615933">
        <w:t>y-o-y growth of 45</w:t>
      </w:r>
      <w:r w:rsidR="00D2483D">
        <w:t>%</w:t>
      </w:r>
      <w:r w:rsidR="00615933">
        <w:t xml:space="preserve"> from fiscal 2024</w:t>
      </w:r>
      <w:r w:rsidR="00D2483D">
        <w:t>.</w:t>
      </w:r>
    </w:p>
    <w:p w14:paraId="50FDFA8A" w14:textId="00D1790B" w:rsidR="00C7511A" w:rsidRDefault="00C7511A" w:rsidP="00C7511A">
      <w:pPr>
        <w:ind w:right="182"/>
        <w:rPr>
          <w:b/>
          <w:bCs/>
        </w:rPr>
      </w:pPr>
      <w:bookmarkStart w:id="6610" w:name="_Toc198731520"/>
      <w:r w:rsidRPr="00886DFD">
        <w:rPr>
          <w:b/>
          <w:bCs/>
        </w:rPr>
        <w:t xml:space="preserve">Figure </w:t>
      </w:r>
      <w:r w:rsidRPr="00886DFD">
        <w:rPr>
          <w:b/>
          <w:bCs/>
        </w:rPr>
        <w:fldChar w:fldCharType="begin"/>
      </w:r>
      <w:r w:rsidRPr="00886DFD">
        <w:rPr>
          <w:b/>
          <w:bCs/>
        </w:rPr>
        <w:instrText xml:space="preserve"> STYLEREF 1 \s </w:instrText>
      </w:r>
      <w:r w:rsidRPr="00886DFD">
        <w:rPr>
          <w:b/>
          <w:bCs/>
        </w:rPr>
        <w:fldChar w:fldCharType="separate"/>
      </w:r>
      <w:r w:rsidR="002142B9">
        <w:rPr>
          <w:b/>
          <w:bCs/>
          <w:noProof/>
        </w:rPr>
        <w:t>4</w:t>
      </w:r>
      <w:r w:rsidRPr="00886DFD">
        <w:rPr>
          <w:b/>
          <w:bCs/>
        </w:rPr>
        <w:fldChar w:fldCharType="end"/>
      </w:r>
      <w:r w:rsidRPr="00886DFD">
        <w:rPr>
          <w:b/>
          <w:bCs/>
        </w:rPr>
        <w:t>.</w:t>
      </w:r>
      <w:r w:rsidRPr="00886DFD">
        <w:rPr>
          <w:b/>
          <w:bCs/>
        </w:rPr>
        <w:fldChar w:fldCharType="begin"/>
      </w:r>
      <w:r w:rsidRPr="00886DFD">
        <w:rPr>
          <w:b/>
          <w:bCs/>
        </w:rPr>
        <w:instrText xml:space="preserve"> SEQ Figure \* ARABIC \s 1 </w:instrText>
      </w:r>
      <w:r w:rsidRPr="00886DFD">
        <w:rPr>
          <w:b/>
          <w:bCs/>
        </w:rPr>
        <w:fldChar w:fldCharType="separate"/>
      </w:r>
      <w:r w:rsidR="002142B9">
        <w:rPr>
          <w:b/>
          <w:bCs/>
          <w:noProof/>
        </w:rPr>
        <w:t>3</w:t>
      </w:r>
      <w:r w:rsidRPr="00886DFD">
        <w:rPr>
          <w:b/>
          <w:bCs/>
        </w:rPr>
        <w:fldChar w:fldCharType="end"/>
      </w:r>
      <w:r w:rsidRPr="00886DFD">
        <w:rPr>
          <w:b/>
          <w:bCs/>
        </w:rPr>
        <w:t xml:space="preserve">: </w:t>
      </w:r>
      <w:r w:rsidRPr="00615933">
        <w:rPr>
          <w:b/>
          <w:bCs/>
        </w:rPr>
        <w:t xml:space="preserve">Revenue (in million rupees) from planning and design for </w:t>
      </w:r>
      <w:r w:rsidR="00DB59CD" w:rsidRPr="00615933">
        <w:rPr>
          <w:b/>
          <w:bCs/>
        </w:rPr>
        <w:t>CMPDIL</w:t>
      </w:r>
      <w:r w:rsidRPr="00615933">
        <w:rPr>
          <w:b/>
          <w:bCs/>
        </w:rPr>
        <w:t xml:space="preserve"> and </w:t>
      </w:r>
      <w:r w:rsidR="0056239A">
        <w:rPr>
          <w:b/>
          <w:bCs/>
        </w:rPr>
        <w:t xml:space="preserve">Revenue of </w:t>
      </w:r>
      <w:r w:rsidRPr="00615933">
        <w:rPr>
          <w:b/>
          <w:bCs/>
        </w:rPr>
        <w:t>MECON</w:t>
      </w:r>
      <w:bookmarkEnd w:id="6610"/>
    </w:p>
    <w:p w14:paraId="3A81685C" w14:textId="3A6545F1" w:rsidR="00C7511A" w:rsidRDefault="00667CF6" w:rsidP="00C7511A">
      <w:pPr>
        <w:ind w:right="182"/>
        <w:rPr>
          <w:b/>
          <w:bCs/>
        </w:rPr>
      </w:pPr>
      <w:r w:rsidRPr="00F77739">
        <w:rPr>
          <w:noProof/>
        </w:rPr>
        <w:drawing>
          <wp:inline distT="0" distB="0" distL="0" distR="0" wp14:anchorId="78FD7B8C" wp14:editId="2037944C">
            <wp:extent cx="6575729" cy="1638300"/>
            <wp:effectExtent l="0" t="0" r="0" b="0"/>
            <wp:docPr id="141917762" name="Chart 1">
              <a:extLst xmlns:a="http://schemas.openxmlformats.org/drawingml/2006/main">
                <a:ext uri="{FF2B5EF4-FFF2-40B4-BE49-F238E27FC236}">
                  <a16:creationId xmlns:a16="http://schemas.microsoft.com/office/drawing/2014/main" id="{1231FC44-69E5-0AE4-0834-5E16C725F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8D5E4D" w14:textId="2A17BA84" w:rsidR="00C7511A" w:rsidRDefault="00C7511A" w:rsidP="00C7511A">
      <w:pPr>
        <w:pStyle w:val="Source"/>
        <w:ind w:right="182"/>
      </w:pPr>
      <w:r>
        <w:t>Source: Company Annual Reports</w:t>
      </w:r>
      <w:r w:rsidR="004973C3">
        <w:t xml:space="preserve">; Revenue from Operations of </w:t>
      </w:r>
      <w:r w:rsidR="00516823">
        <w:t>MECON</w:t>
      </w:r>
      <w:r w:rsidR="004973C3">
        <w:t xml:space="preserve"> for fiscal 2025 is not available</w:t>
      </w:r>
    </w:p>
    <w:p w14:paraId="77677162" w14:textId="7651E7A0" w:rsidR="00C7511A" w:rsidRPr="00125498" w:rsidRDefault="00C7511A" w:rsidP="00C7511A">
      <w:pPr>
        <w:ind w:right="182"/>
      </w:pPr>
      <w:r w:rsidRPr="003D26D5">
        <w:t xml:space="preserve">The planning and design vertical of </w:t>
      </w:r>
      <w:r w:rsidR="00DB59CD">
        <w:t>CMPDIL</w:t>
      </w:r>
      <w:r w:rsidRPr="003D26D5">
        <w:t xml:space="preserve"> can be compared with MECON.</w:t>
      </w:r>
      <w:r>
        <w:t xml:space="preserve"> </w:t>
      </w:r>
      <w:r w:rsidRPr="005E1457">
        <w:t xml:space="preserve">A review of the financial performance of MECON reveals that its revenue </w:t>
      </w:r>
      <w:r w:rsidR="00516823">
        <w:t xml:space="preserve">from operations </w:t>
      </w:r>
      <w:r w:rsidRPr="005E1457">
        <w:t>has been growing steadily, with a compound annual growth rate (CAGR) of 1</w:t>
      </w:r>
      <w:r w:rsidR="00425FA7">
        <w:t>3.9</w:t>
      </w:r>
      <w:r w:rsidRPr="005E1457">
        <w:t>% from fiscal 202</w:t>
      </w:r>
      <w:r w:rsidR="00425FA7">
        <w:t>3</w:t>
      </w:r>
      <w:r w:rsidRPr="005E1457">
        <w:t xml:space="preserve"> to 2024</w:t>
      </w:r>
      <w:r>
        <w:t xml:space="preserve">. </w:t>
      </w:r>
      <w:r w:rsidRPr="00677A86">
        <w:t xml:space="preserve">In comparison, </w:t>
      </w:r>
      <w:r w:rsidR="00DB59CD">
        <w:t>CMPDIL</w:t>
      </w:r>
      <w:r w:rsidRPr="00677A86">
        <w:t xml:space="preserve">'s planning and design revenue has also shown significant growth, with a CAGR of </w:t>
      </w:r>
      <w:r w:rsidR="0090001B">
        <w:t>30.8</w:t>
      </w:r>
      <w:r w:rsidRPr="00677A86">
        <w:t>% during the same period.</w:t>
      </w:r>
      <w:r>
        <w:t xml:space="preserve"> </w:t>
      </w:r>
      <w:r w:rsidRPr="00CC0249">
        <w:t xml:space="preserve">The higher growth rate of </w:t>
      </w:r>
      <w:r w:rsidR="00DB59CD">
        <w:t>CMPDIL</w:t>
      </w:r>
      <w:r w:rsidRPr="00CC0249">
        <w:t xml:space="preserve">'s planning and design revenue compared to MECON suggests that </w:t>
      </w:r>
      <w:r w:rsidR="00DB59CD">
        <w:t>CMPDIL</w:t>
      </w:r>
      <w:r w:rsidRPr="00CC0249">
        <w:t xml:space="preserve"> has been able to capitalize on emerging opportunities in the market</w:t>
      </w:r>
      <w:r>
        <w:t xml:space="preserve">. </w:t>
      </w:r>
      <w:r w:rsidR="00DC1420">
        <w:t>However</w:t>
      </w:r>
      <w:r w:rsidR="00F01682">
        <w:t xml:space="preserve">, in fiscal 2025 </w:t>
      </w:r>
      <w:r w:rsidR="00DC1420">
        <w:t xml:space="preserve">CMPDIL’s revenue </w:t>
      </w:r>
      <w:r w:rsidR="00786696">
        <w:t>fell</w:t>
      </w:r>
      <w:r w:rsidR="00DC1420">
        <w:t xml:space="preserve"> by 6% from fiscal 2024. </w:t>
      </w:r>
    </w:p>
    <w:p w14:paraId="4384DF58" w14:textId="61568AE8" w:rsidR="00AA3034" w:rsidRDefault="00AA3034" w:rsidP="00C7511A">
      <w:pPr>
        <w:pStyle w:val="Heading30"/>
        <w:ind w:right="182"/>
      </w:pPr>
      <w:r>
        <w:t>Operating EBITDA</w:t>
      </w:r>
    </w:p>
    <w:p w14:paraId="4F71F529" w14:textId="3591716D" w:rsidR="00AA3034" w:rsidRDefault="00593043" w:rsidP="00AA3034">
      <w:r w:rsidRPr="006C40E2">
        <w:t xml:space="preserve">The Indian consulting and engineering sector is expected to continue growing, driven by </w:t>
      </w:r>
      <w:r>
        <w:t xml:space="preserve">various </w:t>
      </w:r>
      <w:r w:rsidRPr="006C40E2">
        <w:t>government initiatives and increasing demand for infrastructure development</w:t>
      </w:r>
      <w:r w:rsidRPr="00AB4395">
        <w:t>.</w:t>
      </w:r>
      <w:r>
        <w:t xml:space="preserve"> In terms of the operating EBITDA</w:t>
      </w:r>
      <w:r w:rsidR="008678D3">
        <w:rPr>
          <w:rStyle w:val="FootnoteReference"/>
        </w:rPr>
        <w:footnoteReference w:id="60"/>
      </w:r>
      <w:r>
        <w:t xml:space="preserve">, CMPDIL </w:t>
      </w:r>
      <w:r w:rsidR="00D93810">
        <w:t>has a strong operating in</w:t>
      </w:r>
      <w:r w:rsidR="00740F65">
        <w:t>c</w:t>
      </w:r>
      <w:r w:rsidR="00D93810">
        <w:t xml:space="preserve">ome </w:t>
      </w:r>
      <w:r w:rsidR="00740F65">
        <w:t xml:space="preserve">focusing on </w:t>
      </w:r>
      <w:r w:rsidR="0087365D">
        <w:t xml:space="preserve">the </w:t>
      </w:r>
      <w:r w:rsidR="00740F65">
        <w:t>c</w:t>
      </w:r>
      <w:r w:rsidR="00740F65" w:rsidRPr="00740F65">
        <w:t>ompany's core business performance</w:t>
      </w:r>
      <w:r w:rsidR="00A002A9">
        <w:t xml:space="preserve">, which is witnessed from the high CAGR of </w:t>
      </w:r>
      <w:r w:rsidR="001C66BD">
        <w:t>48.2</w:t>
      </w:r>
      <w:r w:rsidR="00A002A9">
        <w:t>% over fiscal 202</w:t>
      </w:r>
      <w:r w:rsidR="001C66BD">
        <w:t>3</w:t>
      </w:r>
      <w:r w:rsidR="00A002A9">
        <w:t>-2025</w:t>
      </w:r>
      <w:r w:rsidR="00740F65">
        <w:t>. In fiscal 2025, CMPDIL’s operating EBIDTA stood at Rs 8</w:t>
      </w:r>
      <w:r w:rsidR="000B1252">
        <w:t>,</w:t>
      </w:r>
      <w:r w:rsidR="00740F65">
        <w:t xml:space="preserve">409 million, followed by </w:t>
      </w:r>
      <w:r w:rsidR="00B75385">
        <w:t>RITES at Rs 5</w:t>
      </w:r>
      <w:r w:rsidR="000B1252">
        <w:t>,</w:t>
      </w:r>
      <w:r w:rsidR="00B75385">
        <w:t>272 million.</w:t>
      </w:r>
    </w:p>
    <w:p w14:paraId="5E90913B" w14:textId="05793DCD" w:rsidR="00300176" w:rsidRDefault="00300176" w:rsidP="00300176">
      <w:pPr>
        <w:pStyle w:val="Caption"/>
        <w:ind w:right="182"/>
      </w:pPr>
      <w:bookmarkStart w:id="6611" w:name="_Toc198731466"/>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5</w:t>
      </w:r>
      <w:r w:rsidRPr="000174A7">
        <w:fldChar w:fldCharType="end"/>
      </w:r>
      <w:r>
        <w:t xml:space="preserve"> Operating EBITDA (Rs million) and CAGR 202</w:t>
      </w:r>
      <w:r w:rsidR="00D2483D">
        <w:t>3</w:t>
      </w:r>
      <w:r>
        <w:t>-25</w:t>
      </w:r>
      <w:r w:rsidR="00217D74">
        <w:t xml:space="preserve"> (%)</w:t>
      </w:r>
      <w:bookmarkEnd w:id="6611"/>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2295"/>
        <w:gridCol w:w="2040"/>
        <w:gridCol w:w="2037"/>
        <w:gridCol w:w="1643"/>
        <w:gridCol w:w="2515"/>
      </w:tblGrid>
      <w:tr w:rsidR="00D2483D" w:rsidRPr="008D5FF4" w14:paraId="21B07F82" w14:textId="77777777" w:rsidTr="00662938">
        <w:trPr>
          <w:tblHeader/>
        </w:trPr>
        <w:tc>
          <w:tcPr>
            <w:tcW w:w="1090" w:type="pct"/>
            <w:shd w:val="clear" w:color="auto" w:fill="156082" w:themeFill="accent1"/>
            <w:vAlign w:val="center"/>
          </w:tcPr>
          <w:p w14:paraId="6B207BA4" w14:textId="77777777" w:rsidR="00D2483D" w:rsidRPr="008D5FF4" w:rsidRDefault="00D2483D" w:rsidP="007A575F">
            <w:pPr>
              <w:spacing w:before="80" w:after="80" w:line="240" w:lineRule="auto"/>
              <w:ind w:right="182"/>
              <w:rPr>
                <w:color w:val="FFFFFF"/>
                <w:szCs w:val="20"/>
                <w:lang w:val="en-GB"/>
              </w:rPr>
            </w:pPr>
            <w:r w:rsidRPr="008D5FF4">
              <w:rPr>
                <w:color w:val="FFFFFF"/>
                <w:szCs w:val="20"/>
                <w:lang w:val="en-GB"/>
              </w:rPr>
              <w:t>Company</w:t>
            </w:r>
          </w:p>
        </w:tc>
        <w:tc>
          <w:tcPr>
            <w:tcW w:w="969" w:type="pct"/>
            <w:shd w:val="clear" w:color="auto" w:fill="156082" w:themeFill="accent1"/>
            <w:vAlign w:val="center"/>
          </w:tcPr>
          <w:p w14:paraId="1A460C47" w14:textId="77777777" w:rsidR="00D2483D" w:rsidRPr="008D5FF4" w:rsidRDefault="00D2483D" w:rsidP="007A575F">
            <w:pPr>
              <w:spacing w:before="80" w:after="80" w:line="240" w:lineRule="auto"/>
              <w:ind w:right="182"/>
              <w:jc w:val="center"/>
              <w:rPr>
                <w:color w:val="FFFFFF"/>
                <w:szCs w:val="20"/>
                <w:lang w:val="en-GB"/>
              </w:rPr>
            </w:pPr>
            <w:r w:rsidRPr="008D5FF4">
              <w:rPr>
                <w:color w:val="FFFFFF"/>
                <w:szCs w:val="20"/>
                <w:lang w:val="en-GB"/>
              </w:rPr>
              <w:t>2023</w:t>
            </w:r>
          </w:p>
        </w:tc>
        <w:tc>
          <w:tcPr>
            <w:tcW w:w="967" w:type="pct"/>
            <w:shd w:val="clear" w:color="auto" w:fill="156082" w:themeFill="accent1"/>
            <w:vAlign w:val="center"/>
          </w:tcPr>
          <w:p w14:paraId="0C51B78B" w14:textId="77777777" w:rsidR="00D2483D" w:rsidRPr="008D5FF4" w:rsidRDefault="00D2483D" w:rsidP="007A575F">
            <w:pPr>
              <w:spacing w:before="80" w:after="80" w:line="240" w:lineRule="auto"/>
              <w:ind w:right="182"/>
              <w:jc w:val="center"/>
              <w:rPr>
                <w:color w:val="FFFFFF"/>
                <w:szCs w:val="20"/>
                <w:lang w:val="en-GB"/>
              </w:rPr>
            </w:pPr>
            <w:r w:rsidRPr="008D5FF4">
              <w:rPr>
                <w:color w:val="FFFFFF"/>
                <w:szCs w:val="20"/>
                <w:lang w:val="en-GB"/>
              </w:rPr>
              <w:t>2024</w:t>
            </w:r>
          </w:p>
        </w:tc>
        <w:tc>
          <w:tcPr>
            <w:tcW w:w="780" w:type="pct"/>
            <w:shd w:val="clear" w:color="auto" w:fill="156082" w:themeFill="accent1"/>
          </w:tcPr>
          <w:p w14:paraId="35FB085E" w14:textId="77777777" w:rsidR="00D2483D" w:rsidRPr="008D5FF4" w:rsidRDefault="00D2483D" w:rsidP="00662938">
            <w:pPr>
              <w:spacing w:before="80" w:after="80" w:line="240" w:lineRule="auto"/>
              <w:ind w:right="8"/>
              <w:jc w:val="center"/>
              <w:rPr>
                <w:color w:val="FFFFFF"/>
                <w:szCs w:val="20"/>
                <w:lang w:val="en-GB"/>
              </w:rPr>
            </w:pPr>
            <w:r>
              <w:rPr>
                <w:color w:val="FFFFFF"/>
                <w:szCs w:val="20"/>
                <w:lang w:val="en-GB"/>
              </w:rPr>
              <w:t>2025</w:t>
            </w:r>
          </w:p>
        </w:tc>
        <w:tc>
          <w:tcPr>
            <w:tcW w:w="1195" w:type="pct"/>
            <w:shd w:val="clear" w:color="auto" w:fill="156082" w:themeFill="accent1"/>
          </w:tcPr>
          <w:p w14:paraId="7A7CD2D0" w14:textId="0B2D2E18" w:rsidR="00D2483D" w:rsidRPr="008D5FF4" w:rsidRDefault="00D2483D" w:rsidP="007A575F">
            <w:pPr>
              <w:spacing w:before="80" w:after="80" w:line="240" w:lineRule="auto"/>
              <w:ind w:right="182"/>
              <w:jc w:val="center"/>
              <w:rPr>
                <w:color w:val="FFFFFF"/>
                <w:szCs w:val="20"/>
                <w:lang w:val="en-GB"/>
              </w:rPr>
            </w:pPr>
            <w:r w:rsidRPr="008D5FF4">
              <w:rPr>
                <w:color w:val="FFFFFF"/>
                <w:szCs w:val="20"/>
                <w:lang w:val="en-GB"/>
              </w:rPr>
              <w:t>CAGR</w:t>
            </w:r>
            <w:r>
              <w:rPr>
                <w:rStyle w:val="FootnoteReference"/>
                <w:color w:val="FFFFFF"/>
                <w:szCs w:val="20"/>
                <w:lang w:val="en-GB"/>
              </w:rPr>
              <w:footnoteReference w:id="61"/>
            </w:r>
          </w:p>
        </w:tc>
      </w:tr>
      <w:tr w:rsidR="00D2483D" w:rsidRPr="008D5FF4" w14:paraId="3EE74142" w14:textId="77777777" w:rsidTr="00662938">
        <w:tc>
          <w:tcPr>
            <w:tcW w:w="1090" w:type="pct"/>
            <w:shd w:val="clear" w:color="auto" w:fill="C9D8E1"/>
          </w:tcPr>
          <w:p w14:paraId="0B186124" w14:textId="77777777" w:rsidR="00D2483D" w:rsidRPr="008D5FF4" w:rsidRDefault="00D2483D" w:rsidP="002B7E6A">
            <w:pPr>
              <w:spacing w:before="80" w:after="80" w:line="240" w:lineRule="auto"/>
              <w:ind w:right="182"/>
              <w:rPr>
                <w:rFonts w:eastAsia="Arial"/>
                <w:color w:val="434242"/>
                <w:szCs w:val="20"/>
                <w:lang w:val="en-GB"/>
              </w:rPr>
            </w:pPr>
            <w:r>
              <w:rPr>
                <w:rFonts w:eastAsia="Arial"/>
                <w:color w:val="434242"/>
                <w:szCs w:val="20"/>
                <w:lang w:val="en-GB"/>
              </w:rPr>
              <w:t>CMPDIL</w:t>
            </w:r>
          </w:p>
        </w:tc>
        <w:tc>
          <w:tcPr>
            <w:tcW w:w="969" w:type="pct"/>
            <w:shd w:val="clear" w:color="auto" w:fill="C9D8E1"/>
            <w:vAlign w:val="bottom"/>
          </w:tcPr>
          <w:p w14:paraId="3DFBBCAA" w14:textId="1F8008EA" w:rsidR="00D2483D" w:rsidRPr="000D73C6" w:rsidRDefault="00D2483D" w:rsidP="002B7E6A">
            <w:pPr>
              <w:spacing w:before="80" w:after="80" w:line="240" w:lineRule="auto"/>
              <w:ind w:right="182"/>
              <w:jc w:val="center"/>
              <w:rPr>
                <w:b w:val="0"/>
                <w:bCs w:val="0"/>
                <w:szCs w:val="20"/>
              </w:rPr>
            </w:pPr>
            <w:r w:rsidRPr="00662938">
              <w:rPr>
                <w:color w:val="000000"/>
                <w:szCs w:val="20"/>
              </w:rPr>
              <w:t>3</w:t>
            </w:r>
            <w:r>
              <w:rPr>
                <w:color w:val="000000"/>
                <w:szCs w:val="20"/>
              </w:rPr>
              <w:t>,</w:t>
            </w:r>
            <w:r w:rsidRPr="00662938">
              <w:rPr>
                <w:color w:val="000000"/>
                <w:szCs w:val="20"/>
              </w:rPr>
              <w:t>830</w:t>
            </w:r>
          </w:p>
        </w:tc>
        <w:tc>
          <w:tcPr>
            <w:tcW w:w="967" w:type="pct"/>
            <w:shd w:val="clear" w:color="auto" w:fill="C9D8E1"/>
            <w:vAlign w:val="bottom"/>
          </w:tcPr>
          <w:p w14:paraId="7D819F72" w14:textId="0511F9D8" w:rsidR="00D2483D" w:rsidRPr="000D73C6" w:rsidRDefault="00D2483D" w:rsidP="002B7E6A">
            <w:pPr>
              <w:spacing w:before="80" w:after="80" w:line="240" w:lineRule="auto"/>
              <w:ind w:right="182"/>
              <w:jc w:val="center"/>
              <w:rPr>
                <w:b w:val="0"/>
                <w:bCs w:val="0"/>
                <w:szCs w:val="20"/>
              </w:rPr>
            </w:pPr>
            <w:r w:rsidRPr="00662938">
              <w:rPr>
                <w:color w:val="000000"/>
                <w:szCs w:val="20"/>
              </w:rPr>
              <w:t>7</w:t>
            </w:r>
            <w:r>
              <w:rPr>
                <w:color w:val="000000"/>
                <w:szCs w:val="20"/>
              </w:rPr>
              <w:t>,</w:t>
            </w:r>
            <w:r w:rsidRPr="00662938">
              <w:rPr>
                <w:color w:val="000000"/>
                <w:szCs w:val="20"/>
              </w:rPr>
              <w:t>270</w:t>
            </w:r>
          </w:p>
        </w:tc>
        <w:tc>
          <w:tcPr>
            <w:tcW w:w="780" w:type="pct"/>
            <w:shd w:val="clear" w:color="auto" w:fill="C9D8E1"/>
            <w:vAlign w:val="bottom"/>
          </w:tcPr>
          <w:p w14:paraId="70CEC283" w14:textId="1630A4C3" w:rsidR="00D2483D" w:rsidRPr="000D73C6" w:rsidRDefault="00D2483D" w:rsidP="00662938">
            <w:pPr>
              <w:spacing w:before="80" w:after="80" w:line="240" w:lineRule="auto"/>
              <w:ind w:right="8"/>
              <w:jc w:val="center"/>
              <w:rPr>
                <w:b w:val="0"/>
                <w:bCs w:val="0"/>
                <w:szCs w:val="20"/>
              </w:rPr>
            </w:pPr>
            <w:r w:rsidRPr="000D73C6">
              <w:rPr>
                <w:szCs w:val="20"/>
              </w:rPr>
              <w:t>8</w:t>
            </w:r>
            <w:r>
              <w:rPr>
                <w:szCs w:val="20"/>
              </w:rPr>
              <w:t>,</w:t>
            </w:r>
            <w:r w:rsidRPr="000D73C6">
              <w:rPr>
                <w:szCs w:val="20"/>
              </w:rPr>
              <w:t>409</w:t>
            </w:r>
          </w:p>
        </w:tc>
        <w:tc>
          <w:tcPr>
            <w:tcW w:w="1195" w:type="pct"/>
            <w:shd w:val="clear" w:color="auto" w:fill="C9D8E1"/>
            <w:vAlign w:val="bottom"/>
          </w:tcPr>
          <w:p w14:paraId="4708FD39" w14:textId="071D2A88" w:rsidR="00D2483D" w:rsidRPr="000D73C6" w:rsidRDefault="001C66BD" w:rsidP="002B7E6A">
            <w:pPr>
              <w:spacing w:before="80" w:after="80" w:line="240" w:lineRule="auto"/>
              <w:ind w:right="182"/>
              <w:jc w:val="center"/>
              <w:rPr>
                <w:b w:val="0"/>
                <w:bCs w:val="0"/>
                <w:szCs w:val="20"/>
              </w:rPr>
            </w:pPr>
            <w:r>
              <w:rPr>
                <w:szCs w:val="20"/>
              </w:rPr>
              <w:t>48.2</w:t>
            </w:r>
            <w:r w:rsidR="00D2483D" w:rsidRPr="000D73C6">
              <w:rPr>
                <w:szCs w:val="20"/>
              </w:rPr>
              <w:t>%</w:t>
            </w:r>
          </w:p>
        </w:tc>
      </w:tr>
      <w:tr w:rsidR="00D2483D" w:rsidRPr="008D5FF4" w14:paraId="6C4F5424" w14:textId="77777777" w:rsidTr="00662938">
        <w:tc>
          <w:tcPr>
            <w:tcW w:w="1090" w:type="pct"/>
          </w:tcPr>
          <w:p w14:paraId="48BF5ABE" w14:textId="77777777" w:rsidR="00D2483D" w:rsidRPr="008D5FF4" w:rsidRDefault="00D2483D" w:rsidP="002B7E6A">
            <w:pPr>
              <w:spacing w:before="80" w:after="80" w:line="240" w:lineRule="auto"/>
              <w:ind w:right="182"/>
              <w:rPr>
                <w:rFonts w:eastAsia="Arial"/>
                <w:b w:val="0"/>
                <w:bCs w:val="0"/>
                <w:color w:val="434242"/>
                <w:szCs w:val="20"/>
                <w:lang w:val="en-GB"/>
              </w:rPr>
            </w:pPr>
            <w:r w:rsidRPr="008D5FF4">
              <w:rPr>
                <w:b w:val="0"/>
                <w:bCs w:val="0"/>
                <w:szCs w:val="20"/>
              </w:rPr>
              <w:t>RITES</w:t>
            </w:r>
          </w:p>
        </w:tc>
        <w:tc>
          <w:tcPr>
            <w:tcW w:w="969" w:type="pct"/>
            <w:vAlign w:val="bottom"/>
          </w:tcPr>
          <w:p w14:paraId="5616B2F5" w14:textId="2DD74520" w:rsidR="00D2483D" w:rsidRPr="00662938" w:rsidRDefault="00D2483D" w:rsidP="002B7E6A">
            <w:pPr>
              <w:spacing w:before="80" w:after="80" w:line="240" w:lineRule="auto"/>
              <w:ind w:right="182"/>
              <w:jc w:val="center"/>
              <w:rPr>
                <w:b w:val="0"/>
                <w:bCs w:val="0"/>
                <w:szCs w:val="20"/>
              </w:rPr>
            </w:pPr>
            <w:r w:rsidRPr="00662938">
              <w:rPr>
                <w:color w:val="000000"/>
                <w:szCs w:val="20"/>
              </w:rPr>
              <w:t>7</w:t>
            </w:r>
            <w:r>
              <w:rPr>
                <w:color w:val="000000"/>
                <w:szCs w:val="20"/>
              </w:rPr>
              <w:t>,</w:t>
            </w:r>
            <w:r w:rsidRPr="00662938">
              <w:rPr>
                <w:color w:val="000000"/>
                <w:szCs w:val="20"/>
              </w:rPr>
              <w:t>459</w:t>
            </w:r>
          </w:p>
        </w:tc>
        <w:tc>
          <w:tcPr>
            <w:tcW w:w="967" w:type="pct"/>
            <w:vAlign w:val="bottom"/>
          </w:tcPr>
          <w:p w14:paraId="3FDC4196" w14:textId="2EA042C4" w:rsidR="00D2483D" w:rsidRPr="00662938" w:rsidRDefault="00D2483D" w:rsidP="002B7E6A">
            <w:pPr>
              <w:spacing w:before="80" w:after="80" w:line="240" w:lineRule="auto"/>
              <w:ind w:right="182"/>
              <w:jc w:val="center"/>
              <w:rPr>
                <w:b w:val="0"/>
                <w:bCs w:val="0"/>
                <w:szCs w:val="20"/>
              </w:rPr>
            </w:pPr>
            <w:r w:rsidRPr="00662938">
              <w:rPr>
                <w:color w:val="000000"/>
                <w:szCs w:val="20"/>
              </w:rPr>
              <w:t>6</w:t>
            </w:r>
            <w:r>
              <w:rPr>
                <w:color w:val="000000"/>
                <w:szCs w:val="20"/>
              </w:rPr>
              <w:t>,</w:t>
            </w:r>
            <w:r w:rsidRPr="00662938">
              <w:rPr>
                <w:color w:val="000000"/>
                <w:szCs w:val="20"/>
              </w:rPr>
              <w:t>496</w:t>
            </w:r>
          </w:p>
        </w:tc>
        <w:tc>
          <w:tcPr>
            <w:tcW w:w="780" w:type="pct"/>
            <w:vAlign w:val="bottom"/>
          </w:tcPr>
          <w:p w14:paraId="7FCCF67F" w14:textId="04342F21" w:rsidR="00D2483D" w:rsidRPr="000D73C6" w:rsidRDefault="00D2483D" w:rsidP="00662938">
            <w:pPr>
              <w:spacing w:before="80" w:after="80" w:line="240" w:lineRule="auto"/>
              <w:ind w:right="8"/>
              <w:jc w:val="center"/>
              <w:rPr>
                <w:b w:val="0"/>
                <w:bCs w:val="0"/>
                <w:szCs w:val="20"/>
              </w:rPr>
            </w:pPr>
            <w:r w:rsidRPr="000D73C6">
              <w:rPr>
                <w:szCs w:val="20"/>
              </w:rPr>
              <w:t>5</w:t>
            </w:r>
            <w:r>
              <w:rPr>
                <w:szCs w:val="20"/>
              </w:rPr>
              <w:t>,</w:t>
            </w:r>
            <w:r w:rsidRPr="000D73C6">
              <w:rPr>
                <w:szCs w:val="20"/>
              </w:rPr>
              <w:t>272</w:t>
            </w:r>
          </w:p>
        </w:tc>
        <w:tc>
          <w:tcPr>
            <w:tcW w:w="1195" w:type="pct"/>
            <w:vAlign w:val="bottom"/>
          </w:tcPr>
          <w:p w14:paraId="751972A0" w14:textId="3E12A9E8" w:rsidR="00D2483D" w:rsidRPr="000D73C6" w:rsidRDefault="00D2483D" w:rsidP="002B7E6A">
            <w:pPr>
              <w:spacing w:before="80" w:after="80" w:line="240" w:lineRule="auto"/>
              <w:ind w:right="182"/>
              <w:jc w:val="center"/>
              <w:rPr>
                <w:b w:val="0"/>
                <w:bCs w:val="0"/>
                <w:szCs w:val="20"/>
              </w:rPr>
            </w:pPr>
            <w:r w:rsidRPr="000D73C6">
              <w:rPr>
                <w:szCs w:val="20"/>
              </w:rPr>
              <w:t>-</w:t>
            </w:r>
            <w:r w:rsidR="001C66BD">
              <w:rPr>
                <w:szCs w:val="20"/>
              </w:rPr>
              <w:t>15.9</w:t>
            </w:r>
            <w:r w:rsidRPr="000D73C6">
              <w:rPr>
                <w:szCs w:val="20"/>
              </w:rPr>
              <w:t>%</w:t>
            </w:r>
          </w:p>
        </w:tc>
      </w:tr>
      <w:tr w:rsidR="00D2483D" w:rsidRPr="008D5FF4" w14:paraId="306D63F2" w14:textId="77777777" w:rsidTr="00662938">
        <w:tc>
          <w:tcPr>
            <w:tcW w:w="1090" w:type="pct"/>
          </w:tcPr>
          <w:p w14:paraId="3A5BD833" w14:textId="77777777" w:rsidR="00D2483D" w:rsidRPr="008D5FF4" w:rsidRDefault="00D2483D" w:rsidP="00E43D94">
            <w:pPr>
              <w:spacing w:before="80" w:after="80" w:line="240" w:lineRule="auto"/>
              <w:ind w:right="182"/>
              <w:rPr>
                <w:rFonts w:eastAsia="Arial"/>
                <w:b w:val="0"/>
                <w:bCs w:val="0"/>
                <w:color w:val="434242"/>
                <w:szCs w:val="20"/>
                <w:lang w:val="en-GB"/>
              </w:rPr>
            </w:pPr>
            <w:r w:rsidRPr="008D5FF4">
              <w:rPr>
                <w:b w:val="0"/>
                <w:bCs w:val="0"/>
                <w:szCs w:val="20"/>
              </w:rPr>
              <w:t>EIL</w:t>
            </w:r>
          </w:p>
        </w:tc>
        <w:tc>
          <w:tcPr>
            <w:tcW w:w="969" w:type="pct"/>
            <w:vAlign w:val="bottom"/>
          </w:tcPr>
          <w:p w14:paraId="694BFA4A" w14:textId="63077E09" w:rsidR="00D2483D" w:rsidRPr="00662938" w:rsidRDefault="00D2483D" w:rsidP="00E43D94">
            <w:pPr>
              <w:spacing w:before="80" w:after="80" w:line="240" w:lineRule="auto"/>
              <w:ind w:right="182"/>
              <w:jc w:val="center"/>
              <w:rPr>
                <w:b w:val="0"/>
                <w:bCs w:val="0"/>
                <w:szCs w:val="20"/>
              </w:rPr>
            </w:pPr>
            <w:r w:rsidRPr="00662938">
              <w:rPr>
                <w:color w:val="000000"/>
                <w:szCs w:val="20"/>
              </w:rPr>
              <w:t>3</w:t>
            </w:r>
            <w:r>
              <w:rPr>
                <w:color w:val="000000"/>
                <w:szCs w:val="20"/>
              </w:rPr>
              <w:t>,</w:t>
            </w:r>
            <w:r w:rsidRPr="00662938">
              <w:rPr>
                <w:color w:val="000000"/>
                <w:szCs w:val="20"/>
              </w:rPr>
              <w:t>083</w:t>
            </w:r>
          </w:p>
        </w:tc>
        <w:tc>
          <w:tcPr>
            <w:tcW w:w="967" w:type="pct"/>
            <w:vAlign w:val="bottom"/>
          </w:tcPr>
          <w:p w14:paraId="22CDE14B" w14:textId="3E005A69" w:rsidR="00D2483D" w:rsidRPr="00662938" w:rsidRDefault="00D2483D" w:rsidP="00E43D94">
            <w:pPr>
              <w:spacing w:before="80" w:after="80" w:line="240" w:lineRule="auto"/>
              <w:ind w:right="182"/>
              <w:jc w:val="center"/>
              <w:rPr>
                <w:b w:val="0"/>
                <w:bCs w:val="0"/>
                <w:szCs w:val="20"/>
              </w:rPr>
            </w:pPr>
            <w:r w:rsidRPr="00662938">
              <w:rPr>
                <w:color w:val="000000"/>
                <w:szCs w:val="20"/>
              </w:rPr>
              <w:t>2</w:t>
            </w:r>
            <w:r>
              <w:rPr>
                <w:color w:val="000000"/>
                <w:szCs w:val="20"/>
              </w:rPr>
              <w:t>,</w:t>
            </w:r>
            <w:r w:rsidRPr="00662938">
              <w:rPr>
                <w:color w:val="000000"/>
                <w:szCs w:val="20"/>
              </w:rPr>
              <w:t>971</w:t>
            </w:r>
          </w:p>
        </w:tc>
        <w:tc>
          <w:tcPr>
            <w:tcW w:w="780" w:type="pct"/>
            <w:vAlign w:val="bottom"/>
          </w:tcPr>
          <w:p w14:paraId="4F48D01D" w14:textId="11468554" w:rsidR="00D2483D" w:rsidRPr="000D73C6" w:rsidRDefault="00D2483D" w:rsidP="00662938">
            <w:pPr>
              <w:spacing w:before="80" w:after="80" w:line="240" w:lineRule="auto"/>
              <w:ind w:right="8"/>
              <w:jc w:val="center"/>
              <w:rPr>
                <w:b w:val="0"/>
                <w:bCs w:val="0"/>
                <w:szCs w:val="20"/>
              </w:rPr>
            </w:pPr>
            <w:r w:rsidRPr="000D73C6">
              <w:rPr>
                <w:szCs w:val="20"/>
              </w:rPr>
              <w:t>NA</w:t>
            </w:r>
          </w:p>
        </w:tc>
        <w:tc>
          <w:tcPr>
            <w:tcW w:w="1195" w:type="pct"/>
            <w:vAlign w:val="bottom"/>
          </w:tcPr>
          <w:p w14:paraId="3764C885" w14:textId="541EFB7F" w:rsidR="00D2483D" w:rsidRPr="000D73C6" w:rsidRDefault="001C66BD" w:rsidP="00E43D94">
            <w:pPr>
              <w:spacing w:before="80" w:after="80" w:line="240" w:lineRule="auto"/>
              <w:ind w:right="182"/>
              <w:jc w:val="center"/>
              <w:rPr>
                <w:b w:val="0"/>
                <w:bCs w:val="0"/>
                <w:szCs w:val="20"/>
              </w:rPr>
            </w:pPr>
            <w:r>
              <w:rPr>
                <w:szCs w:val="20"/>
              </w:rPr>
              <w:t>-3.6</w:t>
            </w:r>
            <w:r w:rsidR="00D2483D" w:rsidRPr="000D73C6">
              <w:rPr>
                <w:szCs w:val="20"/>
              </w:rPr>
              <w:t>%</w:t>
            </w:r>
          </w:p>
        </w:tc>
      </w:tr>
      <w:tr w:rsidR="00D2483D" w:rsidRPr="008D5FF4" w14:paraId="5455D5C3" w14:textId="77777777" w:rsidTr="00662938">
        <w:tc>
          <w:tcPr>
            <w:tcW w:w="1090" w:type="pct"/>
          </w:tcPr>
          <w:p w14:paraId="6F9FF548" w14:textId="77777777" w:rsidR="00D2483D" w:rsidRPr="008D5FF4" w:rsidRDefault="00D2483D" w:rsidP="00E43D94">
            <w:pPr>
              <w:spacing w:before="80" w:after="80" w:line="240" w:lineRule="auto"/>
              <w:ind w:right="182"/>
              <w:rPr>
                <w:rFonts w:eastAsia="Arial"/>
                <w:b w:val="0"/>
                <w:bCs w:val="0"/>
                <w:color w:val="434242"/>
                <w:szCs w:val="20"/>
                <w:lang w:val="en-GB"/>
              </w:rPr>
            </w:pPr>
            <w:r w:rsidRPr="008D5FF4">
              <w:rPr>
                <w:b w:val="0"/>
                <w:bCs w:val="0"/>
                <w:szCs w:val="20"/>
              </w:rPr>
              <w:t>MECL</w:t>
            </w:r>
          </w:p>
        </w:tc>
        <w:tc>
          <w:tcPr>
            <w:tcW w:w="969" w:type="pct"/>
            <w:vAlign w:val="bottom"/>
          </w:tcPr>
          <w:p w14:paraId="37AA6438" w14:textId="425B07BD" w:rsidR="00D2483D" w:rsidRPr="00662938" w:rsidRDefault="00D2483D" w:rsidP="00E43D94">
            <w:pPr>
              <w:spacing w:before="80" w:after="80" w:line="240" w:lineRule="auto"/>
              <w:ind w:right="182"/>
              <w:jc w:val="center"/>
              <w:rPr>
                <w:b w:val="0"/>
                <w:bCs w:val="0"/>
                <w:szCs w:val="20"/>
              </w:rPr>
            </w:pPr>
            <w:r w:rsidRPr="00662938">
              <w:rPr>
                <w:color w:val="000000"/>
                <w:szCs w:val="20"/>
              </w:rPr>
              <w:t>153</w:t>
            </w:r>
          </w:p>
        </w:tc>
        <w:tc>
          <w:tcPr>
            <w:tcW w:w="967" w:type="pct"/>
            <w:vAlign w:val="bottom"/>
          </w:tcPr>
          <w:p w14:paraId="1ED38320" w14:textId="19C817A0" w:rsidR="00D2483D" w:rsidRPr="00662938" w:rsidRDefault="00D2483D" w:rsidP="00E43D94">
            <w:pPr>
              <w:spacing w:before="80" w:after="80" w:line="240" w:lineRule="auto"/>
              <w:ind w:right="182"/>
              <w:jc w:val="center"/>
              <w:rPr>
                <w:b w:val="0"/>
                <w:bCs w:val="0"/>
                <w:szCs w:val="20"/>
              </w:rPr>
            </w:pPr>
            <w:r w:rsidRPr="00662938">
              <w:rPr>
                <w:color w:val="000000"/>
                <w:szCs w:val="20"/>
              </w:rPr>
              <w:t>926</w:t>
            </w:r>
          </w:p>
        </w:tc>
        <w:tc>
          <w:tcPr>
            <w:tcW w:w="780" w:type="pct"/>
            <w:vAlign w:val="bottom"/>
          </w:tcPr>
          <w:p w14:paraId="335A20BE" w14:textId="36AAF823" w:rsidR="00D2483D" w:rsidRPr="000D73C6" w:rsidRDefault="00D2483D" w:rsidP="00662938">
            <w:pPr>
              <w:spacing w:before="80" w:after="80" w:line="240" w:lineRule="auto"/>
              <w:ind w:right="8"/>
              <w:jc w:val="center"/>
              <w:rPr>
                <w:b w:val="0"/>
                <w:bCs w:val="0"/>
                <w:szCs w:val="20"/>
              </w:rPr>
            </w:pPr>
            <w:r w:rsidRPr="000D73C6">
              <w:rPr>
                <w:szCs w:val="20"/>
              </w:rPr>
              <w:t>NA</w:t>
            </w:r>
          </w:p>
        </w:tc>
        <w:tc>
          <w:tcPr>
            <w:tcW w:w="1195" w:type="pct"/>
            <w:vAlign w:val="bottom"/>
          </w:tcPr>
          <w:p w14:paraId="23A6E2C1" w14:textId="0349E7DD" w:rsidR="00D2483D" w:rsidRPr="000D73C6" w:rsidRDefault="001C66BD" w:rsidP="00E43D94">
            <w:pPr>
              <w:spacing w:before="80" w:after="80" w:line="240" w:lineRule="auto"/>
              <w:ind w:right="182"/>
              <w:jc w:val="center"/>
              <w:rPr>
                <w:b w:val="0"/>
                <w:bCs w:val="0"/>
                <w:szCs w:val="20"/>
              </w:rPr>
            </w:pPr>
            <w:r>
              <w:rPr>
                <w:szCs w:val="20"/>
              </w:rPr>
              <w:t>505.3</w:t>
            </w:r>
            <w:r w:rsidR="00D2483D" w:rsidRPr="000D73C6">
              <w:rPr>
                <w:szCs w:val="20"/>
              </w:rPr>
              <w:t>%</w:t>
            </w:r>
          </w:p>
        </w:tc>
      </w:tr>
      <w:tr w:rsidR="00D2483D" w:rsidRPr="008D5FF4" w14:paraId="31D1AE51" w14:textId="77777777" w:rsidTr="00662938">
        <w:tc>
          <w:tcPr>
            <w:tcW w:w="1090" w:type="pct"/>
          </w:tcPr>
          <w:p w14:paraId="7BF676E6" w14:textId="77777777" w:rsidR="00D2483D" w:rsidRPr="008D5FF4" w:rsidRDefault="00D2483D" w:rsidP="00B8514F">
            <w:pPr>
              <w:spacing w:before="80" w:after="80" w:line="240" w:lineRule="auto"/>
              <w:ind w:right="182"/>
              <w:rPr>
                <w:rFonts w:eastAsia="Arial"/>
                <w:b w:val="0"/>
                <w:bCs w:val="0"/>
                <w:color w:val="434242"/>
                <w:szCs w:val="20"/>
                <w:lang w:val="en-GB"/>
              </w:rPr>
            </w:pPr>
            <w:r w:rsidRPr="008D5FF4">
              <w:rPr>
                <w:b w:val="0"/>
                <w:bCs w:val="0"/>
                <w:szCs w:val="20"/>
              </w:rPr>
              <w:t>MECON</w:t>
            </w:r>
          </w:p>
        </w:tc>
        <w:tc>
          <w:tcPr>
            <w:tcW w:w="969" w:type="pct"/>
            <w:vAlign w:val="bottom"/>
          </w:tcPr>
          <w:p w14:paraId="251E5883" w14:textId="779D6833" w:rsidR="00D2483D" w:rsidRPr="00662938" w:rsidRDefault="00D2483D" w:rsidP="00B8514F">
            <w:pPr>
              <w:spacing w:before="80" w:after="80" w:line="240" w:lineRule="auto"/>
              <w:ind w:right="182"/>
              <w:jc w:val="center"/>
              <w:rPr>
                <w:b w:val="0"/>
                <w:bCs w:val="0"/>
                <w:szCs w:val="20"/>
              </w:rPr>
            </w:pPr>
            <w:r w:rsidRPr="00662938">
              <w:rPr>
                <w:color w:val="000000"/>
                <w:szCs w:val="20"/>
              </w:rPr>
              <w:t>-128</w:t>
            </w:r>
          </w:p>
        </w:tc>
        <w:tc>
          <w:tcPr>
            <w:tcW w:w="967" w:type="pct"/>
            <w:vAlign w:val="bottom"/>
          </w:tcPr>
          <w:p w14:paraId="18366246" w14:textId="377C54FE" w:rsidR="00D2483D" w:rsidRPr="00662938" w:rsidRDefault="00D2483D" w:rsidP="00B8514F">
            <w:pPr>
              <w:spacing w:before="80" w:after="80" w:line="240" w:lineRule="auto"/>
              <w:ind w:right="182"/>
              <w:jc w:val="center"/>
              <w:rPr>
                <w:b w:val="0"/>
                <w:bCs w:val="0"/>
                <w:szCs w:val="20"/>
              </w:rPr>
            </w:pPr>
            <w:r w:rsidRPr="00662938">
              <w:rPr>
                <w:color w:val="000000"/>
                <w:szCs w:val="20"/>
              </w:rPr>
              <w:t>170</w:t>
            </w:r>
          </w:p>
        </w:tc>
        <w:tc>
          <w:tcPr>
            <w:tcW w:w="780" w:type="pct"/>
            <w:vAlign w:val="bottom"/>
          </w:tcPr>
          <w:p w14:paraId="7964D23F" w14:textId="0449CBFA" w:rsidR="00D2483D" w:rsidRPr="000D73C6" w:rsidRDefault="00D2483D" w:rsidP="00662938">
            <w:pPr>
              <w:spacing w:before="80" w:after="80" w:line="240" w:lineRule="auto"/>
              <w:ind w:right="8"/>
              <w:jc w:val="center"/>
              <w:rPr>
                <w:b w:val="0"/>
                <w:bCs w:val="0"/>
                <w:szCs w:val="20"/>
              </w:rPr>
            </w:pPr>
            <w:r w:rsidRPr="000D73C6">
              <w:rPr>
                <w:szCs w:val="20"/>
              </w:rPr>
              <w:t>NA</w:t>
            </w:r>
          </w:p>
        </w:tc>
        <w:tc>
          <w:tcPr>
            <w:tcW w:w="1195" w:type="pct"/>
            <w:vAlign w:val="bottom"/>
          </w:tcPr>
          <w:p w14:paraId="2BE2AB48" w14:textId="0D5690D3" w:rsidR="00D2483D" w:rsidRPr="000D73C6" w:rsidRDefault="001C66BD" w:rsidP="00B8514F">
            <w:pPr>
              <w:spacing w:before="80" w:after="80" w:line="240" w:lineRule="auto"/>
              <w:ind w:right="182"/>
              <w:jc w:val="center"/>
              <w:rPr>
                <w:b w:val="0"/>
                <w:bCs w:val="0"/>
                <w:szCs w:val="20"/>
              </w:rPr>
            </w:pPr>
            <w:r>
              <w:rPr>
                <w:szCs w:val="20"/>
              </w:rPr>
              <w:t>-233.2</w:t>
            </w:r>
            <w:r w:rsidR="00D2483D" w:rsidRPr="000D73C6">
              <w:rPr>
                <w:szCs w:val="20"/>
              </w:rPr>
              <w:t>%</w:t>
            </w:r>
          </w:p>
        </w:tc>
      </w:tr>
    </w:tbl>
    <w:p w14:paraId="54192600" w14:textId="77777777" w:rsidR="00300176" w:rsidRDefault="00300176" w:rsidP="00300176">
      <w:pPr>
        <w:pStyle w:val="Source"/>
        <w:ind w:right="182"/>
      </w:pPr>
      <w:r w:rsidRPr="00FF440B">
        <w:t xml:space="preserve">Source: </w:t>
      </w:r>
      <w:r w:rsidRPr="00E37ECA">
        <w:t>Company Annual Reports, all years are fiscal,</w:t>
      </w:r>
      <w:r>
        <w:t xml:space="preserve"> </w:t>
      </w:r>
      <w:r w:rsidRPr="00BD2973">
        <w:t>NA- Not Available</w:t>
      </w:r>
    </w:p>
    <w:p w14:paraId="5C127EAD" w14:textId="1EB8276E" w:rsidR="00696FA0" w:rsidRPr="00662938" w:rsidRDefault="00696FA0" w:rsidP="00662938">
      <w:pPr>
        <w:pStyle w:val="Heading30"/>
        <w:ind w:right="182"/>
        <w:rPr>
          <w:i/>
        </w:rPr>
      </w:pPr>
      <w:r w:rsidRPr="00662938">
        <w:t>Operating EBITDA Margins</w:t>
      </w:r>
    </w:p>
    <w:p w14:paraId="486A867F" w14:textId="26EE0A0A" w:rsidR="00594ACA" w:rsidRPr="0085615D" w:rsidRDefault="00594ACA" w:rsidP="00662938">
      <w:pPr>
        <w:ind w:right="182"/>
      </w:pPr>
      <w:r w:rsidRPr="00594ACA">
        <w:t xml:space="preserve">CMPDIL has consistently demonstrated strong financial performance, with its </w:t>
      </w:r>
      <w:r>
        <w:t xml:space="preserve">operating </w:t>
      </w:r>
      <w:r w:rsidRPr="00594ACA">
        <w:t>EBITDA margins</w:t>
      </w:r>
      <w:r w:rsidR="00AA6048">
        <w:rPr>
          <w:rStyle w:val="FootnoteReference"/>
        </w:rPr>
        <w:footnoteReference w:id="62"/>
      </w:r>
      <w:r w:rsidRPr="00594ACA">
        <w:t xml:space="preserve"> showing a significant upward trend, increasing from 28% in 2023 </w:t>
      </w:r>
      <w:r>
        <w:t xml:space="preserve">with </w:t>
      </w:r>
      <w:r w:rsidRPr="00594ACA">
        <w:t>surging to 42% in 202</w:t>
      </w:r>
      <w:r>
        <w:t xml:space="preserve">4 and </w:t>
      </w:r>
      <w:r w:rsidR="0006531E">
        <w:t>finally 40% in 2025</w:t>
      </w:r>
      <w:r w:rsidRPr="00594ACA">
        <w:t xml:space="preserve">. In comparison, RITES' margins have </w:t>
      </w:r>
      <w:r w:rsidR="00B91CFC">
        <w:t xml:space="preserve">declined </w:t>
      </w:r>
      <w:r w:rsidRPr="00594ACA">
        <w:t xml:space="preserve">from </w:t>
      </w:r>
      <w:r w:rsidR="0006531E">
        <w:t>2</w:t>
      </w:r>
      <w:r w:rsidR="00B91CFC">
        <w:t>8</w:t>
      </w:r>
      <w:r w:rsidRPr="00594ACA">
        <w:t>% in 202</w:t>
      </w:r>
      <w:r w:rsidR="00B91CFC">
        <w:t>3</w:t>
      </w:r>
      <w:r w:rsidRPr="00594ACA">
        <w:t xml:space="preserve"> to 2</w:t>
      </w:r>
      <w:r w:rsidR="0006531E">
        <w:t>4</w:t>
      </w:r>
      <w:r w:rsidRPr="00594ACA">
        <w:t xml:space="preserve">% in 2025 while EIL's margins have </w:t>
      </w:r>
      <w:r w:rsidR="00B91CFC">
        <w:t>remained stable</w:t>
      </w:r>
      <w:r w:rsidR="0006531E">
        <w:t xml:space="preserve"> </w:t>
      </w:r>
      <w:r w:rsidR="00B91CFC">
        <w:t xml:space="preserve">at 9% </w:t>
      </w:r>
      <w:r w:rsidRPr="00594ACA">
        <w:t>in 202</w:t>
      </w:r>
      <w:r w:rsidR="00B91CFC">
        <w:t>3 and 2024</w:t>
      </w:r>
      <w:r w:rsidRPr="00594ACA">
        <w:t xml:space="preserve">. MECL's margins </w:t>
      </w:r>
      <w:r w:rsidR="00B91CFC">
        <w:t xml:space="preserve">have </w:t>
      </w:r>
      <w:r w:rsidR="00887494">
        <w:t xml:space="preserve">grown significantly </w:t>
      </w:r>
      <w:r w:rsidRPr="00594ACA">
        <w:t xml:space="preserve">from </w:t>
      </w:r>
      <w:r w:rsidR="00887494">
        <w:t>7%</w:t>
      </w:r>
      <w:r w:rsidRPr="00594ACA">
        <w:t xml:space="preserve"> in 202</w:t>
      </w:r>
      <w:r w:rsidR="00887494">
        <w:t xml:space="preserve">3 </w:t>
      </w:r>
      <w:r w:rsidRPr="00594ACA">
        <w:t xml:space="preserve">to </w:t>
      </w:r>
      <w:r w:rsidR="0006531E">
        <w:t>29</w:t>
      </w:r>
      <w:r w:rsidRPr="00594ACA">
        <w:t xml:space="preserve">% in 2024. Similarly, MECON's margins have </w:t>
      </w:r>
      <w:r w:rsidR="00887494">
        <w:t>increased</w:t>
      </w:r>
      <w:r w:rsidRPr="00594ACA">
        <w:t xml:space="preserve"> from </w:t>
      </w:r>
      <w:r w:rsidR="00887494">
        <w:t>-1</w:t>
      </w:r>
      <w:r w:rsidRPr="00594ACA">
        <w:t>% in 202</w:t>
      </w:r>
      <w:r w:rsidR="00887494">
        <w:t>3</w:t>
      </w:r>
      <w:r w:rsidRPr="00594ACA">
        <w:t xml:space="preserve"> to </w:t>
      </w:r>
      <w:r w:rsidR="0006531E">
        <w:t>2</w:t>
      </w:r>
      <w:r w:rsidRPr="00594ACA">
        <w:t>% in 202</w:t>
      </w:r>
      <w:r w:rsidR="0006531E">
        <w:t>4</w:t>
      </w:r>
      <w:r w:rsidRPr="00594ACA">
        <w:t>.</w:t>
      </w:r>
    </w:p>
    <w:p w14:paraId="365E6E34" w14:textId="1F5D2707" w:rsidR="00505A0C" w:rsidRDefault="00505A0C" w:rsidP="00505A0C">
      <w:pPr>
        <w:pStyle w:val="Caption"/>
        <w:ind w:right="182"/>
      </w:pPr>
      <w:bookmarkStart w:id="6612" w:name="_Toc198731467"/>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6</w:t>
      </w:r>
      <w:r w:rsidRPr="000174A7">
        <w:fldChar w:fldCharType="end"/>
      </w:r>
      <w:r>
        <w:t xml:space="preserve"> Operating EBITDA </w:t>
      </w:r>
      <w:r w:rsidR="00E816DF">
        <w:t xml:space="preserve">margins </w:t>
      </w:r>
      <w:r>
        <w:t>(</w:t>
      </w:r>
      <w:r w:rsidR="00E816DF">
        <w:t>%</w:t>
      </w:r>
      <w:r w:rsidR="00881BB4">
        <w:t xml:space="preserve"> of Revenue from Operations</w:t>
      </w:r>
      <w:r>
        <w:t>)</w:t>
      </w:r>
      <w:bookmarkEnd w:id="6612"/>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1C66BD" w:rsidRPr="008D5FF4" w14:paraId="753546A5" w14:textId="77777777" w:rsidTr="00662938">
        <w:trPr>
          <w:tblHeader/>
        </w:trPr>
        <w:tc>
          <w:tcPr>
            <w:tcW w:w="1432" w:type="pct"/>
            <w:shd w:val="clear" w:color="auto" w:fill="156082" w:themeFill="accent1"/>
            <w:vAlign w:val="center"/>
          </w:tcPr>
          <w:p w14:paraId="5FB6890C" w14:textId="77777777" w:rsidR="001C66BD" w:rsidRPr="008D5FF4" w:rsidRDefault="001C66BD"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5D463327" w14:textId="77777777" w:rsidR="001C66BD" w:rsidRPr="008D5FF4" w:rsidRDefault="001C66BD"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69254418" w14:textId="77777777" w:rsidR="001C66BD" w:rsidRPr="008D5FF4" w:rsidRDefault="001C66BD"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55B24042" w14:textId="77777777" w:rsidR="001C66BD" w:rsidRPr="008D5FF4" w:rsidRDefault="001C66BD" w:rsidP="007A575F">
            <w:pPr>
              <w:spacing w:before="80" w:after="80" w:line="240" w:lineRule="auto"/>
              <w:ind w:right="8"/>
              <w:jc w:val="center"/>
              <w:rPr>
                <w:color w:val="FFFFFF"/>
                <w:szCs w:val="20"/>
                <w:lang w:val="en-GB"/>
              </w:rPr>
            </w:pPr>
            <w:r>
              <w:rPr>
                <w:color w:val="FFFFFF"/>
                <w:szCs w:val="20"/>
                <w:lang w:val="en-GB"/>
              </w:rPr>
              <w:t>2025</w:t>
            </w:r>
          </w:p>
        </w:tc>
      </w:tr>
      <w:tr w:rsidR="001C66BD" w:rsidRPr="008D5FF4" w14:paraId="7A0973C3" w14:textId="77777777" w:rsidTr="00662938">
        <w:tc>
          <w:tcPr>
            <w:tcW w:w="1432" w:type="pct"/>
            <w:shd w:val="clear" w:color="auto" w:fill="C9D8E1"/>
          </w:tcPr>
          <w:p w14:paraId="17E429F2" w14:textId="77777777" w:rsidR="001C66BD" w:rsidRPr="008D5FF4" w:rsidRDefault="001C66BD" w:rsidP="00E816DF">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1F4078F7" w14:textId="62A5BD41" w:rsidR="001C66BD" w:rsidRPr="00662938" w:rsidRDefault="001C66BD" w:rsidP="00E816DF">
            <w:pPr>
              <w:spacing w:before="80" w:after="80" w:line="240" w:lineRule="auto"/>
              <w:ind w:right="182"/>
              <w:jc w:val="center"/>
              <w:rPr>
                <w:b w:val="0"/>
                <w:bCs w:val="0"/>
                <w:szCs w:val="20"/>
              </w:rPr>
            </w:pPr>
            <w:r w:rsidRPr="00662938">
              <w:rPr>
                <w:color w:val="000000"/>
                <w:szCs w:val="20"/>
              </w:rPr>
              <w:t>28%</w:t>
            </w:r>
          </w:p>
        </w:tc>
        <w:tc>
          <w:tcPr>
            <w:tcW w:w="1270" w:type="pct"/>
            <w:shd w:val="clear" w:color="auto" w:fill="C9D8E1"/>
            <w:vAlign w:val="bottom"/>
          </w:tcPr>
          <w:p w14:paraId="076D6863" w14:textId="246F6563" w:rsidR="001C66BD" w:rsidRPr="00662938" w:rsidRDefault="001C66BD" w:rsidP="00E816DF">
            <w:pPr>
              <w:spacing w:before="80" w:after="80" w:line="240" w:lineRule="auto"/>
              <w:ind w:right="182"/>
              <w:jc w:val="center"/>
              <w:rPr>
                <w:b w:val="0"/>
                <w:bCs w:val="0"/>
                <w:szCs w:val="20"/>
              </w:rPr>
            </w:pPr>
            <w:r w:rsidRPr="00662938">
              <w:rPr>
                <w:color w:val="000000"/>
                <w:szCs w:val="20"/>
              </w:rPr>
              <w:t>42%</w:t>
            </w:r>
          </w:p>
        </w:tc>
        <w:tc>
          <w:tcPr>
            <w:tcW w:w="1025" w:type="pct"/>
            <w:shd w:val="clear" w:color="auto" w:fill="C9D8E1"/>
            <w:vAlign w:val="bottom"/>
          </w:tcPr>
          <w:p w14:paraId="0B4A4A7A" w14:textId="127FD706" w:rsidR="001C66BD" w:rsidRPr="00662938" w:rsidRDefault="001C66BD" w:rsidP="00E816DF">
            <w:pPr>
              <w:spacing w:before="80" w:after="80" w:line="240" w:lineRule="auto"/>
              <w:ind w:right="8"/>
              <w:jc w:val="center"/>
              <w:rPr>
                <w:b w:val="0"/>
                <w:bCs w:val="0"/>
                <w:szCs w:val="20"/>
              </w:rPr>
            </w:pPr>
            <w:r w:rsidRPr="000D73C6">
              <w:rPr>
                <w:szCs w:val="20"/>
              </w:rPr>
              <w:t>40%</w:t>
            </w:r>
          </w:p>
        </w:tc>
      </w:tr>
      <w:tr w:rsidR="001C66BD" w:rsidRPr="008D5FF4" w14:paraId="3550CE1A" w14:textId="77777777" w:rsidTr="00662938">
        <w:tc>
          <w:tcPr>
            <w:tcW w:w="1432" w:type="pct"/>
          </w:tcPr>
          <w:p w14:paraId="57AAF7F3" w14:textId="77777777" w:rsidR="001C66BD" w:rsidRPr="008D5FF4" w:rsidRDefault="001C66BD" w:rsidP="00CB0DD7">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46453908" w14:textId="30445C9A" w:rsidR="001C66BD" w:rsidRPr="00662938" w:rsidRDefault="001C66BD" w:rsidP="00CB0DD7">
            <w:pPr>
              <w:spacing w:before="80" w:after="80" w:line="240" w:lineRule="auto"/>
              <w:ind w:right="182"/>
              <w:jc w:val="center"/>
              <w:rPr>
                <w:b w:val="0"/>
                <w:bCs w:val="0"/>
                <w:szCs w:val="20"/>
              </w:rPr>
            </w:pPr>
            <w:r w:rsidRPr="00662938">
              <w:rPr>
                <w:color w:val="000000"/>
                <w:szCs w:val="20"/>
              </w:rPr>
              <w:t>28%</w:t>
            </w:r>
          </w:p>
        </w:tc>
        <w:tc>
          <w:tcPr>
            <w:tcW w:w="1270" w:type="pct"/>
            <w:vAlign w:val="bottom"/>
          </w:tcPr>
          <w:p w14:paraId="68A9B0A9" w14:textId="4DBD989A" w:rsidR="001C66BD" w:rsidRPr="00662938" w:rsidRDefault="001C66BD" w:rsidP="00CB0DD7">
            <w:pPr>
              <w:spacing w:before="80" w:after="80" w:line="240" w:lineRule="auto"/>
              <w:ind w:right="182"/>
              <w:jc w:val="center"/>
              <w:rPr>
                <w:b w:val="0"/>
                <w:bCs w:val="0"/>
                <w:szCs w:val="20"/>
              </w:rPr>
            </w:pPr>
            <w:r w:rsidRPr="00662938">
              <w:rPr>
                <w:color w:val="000000"/>
                <w:szCs w:val="20"/>
              </w:rPr>
              <w:t>26%</w:t>
            </w:r>
          </w:p>
        </w:tc>
        <w:tc>
          <w:tcPr>
            <w:tcW w:w="1025" w:type="pct"/>
            <w:vAlign w:val="bottom"/>
          </w:tcPr>
          <w:p w14:paraId="50EB2B8B" w14:textId="15B33EAF" w:rsidR="001C66BD" w:rsidRPr="00662938" w:rsidRDefault="001C66BD" w:rsidP="00CB0DD7">
            <w:pPr>
              <w:spacing w:before="80" w:after="80" w:line="240" w:lineRule="auto"/>
              <w:ind w:right="8"/>
              <w:jc w:val="center"/>
              <w:rPr>
                <w:b w:val="0"/>
                <w:bCs w:val="0"/>
                <w:szCs w:val="20"/>
              </w:rPr>
            </w:pPr>
            <w:r w:rsidRPr="000D73C6">
              <w:rPr>
                <w:szCs w:val="20"/>
              </w:rPr>
              <w:t>24%</w:t>
            </w:r>
          </w:p>
        </w:tc>
      </w:tr>
      <w:tr w:rsidR="001C66BD" w:rsidRPr="008D5FF4" w14:paraId="714AFD21" w14:textId="77777777" w:rsidTr="00662938">
        <w:tc>
          <w:tcPr>
            <w:tcW w:w="1432" w:type="pct"/>
          </w:tcPr>
          <w:p w14:paraId="77FF847F" w14:textId="77777777" w:rsidR="001C66BD" w:rsidRPr="008D5FF4" w:rsidRDefault="001C66BD" w:rsidP="00CB0DD7">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227DEF6D" w14:textId="06E74637" w:rsidR="001C66BD" w:rsidRPr="00662938" w:rsidRDefault="001C66BD" w:rsidP="00CB0DD7">
            <w:pPr>
              <w:spacing w:before="80" w:after="80" w:line="240" w:lineRule="auto"/>
              <w:ind w:right="182"/>
              <w:jc w:val="center"/>
              <w:rPr>
                <w:b w:val="0"/>
                <w:bCs w:val="0"/>
                <w:szCs w:val="20"/>
              </w:rPr>
            </w:pPr>
            <w:r w:rsidRPr="00662938">
              <w:rPr>
                <w:color w:val="000000"/>
                <w:szCs w:val="20"/>
              </w:rPr>
              <w:t>9%</w:t>
            </w:r>
          </w:p>
        </w:tc>
        <w:tc>
          <w:tcPr>
            <w:tcW w:w="1270" w:type="pct"/>
            <w:vAlign w:val="bottom"/>
          </w:tcPr>
          <w:p w14:paraId="5456DB06" w14:textId="714E027A" w:rsidR="001C66BD" w:rsidRPr="00662938" w:rsidRDefault="001C66BD" w:rsidP="00CB0DD7">
            <w:pPr>
              <w:spacing w:before="80" w:after="80" w:line="240" w:lineRule="auto"/>
              <w:ind w:right="182"/>
              <w:jc w:val="center"/>
              <w:rPr>
                <w:b w:val="0"/>
                <w:bCs w:val="0"/>
                <w:szCs w:val="20"/>
              </w:rPr>
            </w:pPr>
            <w:r w:rsidRPr="00662938">
              <w:rPr>
                <w:color w:val="000000"/>
                <w:szCs w:val="20"/>
              </w:rPr>
              <w:t>9%</w:t>
            </w:r>
          </w:p>
        </w:tc>
        <w:tc>
          <w:tcPr>
            <w:tcW w:w="1025" w:type="pct"/>
            <w:vAlign w:val="bottom"/>
          </w:tcPr>
          <w:p w14:paraId="231D5863" w14:textId="77777777" w:rsidR="001C66BD" w:rsidRPr="00662938" w:rsidRDefault="001C66BD" w:rsidP="00CB0DD7">
            <w:pPr>
              <w:spacing w:before="80" w:after="80" w:line="240" w:lineRule="auto"/>
              <w:ind w:right="8"/>
              <w:jc w:val="center"/>
              <w:rPr>
                <w:b w:val="0"/>
                <w:bCs w:val="0"/>
                <w:szCs w:val="20"/>
              </w:rPr>
            </w:pPr>
            <w:r w:rsidRPr="000D73C6">
              <w:rPr>
                <w:szCs w:val="20"/>
              </w:rPr>
              <w:t>NA</w:t>
            </w:r>
          </w:p>
        </w:tc>
      </w:tr>
      <w:tr w:rsidR="001C66BD" w:rsidRPr="008D5FF4" w14:paraId="03F69011" w14:textId="77777777" w:rsidTr="00662938">
        <w:tc>
          <w:tcPr>
            <w:tcW w:w="1432" w:type="pct"/>
          </w:tcPr>
          <w:p w14:paraId="64DDD80B" w14:textId="77777777" w:rsidR="001C66BD" w:rsidRPr="008D5FF4" w:rsidRDefault="001C66BD" w:rsidP="00CB0DD7">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402DF368" w14:textId="1EAF0611" w:rsidR="001C66BD" w:rsidRPr="00662938" w:rsidRDefault="001C66BD" w:rsidP="00CB0DD7">
            <w:pPr>
              <w:spacing w:before="80" w:after="80" w:line="240" w:lineRule="auto"/>
              <w:ind w:right="182"/>
              <w:jc w:val="center"/>
              <w:rPr>
                <w:b w:val="0"/>
                <w:bCs w:val="0"/>
                <w:szCs w:val="20"/>
              </w:rPr>
            </w:pPr>
            <w:r w:rsidRPr="00662938">
              <w:rPr>
                <w:color w:val="000000"/>
                <w:szCs w:val="20"/>
              </w:rPr>
              <w:t>7%</w:t>
            </w:r>
          </w:p>
        </w:tc>
        <w:tc>
          <w:tcPr>
            <w:tcW w:w="1270" w:type="pct"/>
            <w:vAlign w:val="bottom"/>
          </w:tcPr>
          <w:p w14:paraId="3DDFBAD1" w14:textId="7E58F504" w:rsidR="001C66BD" w:rsidRPr="00662938" w:rsidRDefault="001C66BD" w:rsidP="00CB0DD7">
            <w:pPr>
              <w:spacing w:before="80" w:after="80" w:line="240" w:lineRule="auto"/>
              <w:ind w:right="182"/>
              <w:jc w:val="center"/>
              <w:rPr>
                <w:b w:val="0"/>
                <w:bCs w:val="0"/>
                <w:szCs w:val="20"/>
              </w:rPr>
            </w:pPr>
            <w:r w:rsidRPr="00662938">
              <w:rPr>
                <w:color w:val="000000"/>
                <w:szCs w:val="20"/>
              </w:rPr>
              <w:t>29%</w:t>
            </w:r>
          </w:p>
        </w:tc>
        <w:tc>
          <w:tcPr>
            <w:tcW w:w="1025" w:type="pct"/>
            <w:vAlign w:val="bottom"/>
          </w:tcPr>
          <w:p w14:paraId="4B0EBC31" w14:textId="77777777" w:rsidR="001C66BD" w:rsidRPr="00662938" w:rsidRDefault="001C66BD" w:rsidP="00CB0DD7">
            <w:pPr>
              <w:spacing w:before="80" w:after="80" w:line="240" w:lineRule="auto"/>
              <w:ind w:right="8"/>
              <w:jc w:val="center"/>
              <w:rPr>
                <w:b w:val="0"/>
                <w:bCs w:val="0"/>
                <w:szCs w:val="20"/>
              </w:rPr>
            </w:pPr>
            <w:r w:rsidRPr="000D73C6">
              <w:rPr>
                <w:szCs w:val="20"/>
              </w:rPr>
              <w:t>NA</w:t>
            </w:r>
          </w:p>
        </w:tc>
      </w:tr>
      <w:tr w:rsidR="001C66BD" w:rsidRPr="008D5FF4" w14:paraId="70F0A103" w14:textId="77777777" w:rsidTr="00662938">
        <w:tc>
          <w:tcPr>
            <w:tcW w:w="1432" w:type="pct"/>
          </w:tcPr>
          <w:p w14:paraId="25017C2C" w14:textId="77777777" w:rsidR="001C66BD" w:rsidRPr="008D5FF4" w:rsidRDefault="001C66BD" w:rsidP="00CB0DD7">
            <w:pPr>
              <w:spacing w:before="80" w:after="80" w:line="240" w:lineRule="auto"/>
              <w:ind w:right="182"/>
              <w:rPr>
                <w:rFonts w:eastAsia="Arial"/>
                <w:b w:val="0"/>
                <w:bCs w:val="0"/>
                <w:color w:val="434242"/>
                <w:szCs w:val="20"/>
                <w:lang w:val="en-GB"/>
              </w:rPr>
            </w:pPr>
            <w:r w:rsidRPr="008D5FF4">
              <w:rPr>
                <w:b w:val="0"/>
                <w:bCs w:val="0"/>
                <w:szCs w:val="20"/>
              </w:rPr>
              <w:t>MECON</w:t>
            </w:r>
          </w:p>
        </w:tc>
        <w:tc>
          <w:tcPr>
            <w:tcW w:w="1273" w:type="pct"/>
            <w:vAlign w:val="bottom"/>
          </w:tcPr>
          <w:p w14:paraId="2C6C0B1A" w14:textId="0DB25CDB" w:rsidR="001C66BD" w:rsidRPr="00662938" w:rsidRDefault="001C66BD" w:rsidP="00CB0DD7">
            <w:pPr>
              <w:spacing w:before="80" w:after="80" w:line="240" w:lineRule="auto"/>
              <w:ind w:right="182"/>
              <w:jc w:val="center"/>
              <w:rPr>
                <w:b w:val="0"/>
                <w:bCs w:val="0"/>
                <w:szCs w:val="20"/>
              </w:rPr>
            </w:pPr>
            <w:r w:rsidRPr="00662938">
              <w:rPr>
                <w:color w:val="000000"/>
                <w:szCs w:val="20"/>
              </w:rPr>
              <w:t>-1%</w:t>
            </w:r>
          </w:p>
        </w:tc>
        <w:tc>
          <w:tcPr>
            <w:tcW w:w="1270" w:type="pct"/>
            <w:vAlign w:val="bottom"/>
          </w:tcPr>
          <w:p w14:paraId="47F2A2EF" w14:textId="4FE6F0F5" w:rsidR="001C66BD" w:rsidRPr="00662938" w:rsidRDefault="001C66BD" w:rsidP="00CB0DD7">
            <w:pPr>
              <w:spacing w:before="80" w:after="80" w:line="240" w:lineRule="auto"/>
              <w:ind w:right="182"/>
              <w:jc w:val="center"/>
              <w:rPr>
                <w:b w:val="0"/>
                <w:bCs w:val="0"/>
                <w:szCs w:val="20"/>
              </w:rPr>
            </w:pPr>
            <w:r w:rsidRPr="00662938">
              <w:rPr>
                <w:color w:val="000000"/>
                <w:szCs w:val="20"/>
              </w:rPr>
              <w:t>2%</w:t>
            </w:r>
          </w:p>
        </w:tc>
        <w:tc>
          <w:tcPr>
            <w:tcW w:w="1025" w:type="pct"/>
            <w:vAlign w:val="bottom"/>
          </w:tcPr>
          <w:p w14:paraId="42619765" w14:textId="77777777" w:rsidR="001C66BD" w:rsidRPr="00662938" w:rsidRDefault="001C66BD" w:rsidP="00CB0DD7">
            <w:pPr>
              <w:spacing w:before="80" w:after="80" w:line="240" w:lineRule="auto"/>
              <w:ind w:right="8"/>
              <w:jc w:val="center"/>
              <w:rPr>
                <w:b w:val="0"/>
                <w:bCs w:val="0"/>
                <w:szCs w:val="20"/>
              </w:rPr>
            </w:pPr>
            <w:r w:rsidRPr="000D73C6">
              <w:rPr>
                <w:szCs w:val="20"/>
              </w:rPr>
              <w:t>NA</w:t>
            </w:r>
          </w:p>
        </w:tc>
      </w:tr>
    </w:tbl>
    <w:p w14:paraId="5A5DF59C" w14:textId="77777777" w:rsidR="00505A0C" w:rsidRDefault="00505A0C" w:rsidP="00505A0C">
      <w:pPr>
        <w:pStyle w:val="Source"/>
        <w:ind w:right="182"/>
      </w:pPr>
      <w:r w:rsidRPr="00FF440B">
        <w:t xml:space="preserve">Source: </w:t>
      </w:r>
      <w:r w:rsidRPr="00E37ECA">
        <w:t>Company Annual Reports, all years are fiscal,</w:t>
      </w:r>
      <w:r>
        <w:t xml:space="preserve"> </w:t>
      </w:r>
      <w:r w:rsidRPr="00BD2973">
        <w:t>NA- Not Available</w:t>
      </w:r>
    </w:p>
    <w:p w14:paraId="5675AC65" w14:textId="41CF29D6" w:rsidR="00C7511A" w:rsidRDefault="00C7511A" w:rsidP="00C7511A">
      <w:pPr>
        <w:pStyle w:val="Heading30"/>
        <w:ind w:right="182"/>
      </w:pPr>
      <w:r>
        <w:t>EBITDA</w:t>
      </w:r>
    </w:p>
    <w:p w14:paraId="7B6378D4" w14:textId="18A790CF" w:rsidR="00C7511A" w:rsidRPr="001765DE" w:rsidRDefault="00A70C51" w:rsidP="00C7511A">
      <w:pPr>
        <w:ind w:right="182"/>
      </w:pPr>
      <w:r w:rsidRPr="001765DE">
        <w:t>In the fiscal year 202</w:t>
      </w:r>
      <w:r w:rsidR="009E5B43">
        <w:t>4</w:t>
      </w:r>
      <w:r w:rsidRPr="001765DE">
        <w:t xml:space="preserve">, </w:t>
      </w:r>
      <w:r>
        <w:t>CMPDIL</w:t>
      </w:r>
      <w:r w:rsidRPr="001765DE">
        <w:t xml:space="preserve"> emerged as the leader in terms of EBITDA</w:t>
      </w:r>
      <w:r w:rsidR="00151F5D">
        <w:rPr>
          <w:rStyle w:val="FootnoteReference"/>
        </w:rPr>
        <w:footnoteReference w:id="63"/>
      </w:r>
      <w:r w:rsidRPr="001765DE">
        <w:t xml:space="preserve">, surpassing its competitors EIL and RITES, which had been ahead in the previous five years. </w:t>
      </w:r>
      <w:r>
        <w:t>CMPDIL</w:t>
      </w:r>
      <w:r w:rsidRPr="001765DE">
        <w:t xml:space="preserve">'s EBITDA </w:t>
      </w:r>
      <w:r w:rsidR="00505A0C" w:rsidRPr="001765DE">
        <w:t>stood</w:t>
      </w:r>
      <w:r w:rsidRPr="001765DE">
        <w:t xml:space="preserve"> </w:t>
      </w:r>
      <w:r>
        <w:t>Rs</w:t>
      </w:r>
      <w:r w:rsidR="00863C45">
        <w:t xml:space="preserve"> 9</w:t>
      </w:r>
      <w:r w:rsidR="000B1252">
        <w:t>,</w:t>
      </w:r>
      <w:r w:rsidR="00863C45">
        <w:t>157</w:t>
      </w:r>
      <w:r>
        <w:t xml:space="preserve"> million</w:t>
      </w:r>
      <w:r w:rsidR="00C23FA1">
        <w:t xml:space="preserve"> (CAGR of 52.1% from fiscal 2023-2025)</w:t>
      </w:r>
      <w:r w:rsidRPr="001765DE">
        <w:t xml:space="preserve">, followed by RITES at </w:t>
      </w:r>
      <w:r>
        <w:t>Rs</w:t>
      </w:r>
      <w:r w:rsidRPr="001765DE">
        <w:t xml:space="preserve"> </w:t>
      </w:r>
      <w:r>
        <w:t>6</w:t>
      </w:r>
      <w:r w:rsidR="000B1252">
        <w:t>,</w:t>
      </w:r>
      <w:r w:rsidR="00863C45">
        <w:t>329</w:t>
      </w:r>
      <w:r>
        <w:t xml:space="preserve"> million</w:t>
      </w:r>
      <w:r w:rsidR="009E5B43">
        <w:t xml:space="preserve"> in fiscal 2025</w:t>
      </w:r>
      <w:r w:rsidRPr="001765DE">
        <w:t>.</w:t>
      </w:r>
    </w:p>
    <w:p w14:paraId="321F4A90" w14:textId="197F7764" w:rsidR="00C7511A" w:rsidRDefault="00C7511A" w:rsidP="00C7511A">
      <w:pPr>
        <w:pStyle w:val="Caption"/>
        <w:ind w:right="182"/>
      </w:pPr>
      <w:bookmarkStart w:id="6613" w:name="_Toc198731468"/>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7</w:t>
      </w:r>
      <w:r w:rsidRPr="000174A7">
        <w:fldChar w:fldCharType="end"/>
      </w:r>
      <w:r>
        <w:t xml:space="preserve"> EBITDA </w:t>
      </w:r>
      <w:r w:rsidR="0047159E">
        <w:t>(Rs million) and CAGR 202</w:t>
      </w:r>
      <w:r w:rsidR="00887494">
        <w:t>3</w:t>
      </w:r>
      <w:r w:rsidR="0047159E">
        <w:t>-25</w:t>
      </w:r>
      <w:r w:rsidR="00217D74">
        <w:t xml:space="preserve"> (%)</w:t>
      </w:r>
      <w:bookmarkEnd w:id="6613"/>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2303"/>
        <w:gridCol w:w="2060"/>
        <w:gridCol w:w="2058"/>
        <w:gridCol w:w="2060"/>
        <w:gridCol w:w="2049"/>
      </w:tblGrid>
      <w:tr w:rsidR="00887494" w:rsidRPr="008D5FF4" w14:paraId="550EE322" w14:textId="77777777" w:rsidTr="00662938">
        <w:trPr>
          <w:tblHeader/>
        </w:trPr>
        <w:tc>
          <w:tcPr>
            <w:tcW w:w="1094" w:type="pct"/>
            <w:shd w:val="clear" w:color="auto" w:fill="156082" w:themeFill="accent1"/>
            <w:vAlign w:val="center"/>
          </w:tcPr>
          <w:p w14:paraId="51E23146" w14:textId="77777777" w:rsidR="00887494" w:rsidRPr="008D5FF4" w:rsidRDefault="00887494" w:rsidP="00662938">
            <w:pPr>
              <w:spacing w:before="80" w:after="80" w:line="240" w:lineRule="auto"/>
              <w:ind w:left="-15" w:right="-105"/>
              <w:rPr>
                <w:color w:val="FFFFFF"/>
                <w:szCs w:val="20"/>
                <w:lang w:val="en-GB"/>
              </w:rPr>
            </w:pPr>
            <w:r w:rsidRPr="008D5FF4">
              <w:rPr>
                <w:color w:val="FFFFFF"/>
                <w:szCs w:val="20"/>
                <w:lang w:val="en-GB"/>
              </w:rPr>
              <w:t>Company</w:t>
            </w:r>
          </w:p>
        </w:tc>
        <w:tc>
          <w:tcPr>
            <w:tcW w:w="978" w:type="pct"/>
            <w:shd w:val="clear" w:color="auto" w:fill="156082" w:themeFill="accent1"/>
            <w:vAlign w:val="center"/>
          </w:tcPr>
          <w:p w14:paraId="685BEA4F" w14:textId="77777777" w:rsidR="00887494" w:rsidRPr="008D5FF4" w:rsidRDefault="00887494" w:rsidP="00662938">
            <w:pPr>
              <w:spacing w:before="80" w:after="80" w:line="240" w:lineRule="auto"/>
              <w:ind w:left="-15" w:right="-105"/>
              <w:jc w:val="center"/>
              <w:rPr>
                <w:color w:val="FFFFFF"/>
                <w:szCs w:val="20"/>
                <w:lang w:val="en-GB"/>
              </w:rPr>
            </w:pPr>
            <w:r w:rsidRPr="008D5FF4">
              <w:rPr>
                <w:color w:val="FFFFFF"/>
                <w:szCs w:val="20"/>
                <w:lang w:val="en-GB"/>
              </w:rPr>
              <w:t>2023</w:t>
            </w:r>
          </w:p>
        </w:tc>
        <w:tc>
          <w:tcPr>
            <w:tcW w:w="977" w:type="pct"/>
            <w:shd w:val="clear" w:color="auto" w:fill="156082" w:themeFill="accent1"/>
            <w:vAlign w:val="center"/>
          </w:tcPr>
          <w:p w14:paraId="2938D41C" w14:textId="77777777" w:rsidR="00887494" w:rsidRPr="008D5FF4" w:rsidRDefault="00887494" w:rsidP="00662938">
            <w:pPr>
              <w:spacing w:before="80" w:after="80" w:line="240" w:lineRule="auto"/>
              <w:ind w:left="-15" w:right="-105"/>
              <w:jc w:val="center"/>
              <w:rPr>
                <w:color w:val="FFFFFF"/>
                <w:szCs w:val="20"/>
                <w:lang w:val="en-GB"/>
              </w:rPr>
            </w:pPr>
            <w:r w:rsidRPr="008D5FF4">
              <w:rPr>
                <w:color w:val="FFFFFF"/>
                <w:szCs w:val="20"/>
                <w:lang w:val="en-GB"/>
              </w:rPr>
              <w:t>2024</w:t>
            </w:r>
          </w:p>
        </w:tc>
        <w:tc>
          <w:tcPr>
            <w:tcW w:w="978" w:type="pct"/>
            <w:shd w:val="clear" w:color="auto" w:fill="156082" w:themeFill="accent1"/>
          </w:tcPr>
          <w:p w14:paraId="042DEFDF" w14:textId="77777777" w:rsidR="00887494" w:rsidRPr="008D5FF4" w:rsidRDefault="00887494" w:rsidP="00662938">
            <w:pPr>
              <w:spacing w:before="80" w:after="80" w:line="240" w:lineRule="auto"/>
              <w:ind w:left="-15" w:right="-105"/>
              <w:jc w:val="center"/>
              <w:rPr>
                <w:color w:val="FFFFFF"/>
                <w:szCs w:val="20"/>
                <w:lang w:val="en-GB"/>
              </w:rPr>
            </w:pPr>
            <w:r>
              <w:rPr>
                <w:color w:val="FFFFFF"/>
                <w:szCs w:val="20"/>
                <w:lang w:val="en-GB"/>
              </w:rPr>
              <w:t>2025</w:t>
            </w:r>
          </w:p>
        </w:tc>
        <w:tc>
          <w:tcPr>
            <w:tcW w:w="974" w:type="pct"/>
            <w:shd w:val="clear" w:color="auto" w:fill="156082" w:themeFill="accent1"/>
          </w:tcPr>
          <w:p w14:paraId="7157EC3D" w14:textId="6F87BA23" w:rsidR="00887494" w:rsidRPr="008D5FF4" w:rsidRDefault="00887494" w:rsidP="00662938">
            <w:pPr>
              <w:spacing w:before="80" w:after="80" w:line="240" w:lineRule="auto"/>
              <w:ind w:left="-15" w:right="-105"/>
              <w:jc w:val="center"/>
              <w:rPr>
                <w:color w:val="FFFFFF"/>
                <w:szCs w:val="20"/>
                <w:lang w:val="en-GB"/>
              </w:rPr>
            </w:pPr>
            <w:r w:rsidRPr="008D5FF4">
              <w:rPr>
                <w:color w:val="FFFFFF"/>
                <w:szCs w:val="20"/>
                <w:lang w:val="en-GB"/>
              </w:rPr>
              <w:t>CAGR</w:t>
            </w:r>
            <w:r>
              <w:rPr>
                <w:rStyle w:val="FootnoteReference"/>
                <w:color w:val="FFFFFF"/>
                <w:szCs w:val="20"/>
                <w:lang w:val="en-GB"/>
              </w:rPr>
              <w:footnoteReference w:id="64"/>
            </w:r>
          </w:p>
        </w:tc>
      </w:tr>
      <w:tr w:rsidR="00887494" w:rsidRPr="008D5FF4" w14:paraId="5C68F7E1" w14:textId="77777777" w:rsidTr="00662938">
        <w:tc>
          <w:tcPr>
            <w:tcW w:w="1094" w:type="pct"/>
            <w:shd w:val="clear" w:color="auto" w:fill="C9D8E1"/>
          </w:tcPr>
          <w:p w14:paraId="372C7CAC" w14:textId="77777777" w:rsidR="00887494" w:rsidRPr="008D5FF4" w:rsidRDefault="00887494" w:rsidP="00662938">
            <w:pPr>
              <w:spacing w:before="80" w:after="80" w:line="240" w:lineRule="auto"/>
              <w:ind w:left="-15" w:right="-105"/>
              <w:rPr>
                <w:rFonts w:eastAsia="Arial"/>
                <w:color w:val="434242"/>
                <w:szCs w:val="20"/>
                <w:lang w:val="en-GB"/>
              </w:rPr>
            </w:pPr>
            <w:r>
              <w:rPr>
                <w:rFonts w:eastAsia="Arial"/>
                <w:color w:val="434242"/>
                <w:szCs w:val="20"/>
                <w:lang w:val="en-GB"/>
              </w:rPr>
              <w:t>CMPDIL</w:t>
            </w:r>
          </w:p>
        </w:tc>
        <w:tc>
          <w:tcPr>
            <w:tcW w:w="978" w:type="pct"/>
            <w:shd w:val="clear" w:color="auto" w:fill="C9D8E1"/>
            <w:vAlign w:val="bottom"/>
          </w:tcPr>
          <w:p w14:paraId="1BE3A2A5" w14:textId="314FABEA" w:rsidR="00887494" w:rsidRPr="000D73C6" w:rsidRDefault="00887494" w:rsidP="00662938">
            <w:pPr>
              <w:spacing w:before="80" w:after="80" w:line="240" w:lineRule="auto"/>
              <w:ind w:left="-15" w:right="-105"/>
              <w:jc w:val="center"/>
              <w:rPr>
                <w:b w:val="0"/>
                <w:bCs w:val="0"/>
                <w:szCs w:val="20"/>
              </w:rPr>
            </w:pPr>
            <w:r w:rsidRPr="000D73C6">
              <w:rPr>
                <w:szCs w:val="20"/>
              </w:rPr>
              <w:t>3</w:t>
            </w:r>
            <w:r>
              <w:rPr>
                <w:szCs w:val="20"/>
              </w:rPr>
              <w:t>,</w:t>
            </w:r>
            <w:r w:rsidRPr="000D73C6">
              <w:rPr>
                <w:szCs w:val="20"/>
              </w:rPr>
              <w:t>957</w:t>
            </w:r>
          </w:p>
        </w:tc>
        <w:tc>
          <w:tcPr>
            <w:tcW w:w="977" w:type="pct"/>
            <w:shd w:val="clear" w:color="auto" w:fill="C9D8E1"/>
            <w:vAlign w:val="bottom"/>
          </w:tcPr>
          <w:p w14:paraId="06E3471F" w14:textId="5C572648" w:rsidR="00887494" w:rsidRPr="000D73C6" w:rsidRDefault="00887494" w:rsidP="00662938">
            <w:pPr>
              <w:spacing w:before="80" w:after="80" w:line="240" w:lineRule="auto"/>
              <w:ind w:left="-15" w:right="-105"/>
              <w:jc w:val="center"/>
              <w:rPr>
                <w:b w:val="0"/>
                <w:bCs w:val="0"/>
                <w:szCs w:val="20"/>
              </w:rPr>
            </w:pPr>
            <w:r w:rsidRPr="000D73C6">
              <w:rPr>
                <w:szCs w:val="20"/>
              </w:rPr>
              <w:t>7</w:t>
            </w:r>
            <w:r>
              <w:rPr>
                <w:szCs w:val="20"/>
              </w:rPr>
              <w:t>,</w:t>
            </w:r>
            <w:r w:rsidRPr="000D73C6">
              <w:rPr>
                <w:szCs w:val="20"/>
              </w:rPr>
              <w:t>644</w:t>
            </w:r>
          </w:p>
        </w:tc>
        <w:tc>
          <w:tcPr>
            <w:tcW w:w="978" w:type="pct"/>
            <w:shd w:val="clear" w:color="auto" w:fill="C9D8E1"/>
            <w:vAlign w:val="bottom"/>
          </w:tcPr>
          <w:p w14:paraId="582C260F" w14:textId="499C9054" w:rsidR="00887494" w:rsidRPr="000D73C6" w:rsidRDefault="00887494" w:rsidP="00662938">
            <w:pPr>
              <w:spacing w:before="80" w:after="80" w:line="240" w:lineRule="auto"/>
              <w:ind w:left="-15" w:right="-105"/>
              <w:jc w:val="center"/>
              <w:rPr>
                <w:b w:val="0"/>
                <w:bCs w:val="0"/>
                <w:szCs w:val="20"/>
              </w:rPr>
            </w:pPr>
            <w:r w:rsidRPr="000D73C6">
              <w:rPr>
                <w:szCs w:val="20"/>
              </w:rPr>
              <w:t>9</w:t>
            </w:r>
            <w:r>
              <w:rPr>
                <w:szCs w:val="20"/>
              </w:rPr>
              <w:t>,</w:t>
            </w:r>
            <w:r w:rsidRPr="000D73C6">
              <w:rPr>
                <w:szCs w:val="20"/>
              </w:rPr>
              <w:t>157</w:t>
            </w:r>
          </w:p>
        </w:tc>
        <w:tc>
          <w:tcPr>
            <w:tcW w:w="974" w:type="pct"/>
            <w:shd w:val="clear" w:color="auto" w:fill="C9D8E1"/>
            <w:vAlign w:val="bottom"/>
          </w:tcPr>
          <w:p w14:paraId="30BCF753" w14:textId="57D34141" w:rsidR="00887494" w:rsidRPr="000D73C6" w:rsidRDefault="008B6A20" w:rsidP="00662938">
            <w:pPr>
              <w:spacing w:before="80" w:after="80" w:line="240" w:lineRule="auto"/>
              <w:ind w:left="-15" w:right="-105"/>
              <w:jc w:val="center"/>
              <w:rPr>
                <w:b w:val="0"/>
                <w:bCs w:val="0"/>
                <w:szCs w:val="20"/>
              </w:rPr>
            </w:pPr>
            <w:r>
              <w:rPr>
                <w:szCs w:val="20"/>
              </w:rPr>
              <w:t>52.1</w:t>
            </w:r>
            <w:r w:rsidR="00887494" w:rsidRPr="000D73C6">
              <w:rPr>
                <w:szCs w:val="20"/>
              </w:rPr>
              <w:t>%</w:t>
            </w:r>
          </w:p>
        </w:tc>
      </w:tr>
      <w:tr w:rsidR="00887494" w:rsidRPr="008D5FF4" w14:paraId="7A748272" w14:textId="77777777" w:rsidTr="00662938">
        <w:tc>
          <w:tcPr>
            <w:tcW w:w="1094" w:type="pct"/>
          </w:tcPr>
          <w:p w14:paraId="219528E7" w14:textId="77777777" w:rsidR="00887494" w:rsidRPr="008D5FF4" w:rsidRDefault="00887494" w:rsidP="00662938">
            <w:pPr>
              <w:spacing w:before="80" w:after="80" w:line="240" w:lineRule="auto"/>
              <w:ind w:left="-15" w:right="-105"/>
              <w:rPr>
                <w:rFonts w:eastAsia="Arial"/>
                <w:b w:val="0"/>
                <w:bCs w:val="0"/>
                <w:color w:val="434242"/>
                <w:szCs w:val="20"/>
                <w:lang w:val="en-GB"/>
              </w:rPr>
            </w:pPr>
            <w:r w:rsidRPr="008D5FF4">
              <w:rPr>
                <w:b w:val="0"/>
                <w:bCs w:val="0"/>
                <w:szCs w:val="20"/>
              </w:rPr>
              <w:t>RITES</w:t>
            </w:r>
          </w:p>
        </w:tc>
        <w:tc>
          <w:tcPr>
            <w:tcW w:w="978" w:type="pct"/>
            <w:vAlign w:val="bottom"/>
          </w:tcPr>
          <w:p w14:paraId="1F89FA64" w14:textId="48BBA6F8" w:rsidR="00887494" w:rsidRPr="00662938" w:rsidRDefault="00887494" w:rsidP="00662938">
            <w:pPr>
              <w:spacing w:before="80" w:after="80" w:line="240" w:lineRule="auto"/>
              <w:ind w:left="-15" w:right="-105"/>
              <w:jc w:val="center"/>
              <w:rPr>
                <w:b w:val="0"/>
                <w:bCs w:val="0"/>
                <w:szCs w:val="20"/>
              </w:rPr>
            </w:pPr>
            <w:r w:rsidRPr="000D73C6">
              <w:rPr>
                <w:color w:val="000000"/>
                <w:szCs w:val="20"/>
              </w:rPr>
              <w:t>8</w:t>
            </w:r>
            <w:r>
              <w:rPr>
                <w:color w:val="000000"/>
                <w:szCs w:val="20"/>
              </w:rPr>
              <w:t>,</w:t>
            </w:r>
            <w:r w:rsidRPr="000D73C6">
              <w:rPr>
                <w:color w:val="000000"/>
                <w:szCs w:val="20"/>
              </w:rPr>
              <w:t>476</w:t>
            </w:r>
          </w:p>
        </w:tc>
        <w:tc>
          <w:tcPr>
            <w:tcW w:w="977" w:type="pct"/>
            <w:vAlign w:val="bottom"/>
          </w:tcPr>
          <w:p w14:paraId="0B5792BE" w14:textId="3D457A75" w:rsidR="00887494" w:rsidRPr="00662938" w:rsidRDefault="00887494" w:rsidP="00662938">
            <w:pPr>
              <w:spacing w:before="80" w:after="80" w:line="240" w:lineRule="auto"/>
              <w:ind w:left="-15" w:right="-105"/>
              <w:jc w:val="center"/>
              <w:rPr>
                <w:b w:val="0"/>
                <w:bCs w:val="0"/>
                <w:szCs w:val="20"/>
              </w:rPr>
            </w:pPr>
            <w:r w:rsidRPr="000D73C6">
              <w:rPr>
                <w:color w:val="000000"/>
                <w:szCs w:val="20"/>
              </w:rPr>
              <w:t>7</w:t>
            </w:r>
            <w:r>
              <w:rPr>
                <w:color w:val="000000"/>
                <w:szCs w:val="20"/>
              </w:rPr>
              <w:t>,</w:t>
            </w:r>
            <w:r w:rsidRPr="000D73C6">
              <w:rPr>
                <w:color w:val="000000"/>
                <w:szCs w:val="20"/>
              </w:rPr>
              <w:t>357</w:t>
            </w:r>
          </w:p>
        </w:tc>
        <w:tc>
          <w:tcPr>
            <w:tcW w:w="978" w:type="pct"/>
            <w:vAlign w:val="bottom"/>
          </w:tcPr>
          <w:p w14:paraId="39A53048" w14:textId="76EA7BB5" w:rsidR="00887494" w:rsidRPr="000D73C6" w:rsidRDefault="00887494" w:rsidP="00662938">
            <w:pPr>
              <w:spacing w:before="80" w:after="80" w:line="240" w:lineRule="auto"/>
              <w:ind w:left="-15" w:right="-105"/>
              <w:jc w:val="center"/>
              <w:rPr>
                <w:b w:val="0"/>
                <w:bCs w:val="0"/>
                <w:szCs w:val="20"/>
              </w:rPr>
            </w:pPr>
            <w:r w:rsidRPr="000D73C6">
              <w:rPr>
                <w:szCs w:val="20"/>
              </w:rPr>
              <w:t>6</w:t>
            </w:r>
            <w:r>
              <w:rPr>
                <w:szCs w:val="20"/>
              </w:rPr>
              <w:t>,</w:t>
            </w:r>
            <w:r w:rsidRPr="000D73C6">
              <w:rPr>
                <w:szCs w:val="20"/>
              </w:rPr>
              <w:t>329</w:t>
            </w:r>
          </w:p>
        </w:tc>
        <w:tc>
          <w:tcPr>
            <w:tcW w:w="974" w:type="pct"/>
            <w:vAlign w:val="bottom"/>
          </w:tcPr>
          <w:p w14:paraId="113A08E9" w14:textId="4582B7AF" w:rsidR="00887494" w:rsidRPr="000D73C6" w:rsidRDefault="00887494" w:rsidP="00662938">
            <w:pPr>
              <w:spacing w:before="80" w:after="80" w:line="240" w:lineRule="auto"/>
              <w:ind w:left="-15" w:right="-105"/>
              <w:jc w:val="center"/>
              <w:rPr>
                <w:b w:val="0"/>
                <w:bCs w:val="0"/>
                <w:szCs w:val="20"/>
              </w:rPr>
            </w:pPr>
            <w:r w:rsidRPr="000D73C6">
              <w:rPr>
                <w:szCs w:val="20"/>
              </w:rPr>
              <w:t>-</w:t>
            </w:r>
            <w:r w:rsidR="008B6A20">
              <w:rPr>
                <w:szCs w:val="20"/>
              </w:rPr>
              <w:t>13.6</w:t>
            </w:r>
            <w:r w:rsidRPr="000D73C6">
              <w:rPr>
                <w:szCs w:val="20"/>
              </w:rPr>
              <w:t>%</w:t>
            </w:r>
          </w:p>
        </w:tc>
      </w:tr>
      <w:tr w:rsidR="00887494" w:rsidRPr="008D5FF4" w14:paraId="0512A14A" w14:textId="77777777" w:rsidTr="00662938">
        <w:tc>
          <w:tcPr>
            <w:tcW w:w="1094" w:type="pct"/>
          </w:tcPr>
          <w:p w14:paraId="41FA4C94" w14:textId="77777777" w:rsidR="00887494" w:rsidRPr="008D5FF4" w:rsidRDefault="00887494" w:rsidP="00662938">
            <w:pPr>
              <w:spacing w:before="80" w:after="80" w:line="240" w:lineRule="auto"/>
              <w:ind w:left="-15" w:right="-105"/>
              <w:rPr>
                <w:rFonts w:eastAsia="Arial"/>
                <w:b w:val="0"/>
                <w:bCs w:val="0"/>
                <w:color w:val="434242"/>
                <w:szCs w:val="20"/>
                <w:lang w:val="en-GB"/>
              </w:rPr>
            </w:pPr>
            <w:r w:rsidRPr="008D5FF4">
              <w:rPr>
                <w:b w:val="0"/>
                <w:bCs w:val="0"/>
                <w:szCs w:val="20"/>
              </w:rPr>
              <w:t>EIL</w:t>
            </w:r>
          </w:p>
        </w:tc>
        <w:tc>
          <w:tcPr>
            <w:tcW w:w="978" w:type="pct"/>
            <w:vAlign w:val="bottom"/>
          </w:tcPr>
          <w:p w14:paraId="6EFC5F86" w14:textId="5E7B30DB" w:rsidR="00887494" w:rsidRPr="000D73C6" w:rsidRDefault="00887494" w:rsidP="00662938">
            <w:pPr>
              <w:spacing w:before="80" w:after="80" w:line="240" w:lineRule="auto"/>
              <w:ind w:left="-15" w:right="-105"/>
              <w:jc w:val="center"/>
              <w:rPr>
                <w:b w:val="0"/>
                <w:bCs w:val="0"/>
                <w:szCs w:val="20"/>
              </w:rPr>
            </w:pPr>
            <w:r w:rsidRPr="00662938">
              <w:rPr>
                <w:color w:val="000000"/>
                <w:szCs w:val="20"/>
              </w:rPr>
              <w:t>4</w:t>
            </w:r>
            <w:r>
              <w:rPr>
                <w:color w:val="000000"/>
                <w:szCs w:val="20"/>
              </w:rPr>
              <w:t>,</w:t>
            </w:r>
            <w:r w:rsidRPr="00662938">
              <w:rPr>
                <w:color w:val="000000"/>
                <w:szCs w:val="20"/>
              </w:rPr>
              <w:t>727</w:t>
            </w:r>
          </w:p>
        </w:tc>
        <w:tc>
          <w:tcPr>
            <w:tcW w:w="977" w:type="pct"/>
            <w:vAlign w:val="bottom"/>
          </w:tcPr>
          <w:p w14:paraId="62E98A05" w14:textId="370E1E05" w:rsidR="00887494" w:rsidRPr="000D73C6" w:rsidRDefault="00887494" w:rsidP="00662938">
            <w:pPr>
              <w:spacing w:before="80" w:after="80" w:line="240" w:lineRule="auto"/>
              <w:ind w:left="-15" w:right="-105"/>
              <w:jc w:val="center"/>
              <w:rPr>
                <w:b w:val="0"/>
                <w:bCs w:val="0"/>
                <w:szCs w:val="20"/>
              </w:rPr>
            </w:pPr>
            <w:r w:rsidRPr="00662938">
              <w:rPr>
                <w:color w:val="000000"/>
                <w:szCs w:val="20"/>
              </w:rPr>
              <w:t>5</w:t>
            </w:r>
            <w:r>
              <w:rPr>
                <w:color w:val="000000"/>
                <w:szCs w:val="20"/>
              </w:rPr>
              <w:t>,</w:t>
            </w:r>
            <w:r w:rsidRPr="00662938">
              <w:rPr>
                <w:color w:val="000000"/>
                <w:szCs w:val="20"/>
              </w:rPr>
              <w:t>162</w:t>
            </w:r>
          </w:p>
        </w:tc>
        <w:tc>
          <w:tcPr>
            <w:tcW w:w="978" w:type="pct"/>
            <w:vAlign w:val="bottom"/>
          </w:tcPr>
          <w:p w14:paraId="3460C2D9" w14:textId="33A28534" w:rsidR="00887494" w:rsidRPr="000D73C6" w:rsidRDefault="00887494" w:rsidP="00662938">
            <w:pPr>
              <w:spacing w:before="80" w:after="80" w:line="240" w:lineRule="auto"/>
              <w:ind w:left="-15" w:right="-105"/>
              <w:jc w:val="center"/>
              <w:rPr>
                <w:b w:val="0"/>
                <w:bCs w:val="0"/>
                <w:szCs w:val="20"/>
              </w:rPr>
            </w:pPr>
            <w:r w:rsidRPr="000D73C6">
              <w:rPr>
                <w:szCs w:val="20"/>
              </w:rPr>
              <w:t>NA</w:t>
            </w:r>
          </w:p>
        </w:tc>
        <w:tc>
          <w:tcPr>
            <w:tcW w:w="974" w:type="pct"/>
            <w:vAlign w:val="bottom"/>
          </w:tcPr>
          <w:p w14:paraId="7F1FE149" w14:textId="579C28F6" w:rsidR="00887494" w:rsidRPr="000D73C6" w:rsidRDefault="008B6A20" w:rsidP="00662938">
            <w:pPr>
              <w:spacing w:before="80" w:after="80" w:line="240" w:lineRule="auto"/>
              <w:ind w:left="-15" w:right="-105"/>
              <w:jc w:val="center"/>
              <w:rPr>
                <w:b w:val="0"/>
                <w:bCs w:val="0"/>
                <w:szCs w:val="20"/>
              </w:rPr>
            </w:pPr>
            <w:r>
              <w:rPr>
                <w:szCs w:val="20"/>
              </w:rPr>
              <w:t>9.</w:t>
            </w:r>
            <w:r w:rsidR="00816CC7">
              <w:rPr>
                <w:szCs w:val="20"/>
              </w:rPr>
              <w:t>2</w:t>
            </w:r>
            <w:r w:rsidR="00887494" w:rsidRPr="000D73C6">
              <w:rPr>
                <w:szCs w:val="20"/>
              </w:rPr>
              <w:t>%</w:t>
            </w:r>
          </w:p>
        </w:tc>
      </w:tr>
      <w:tr w:rsidR="00887494" w:rsidRPr="008D5FF4" w14:paraId="0D389F18" w14:textId="77777777" w:rsidTr="00662938">
        <w:tc>
          <w:tcPr>
            <w:tcW w:w="1094" w:type="pct"/>
          </w:tcPr>
          <w:p w14:paraId="36C2396C" w14:textId="77777777" w:rsidR="00887494" w:rsidRPr="008D5FF4" w:rsidRDefault="00887494" w:rsidP="00662938">
            <w:pPr>
              <w:spacing w:before="80" w:after="80" w:line="240" w:lineRule="auto"/>
              <w:ind w:left="-15" w:right="-105"/>
              <w:rPr>
                <w:rFonts w:eastAsia="Arial"/>
                <w:b w:val="0"/>
                <w:bCs w:val="0"/>
                <w:color w:val="434242"/>
                <w:szCs w:val="20"/>
                <w:lang w:val="en-GB"/>
              </w:rPr>
            </w:pPr>
            <w:r w:rsidRPr="008D5FF4">
              <w:rPr>
                <w:b w:val="0"/>
                <w:bCs w:val="0"/>
                <w:szCs w:val="20"/>
              </w:rPr>
              <w:t>MECL</w:t>
            </w:r>
          </w:p>
        </w:tc>
        <w:tc>
          <w:tcPr>
            <w:tcW w:w="978" w:type="pct"/>
            <w:vAlign w:val="bottom"/>
          </w:tcPr>
          <w:p w14:paraId="684A1A2C" w14:textId="1CDC4008" w:rsidR="00887494" w:rsidRPr="000D73C6" w:rsidRDefault="00887494" w:rsidP="00662938">
            <w:pPr>
              <w:spacing w:before="80" w:after="80" w:line="240" w:lineRule="auto"/>
              <w:ind w:left="-15" w:right="-105"/>
              <w:jc w:val="center"/>
              <w:rPr>
                <w:b w:val="0"/>
                <w:bCs w:val="0"/>
                <w:szCs w:val="20"/>
              </w:rPr>
            </w:pPr>
            <w:r w:rsidRPr="000D73C6">
              <w:rPr>
                <w:szCs w:val="20"/>
              </w:rPr>
              <w:t>334</w:t>
            </w:r>
          </w:p>
        </w:tc>
        <w:tc>
          <w:tcPr>
            <w:tcW w:w="977" w:type="pct"/>
            <w:vAlign w:val="bottom"/>
          </w:tcPr>
          <w:p w14:paraId="7DDAF8A6" w14:textId="09F1F675" w:rsidR="00887494" w:rsidRPr="000D73C6" w:rsidRDefault="00887494" w:rsidP="00662938">
            <w:pPr>
              <w:spacing w:before="80" w:after="80" w:line="240" w:lineRule="auto"/>
              <w:ind w:left="-15" w:right="-105"/>
              <w:jc w:val="center"/>
              <w:rPr>
                <w:b w:val="0"/>
                <w:bCs w:val="0"/>
                <w:szCs w:val="20"/>
              </w:rPr>
            </w:pPr>
            <w:r w:rsidRPr="000D73C6">
              <w:rPr>
                <w:szCs w:val="20"/>
              </w:rPr>
              <w:t>1</w:t>
            </w:r>
            <w:r w:rsidR="00C23FA1">
              <w:rPr>
                <w:szCs w:val="20"/>
              </w:rPr>
              <w:t>,</w:t>
            </w:r>
            <w:r w:rsidRPr="000D73C6">
              <w:rPr>
                <w:szCs w:val="20"/>
              </w:rPr>
              <w:t>197</w:t>
            </w:r>
          </w:p>
        </w:tc>
        <w:tc>
          <w:tcPr>
            <w:tcW w:w="978" w:type="pct"/>
            <w:vAlign w:val="bottom"/>
          </w:tcPr>
          <w:p w14:paraId="5482035F" w14:textId="48914481" w:rsidR="00887494" w:rsidRPr="000D73C6" w:rsidRDefault="00887494" w:rsidP="00662938">
            <w:pPr>
              <w:spacing w:before="80" w:after="80" w:line="240" w:lineRule="auto"/>
              <w:ind w:left="-15" w:right="-105"/>
              <w:jc w:val="center"/>
              <w:rPr>
                <w:b w:val="0"/>
                <w:bCs w:val="0"/>
                <w:szCs w:val="20"/>
              </w:rPr>
            </w:pPr>
            <w:r w:rsidRPr="000D73C6">
              <w:rPr>
                <w:szCs w:val="20"/>
              </w:rPr>
              <w:t>NA</w:t>
            </w:r>
          </w:p>
        </w:tc>
        <w:tc>
          <w:tcPr>
            <w:tcW w:w="974" w:type="pct"/>
            <w:vAlign w:val="bottom"/>
          </w:tcPr>
          <w:p w14:paraId="1AC83226" w14:textId="07FDDB4A" w:rsidR="00887494" w:rsidRPr="000D73C6" w:rsidRDefault="008B6A20" w:rsidP="00662938">
            <w:pPr>
              <w:spacing w:before="80" w:after="80" w:line="240" w:lineRule="auto"/>
              <w:ind w:left="-15" w:right="-105"/>
              <w:jc w:val="center"/>
              <w:rPr>
                <w:b w:val="0"/>
                <w:bCs w:val="0"/>
                <w:szCs w:val="20"/>
              </w:rPr>
            </w:pPr>
            <w:r>
              <w:rPr>
                <w:szCs w:val="20"/>
              </w:rPr>
              <w:t>257.9</w:t>
            </w:r>
            <w:r w:rsidR="00887494" w:rsidRPr="000D73C6">
              <w:rPr>
                <w:szCs w:val="20"/>
              </w:rPr>
              <w:t>%</w:t>
            </w:r>
          </w:p>
        </w:tc>
      </w:tr>
      <w:tr w:rsidR="00887494" w:rsidRPr="008D5FF4" w14:paraId="1AAA3B3C" w14:textId="77777777" w:rsidTr="00662938">
        <w:tc>
          <w:tcPr>
            <w:tcW w:w="1094" w:type="pct"/>
          </w:tcPr>
          <w:p w14:paraId="6DA3710C" w14:textId="77777777" w:rsidR="00887494" w:rsidRPr="008D5FF4" w:rsidRDefault="00887494" w:rsidP="00662938">
            <w:pPr>
              <w:spacing w:before="80" w:after="80" w:line="240" w:lineRule="auto"/>
              <w:ind w:left="-15" w:right="-105"/>
              <w:rPr>
                <w:rFonts w:eastAsia="Arial"/>
                <w:b w:val="0"/>
                <w:bCs w:val="0"/>
                <w:color w:val="434242"/>
                <w:szCs w:val="20"/>
                <w:lang w:val="en-GB"/>
              </w:rPr>
            </w:pPr>
            <w:r w:rsidRPr="008D5FF4">
              <w:rPr>
                <w:b w:val="0"/>
                <w:bCs w:val="0"/>
                <w:szCs w:val="20"/>
              </w:rPr>
              <w:t>MECON</w:t>
            </w:r>
          </w:p>
        </w:tc>
        <w:tc>
          <w:tcPr>
            <w:tcW w:w="978" w:type="pct"/>
            <w:vAlign w:val="bottom"/>
          </w:tcPr>
          <w:p w14:paraId="6E8EE39B" w14:textId="77777777" w:rsidR="00887494" w:rsidRPr="000D73C6" w:rsidRDefault="00887494" w:rsidP="00662938">
            <w:pPr>
              <w:spacing w:before="80" w:after="80" w:line="240" w:lineRule="auto"/>
              <w:ind w:left="-15" w:right="-105"/>
              <w:jc w:val="center"/>
              <w:rPr>
                <w:b w:val="0"/>
                <w:bCs w:val="0"/>
                <w:szCs w:val="20"/>
              </w:rPr>
            </w:pPr>
            <w:r w:rsidRPr="000D73C6">
              <w:rPr>
                <w:szCs w:val="20"/>
              </w:rPr>
              <w:t>437</w:t>
            </w:r>
          </w:p>
        </w:tc>
        <w:tc>
          <w:tcPr>
            <w:tcW w:w="977" w:type="pct"/>
            <w:vAlign w:val="bottom"/>
          </w:tcPr>
          <w:p w14:paraId="7ABE99E8" w14:textId="77777777" w:rsidR="00887494" w:rsidRPr="000D73C6" w:rsidRDefault="00887494" w:rsidP="00662938">
            <w:pPr>
              <w:spacing w:before="80" w:after="80" w:line="240" w:lineRule="auto"/>
              <w:ind w:left="-15" w:right="-105"/>
              <w:jc w:val="center"/>
              <w:rPr>
                <w:b w:val="0"/>
                <w:bCs w:val="0"/>
                <w:szCs w:val="20"/>
              </w:rPr>
            </w:pPr>
            <w:r w:rsidRPr="000D73C6">
              <w:rPr>
                <w:szCs w:val="20"/>
              </w:rPr>
              <w:t>675</w:t>
            </w:r>
          </w:p>
        </w:tc>
        <w:tc>
          <w:tcPr>
            <w:tcW w:w="978" w:type="pct"/>
            <w:vAlign w:val="bottom"/>
          </w:tcPr>
          <w:p w14:paraId="7D2348FF" w14:textId="1931D0E5" w:rsidR="00887494" w:rsidRPr="000D73C6" w:rsidRDefault="00887494" w:rsidP="00662938">
            <w:pPr>
              <w:spacing w:before="80" w:after="80" w:line="240" w:lineRule="auto"/>
              <w:ind w:left="-15" w:right="-105"/>
              <w:jc w:val="center"/>
              <w:rPr>
                <w:b w:val="0"/>
                <w:bCs w:val="0"/>
                <w:szCs w:val="20"/>
              </w:rPr>
            </w:pPr>
            <w:r w:rsidRPr="000D73C6">
              <w:rPr>
                <w:szCs w:val="20"/>
              </w:rPr>
              <w:t>NA</w:t>
            </w:r>
          </w:p>
        </w:tc>
        <w:tc>
          <w:tcPr>
            <w:tcW w:w="974" w:type="pct"/>
            <w:vAlign w:val="bottom"/>
          </w:tcPr>
          <w:p w14:paraId="4DB4583F" w14:textId="2727ABD2" w:rsidR="00887494" w:rsidRPr="000D73C6" w:rsidRDefault="008B6A20" w:rsidP="00662938">
            <w:pPr>
              <w:spacing w:before="80" w:after="80" w:line="240" w:lineRule="auto"/>
              <w:ind w:left="-15" w:right="-105"/>
              <w:jc w:val="center"/>
              <w:rPr>
                <w:b w:val="0"/>
                <w:bCs w:val="0"/>
                <w:szCs w:val="20"/>
              </w:rPr>
            </w:pPr>
            <w:r>
              <w:rPr>
                <w:szCs w:val="20"/>
              </w:rPr>
              <w:t>54.5</w:t>
            </w:r>
            <w:r w:rsidR="00887494" w:rsidRPr="000D73C6">
              <w:rPr>
                <w:szCs w:val="20"/>
              </w:rPr>
              <w:t>%</w:t>
            </w:r>
          </w:p>
        </w:tc>
      </w:tr>
    </w:tbl>
    <w:p w14:paraId="14EEDA91" w14:textId="7FADFB01" w:rsidR="00C7511A" w:rsidRDefault="00C7511A" w:rsidP="00C7511A">
      <w:pPr>
        <w:pStyle w:val="Source"/>
        <w:ind w:right="182"/>
      </w:pPr>
      <w:r w:rsidRPr="00FF440B">
        <w:t xml:space="preserve">Source: </w:t>
      </w:r>
      <w:r w:rsidRPr="00E37ECA">
        <w:t>Company Annual Reports, all years are fiscal,</w:t>
      </w:r>
      <w:r w:rsidR="0047159E">
        <w:t xml:space="preserve"> </w:t>
      </w:r>
      <w:r w:rsidR="0047159E" w:rsidRPr="00BD2973">
        <w:t>NA- Not Available</w:t>
      </w:r>
    </w:p>
    <w:p w14:paraId="2DF4E667" w14:textId="353C8BAA" w:rsidR="003E7CA3" w:rsidRDefault="003E7CA3" w:rsidP="00662938">
      <w:pPr>
        <w:pStyle w:val="Heading30"/>
        <w:ind w:right="182"/>
      </w:pPr>
      <w:r>
        <w:t>EBITDA Margins</w:t>
      </w:r>
    </w:p>
    <w:p w14:paraId="5B7143BE" w14:textId="7A4C2A00" w:rsidR="003E7CA3" w:rsidRPr="00924217" w:rsidRDefault="003E7CA3" w:rsidP="003E7CA3">
      <w:pPr>
        <w:ind w:right="182"/>
      </w:pPr>
      <w:r>
        <w:t>CMPDIL</w:t>
      </w:r>
      <w:r w:rsidRPr="00924217">
        <w:t xml:space="preserve"> has consistently demonstrated strong financial performance, with its EBITDA margins</w:t>
      </w:r>
      <w:r w:rsidR="002D7136">
        <w:rPr>
          <w:rStyle w:val="FootnoteReference"/>
        </w:rPr>
        <w:footnoteReference w:id="65"/>
      </w:r>
      <w:r w:rsidRPr="00924217">
        <w:t xml:space="preserve"> showing a significant upward trend, increasing from 2</w:t>
      </w:r>
      <w:r w:rsidR="00C23FA1">
        <w:t>8</w:t>
      </w:r>
      <w:r w:rsidRPr="00924217">
        <w:t>% in 202</w:t>
      </w:r>
      <w:r w:rsidR="00C23FA1">
        <w:t>3</w:t>
      </w:r>
      <w:r w:rsidR="00B27CD5">
        <w:t xml:space="preserve"> to 43% in 2024 and </w:t>
      </w:r>
      <w:r w:rsidRPr="00924217">
        <w:t>to 4</w:t>
      </w:r>
      <w:r w:rsidR="00F81FA8">
        <w:t>2</w:t>
      </w:r>
      <w:r w:rsidRPr="00924217">
        <w:t>% in 202</w:t>
      </w:r>
      <w:r>
        <w:t>5</w:t>
      </w:r>
      <w:r w:rsidRPr="00924217">
        <w:t>. In compariso</w:t>
      </w:r>
      <w:r w:rsidR="00B2673A">
        <w:t xml:space="preserve">n, </w:t>
      </w:r>
      <w:r w:rsidR="00B2673A" w:rsidRPr="00924217">
        <w:t xml:space="preserve">RITES' margins have declined from </w:t>
      </w:r>
      <w:r w:rsidR="00B2673A">
        <w:t>3</w:t>
      </w:r>
      <w:r w:rsidR="00B27CD5">
        <w:t>1</w:t>
      </w:r>
      <w:r w:rsidR="00B2673A" w:rsidRPr="00924217">
        <w:t>% in 202</w:t>
      </w:r>
      <w:r w:rsidR="00B27CD5">
        <w:t>3</w:t>
      </w:r>
      <w:r w:rsidR="00B2673A" w:rsidRPr="00924217">
        <w:t xml:space="preserve"> </w:t>
      </w:r>
      <w:r w:rsidR="00B2673A">
        <w:t>to 2</w:t>
      </w:r>
      <w:r w:rsidR="000B1252">
        <w:t>7</w:t>
      </w:r>
      <w:r w:rsidR="00B2673A">
        <w:t>%</w:t>
      </w:r>
      <w:r w:rsidR="00B2673A" w:rsidRPr="00924217">
        <w:t xml:space="preserve"> in 202</w:t>
      </w:r>
      <w:r w:rsidR="00B2673A">
        <w:t xml:space="preserve">5 while </w:t>
      </w:r>
      <w:r w:rsidRPr="00924217">
        <w:t xml:space="preserve">EIL's margins have remained relatively stable, ranging from </w:t>
      </w:r>
      <w:r w:rsidR="00B27CD5">
        <w:t>14</w:t>
      </w:r>
      <w:r w:rsidRPr="00924217">
        <w:t>% in 202</w:t>
      </w:r>
      <w:r w:rsidR="00B27CD5">
        <w:t>3</w:t>
      </w:r>
      <w:r w:rsidRPr="00924217">
        <w:t xml:space="preserve"> to 1</w:t>
      </w:r>
      <w:r w:rsidR="00F81FA8">
        <w:t>5</w:t>
      </w:r>
      <w:r w:rsidRPr="00924217">
        <w:t>% in 202</w:t>
      </w:r>
      <w:r w:rsidR="00F81FA8">
        <w:t>4</w:t>
      </w:r>
      <w:r w:rsidRPr="00924217">
        <w:t xml:space="preserve">. MECL's margins have </w:t>
      </w:r>
      <w:r w:rsidR="00B27CD5">
        <w:t>also increased</w:t>
      </w:r>
      <w:r w:rsidRPr="00924217">
        <w:t xml:space="preserve"> from </w:t>
      </w:r>
      <w:r w:rsidR="00B27CD5">
        <w:t>15</w:t>
      </w:r>
      <w:r w:rsidRPr="00924217">
        <w:t>% in 202</w:t>
      </w:r>
      <w:r w:rsidR="00B27CD5">
        <w:t>3</w:t>
      </w:r>
      <w:r w:rsidRPr="00924217">
        <w:t xml:space="preserve"> to </w:t>
      </w:r>
      <w:r w:rsidR="00F81FA8">
        <w:t>35</w:t>
      </w:r>
      <w:r>
        <w:t>% in 2024</w:t>
      </w:r>
      <w:r w:rsidR="00B2673A">
        <w:t xml:space="preserve">. Similarly, </w:t>
      </w:r>
      <w:r w:rsidRPr="00924217">
        <w:t xml:space="preserve">MECON's margins have </w:t>
      </w:r>
      <w:r w:rsidR="00B27CD5">
        <w:t>slightly increased</w:t>
      </w:r>
      <w:r w:rsidRPr="00924217">
        <w:t xml:space="preserve"> from </w:t>
      </w:r>
      <w:r w:rsidR="00B27CD5">
        <w:t>5</w:t>
      </w:r>
      <w:r w:rsidRPr="00924217">
        <w:t>% in 202</w:t>
      </w:r>
      <w:r w:rsidR="00B27CD5">
        <w:t>3</w:t>
      </w:r>
      <w:r w:rsidRPr="00924217">
        <w:t xml:space="preserve"> to 6% in 2024. </w:t>
      </w:r>
    </w:p>
    <w:p w14:paraId="66EB59DB" w14:textId="13003B9B" w:rsidR="00BC437B" w:rsidRDefault="00BC437B" w:rsidP="00BC437B">
      <w:pPr>
        <w:pStyle w:val="Caption"/>
        <w:ind w:right="182"/>
      </w:pPr>
      <w:bookmarkStart w:id="6614" w:name="_Toc198731469"/>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8</w:t>
      </w:r>
      <w:r w:rsidRPr="000174A7">
        <w:fldChar w:fldCharType="end"/>
      </w:r>
      <w:r>
        <w:t xml:space="preserve"> EBITDA margins</w:t>
      </w:r>
      <w:r w:rsidR="00CF7758">
        <w:t xml:space="preserve"> (% </w:t>
      </w:r>
      <w:r w:rsidR="001359CD">
        <w:t>of Total Income)</w:t>
      </w:r>
      <w:bookmarkEnd w:id="6614"/>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C23FA1" w:rsidRPr="008D5FF4" w14:paraId="43DE1FE2" w14:textId="77777777" w:rsidTr="00662938">
        <w:trPr>
          <w:tblHeader/>
        </w:trPr>
        <w:tc>
          <w:tcPr>
            <w:tcW w:w="1432" w:type="pct"/>
            <w:shd w:val="clear" w:color="auto" w:fill="156082" w:themeFill="accent1"/>
            <w:vAlign w:val="center"/>
          </w:tcPr>
          <w:p w14:paraId="6DE31DB1" w14:textId="77777777" w:rsidR="00C23FA1" w:rsidRPr="008D5FF4" w:rsidRDefault="00C23FA1"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09800725" w14:textId="77777777" w:rsidR="00C23FA1" w:rsidRPr="008D5FF4" w:rsidRDefault="00C23FA1"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0F9EBC22" w14:textId="77777777" w:rsidR="00C23FA1" w:rsidRPr="008D5FF4" w:rsidRDefault="00C23FA1"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57A425D6" w14:textId="77777777" w:rsidR="00C23FA1" w:rsidRPr="008D5FF4" w:rsidRDefault="00C23FA1" w:rsidP="007A575F">
            <w:pPr>
              <w:spacing w:before="80" w:after="80" w:line="240" w:lineRule="auto"/>
              <w:ind w:right="-82"/>
              <w:jc w:val="center"/>
              <w:rPr>
                <w:color w:val="FFFFFF"/>
                <w:szCs w:val="20"/>
                <w:lang w:val="en-GB"/>
              </w:rPr>
            </w:pPr>
            <w:r>
              <w:rPr>
                <w:color w:val="FFFFFF"/>
                <w:szCs w:val="20"/>
                <w:lang w:val="en-GB"/>
              </w:rPr>
              <w:t>2025</w:t>
            </w:r>
          </w:p>
        </w:tc>
      </w:tr>
      <w:tr w:rsidR="00C23FA1" w:rsidRPr="008D5FF4" w14:paraId="75BAE751" w14:textId="77777777" w:rsidTr="00662938">
        <w:tc>
          <w:tcPr>
            <w:tcW w:w="1432" w:type="pct"/>
            <w:shd w:val="clear" w:color="auto" w:fill="C9D8E1"/>
          </w:tcPr>
          <w:p w14:paraId="3B79E8A9" w14:textId="77777777" w:rsidR="00C23FA1" w:rsidRPr="008D5FF4" w:rsidRDefault="00C23FA1" w:rsidP="00CF7758">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6033DE6A" w14:textId="36BDDEB8" w:rsidR="00C23FA1" w:rsidRPr="000D73C6" w:rsidRDefault="00C23FA1" w:rsidP="00CF7758">
            <w:pPr>
              <w:spacing w:before="80" w:after="80" w:line="240" w:lineRule="auto"/>
              <w:ind w:right="182"/>
              <w:jc w:val="center"/>
              <w:rPr>
                <w:b w:val="0"/>
                <w:bCs w:val="0"/>
                <w:szCs w:val="20"/>
              </w:rPr>
            </w:pPr>
            <w:r w:rsidRPr="00662938">
              <w:rPr>
                <w:color w:val="000000"/>
                <w:szCs w:val="20"/>
              </w:rPr>
              <w:t>28%</w:t>
            </w:r>
          </w:p>
        </w:tc>
        <w:tc>
          <w:tcPr>
            <w:tcW w:w="1270" w:type="pct"/>
            <w:shd w:val="clear" w:color="auto" w:fill="C9D8E1"/>
            <w:vAlign w:val="bottom"/>
          </w:tcPr>
          <w:p w14:paraId="40E87CF2" w14:textId="2D16111C" w:rsidR="00C23FA1" w:rsidRPr="000D73C6" w:rsidRDefault="00C23FA1" w:rsidP="00CF7758">
            <w:pPr>
              <w:spacing w:before="80" w:after="80" w:line="240" w:lineRule="auto"/>
              <w:ind w:right="182"/>
              <w:jc w:val="center"/>
              <w:rPr>
                <w:b w:val="0"/>
                <w:bCs w:val="0"/>
                <w:szCs w:val="20"/>
              </w:rPr>
            </w:pPr>
            <w:r w:rsidRPr="00662938">
              <w:rPr>
                <w:color w:val="000000"/>
                <w:szCs w:val="20"/>
              </w:rPr>
              <w:t>43%</w:t>
            </w:r>
          </w:p>
        </w:tc>
        <w:tc>
          <w:tcPr>
            <w:tcW w:w="1025" w:type="pct"/>
            <w:shd w:val="clear" w:color="auto" w:fill="C9D8E1"/>
            <w:vAlign w:val="bottom"/>
          </w:tcPr>
          <w:p w14:paraId="320E3418" w14:textId="15DF2154" w:rsidR="00C23FA1" w:rsidRPr="000D73C6" w:rsidRDefault="00C23FA1" w:rsidP="00CF7758">
            <w:pPr>
              <w:spacing w:before="80" w:after="80" w:line="240" w:lineRule="auto"/>
              <w:ind w:right="-82"/>
              <w:jc w:val="center"/>
              <w:rPr>
                <w:b w:val="0"/>
                <w:bCs w:val="0"/>
                <w:szCs w:val="20"/>
              </w:rPr>
            </w:pPr>
            <w:r w:rsidRPr="000D73C6">
              <w:rPr>
                <w:szCs w:val="20"/>
              </w:rPr>
              <w:t>42%</w:t>
            </w:r>
          </w:p>
        </w:tc>
      </w:tr>
      <w:tr w:rsidR="00C23FA1" w:rsidRPr="008D5FF4" w14:paraId="0A9254B1" w14:textId="77777777" w:rsidTr="00662938">
        <w:tc>
          <w:tcPr>
            <w:tcW w:w="1432" w:type="pct"/>
          </w:tcPr>
          <w:p w14:paraId="1E49105B" w14:textId="77777777" w:rsidR="00C23FA1" w:rsidRPr="008D5FF4" w:rsidRDefault="00C23FA1" w:rsidP="00CF7758">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1A8DC0C7" w14:textId="4AE81E94" w:rsidR="00C23FA1" w:rsidRPr="00662938" w:rsidRDefault="00C23FA1" w:rsidP="00CF7758">
            <w:pPr>
              <w:spacing w:before="80" w:after="80" w:line="240" w:lineRule="auto"/>
              <w:ind w:right="182"/>
              <w:jc w:val="center"/>
              <w:rPr>
                <w:b w:val="0"/>
                <w:bCs w:val="0"/>
                <w:szCs w:val="20"/>
              </w:rPr>
            </w:pPr>
            <w:r w:rsidRPr="00662938">
              <w:rPr>
                <w:color w:val="000000"/>
                <w:szCs w:val="20"/>
              </w:rPr>
              <w:t>31%</w:t>
            </w:r>
          </w:p>
        </w:tc>
        <w:tc>
          <w:tcPr>
            <w:tcW w:w="1270" w:type="pct"/>
            <w:vAlign w:val="bottom"/>
          </w:tcPr>
          <w:p w14:paraId="4B29416C" w14:textId="45E9FFD0" w:rsidR="00C23FA1" w:rsidRPr="00662938" w:rsidRDefault="00C23FA1" w:rsidP="00CF7758">
            <w:pPr>
              <w:spacing w:before="80" w:after="80" w:line="240" w:lineRule="auto"/>
              <w:ind w:right="182"/>
              <w:jc w:val="center"/>
              <w:rPr>
                <w:b w:val="0"/>
                <w:bCs w:val="0"/>
                <w:szCs w:val="20"/>
              </w:rPr>
            </w:pPr>
            <w:r w:rsidRPr="00662938">
              <w:rPr>
                <w:color w:val="000000"/>
                <w:szCs w:val="20"/>
              </w:rPr>
              <w:t>29%</w:t>
            </w:r>
          </w:p>
        </w:tc>
        <w:tc>
          <w:tcPr>
            <w:tcW w:w="1025" w:type="pct"/>
            <w:vAlign w:val="bottom"/>
          </w:tcPr>
          <w:p w14:paraId="08BFAFBE" w14:textId="0B25D711" w:rsidR="00C23FA1" w:rsidRPr="000D73C6" w:rsidRDefault="00C23FA1" w:rsidP="00CF7758">
            <w:pPr>
              <w:spacing w:before="80" w:after="80" w:line="240" w:lineRule="auto"/>
              <w:ind w:right="-82"/>
              <w:jc w:val="center"/>
              <w:rPr>
                <w:b w:val="0"/>
                <w:bCs w:val="0"/>
                <w:szCs w:val="20"/>
              </w:rPr>
            </w:pPr>
            <w:r w:rsidRPr="000D73C6">
              <w:rPr>
                <w:szCs w:val="20"/>
              </w:rPr>
              <w:t>27%</w:t>
            </w:r>
          </w:p>
        </w:tc>
      </w:tr>
      <w:tr w:rsidR="00C23FA1" w:rsidRPr="008D5FF4" w14:paraId="58FF26E5" w14:textId="77777777" w:rsidTr="00662938">
        <w:tc>
          <w:tcPr>
            <w:tcW w:w="1432" w:type="pct"/>
          </w:tcPr>
          <w:p w14:paraId="2AC7BC21" w14:textId="77777777" w:rsidR="00C23FA1" w:rsidRPr="008D5FF4" w:rsidRDefault="00C23FA1" w:rsidP="00CF7758">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1D4ECD0C" w14:textId="3ACF64EA" w:rsidR="00C23FA1" w:rsidRPr="00662938" w:rsidRDefault="00C23FA1" w:rsidP="00CF7758">
            <w:pPr>
              <w:spacing w:before="80" w:after="80" w:line="240" w:lineRule="auto"/>
              <w:ind w:right="182"/>
              <w:jc w:val="center"/>
              <w:rPr>
                <w:b w:val="0"/>
                <w:bCs w:val="0"/>
                <w:szCs w:val="20"/>
              </w:rPr>
            </w:pPr>
            <w:r w:rsidRPr="00662938">
              <w:rPr>
                <w:color w:val="000000"/>
                <w:szCs w:val="20"/>
              </w:rPr>
              <w:t>14%</w:t>
            </w:r>
          </w:p>
        </w:tc>
        <w:tc>
          <w:tcPr>
            <w:tcW w:w="1270" w:type="pct"/>
            <w:vAlign w:val="bottom"/>
          </w:tcPr>
          <w:p w14:paraId="731D0A4A" w14:textId="415F4307" w:rsidR="00C23FA1" w:rsidRPr="00662938" w:rsidRDefault="00C23FA1" w:rsidP="00CF7758">
            <w:pPr>
              <w:spacing w:before="80" w:after="80" w:line="240" w:lineRule="auto"/>
              <w:ind w:right="182"/>
              <w:jc w:val="center"/>
              <w:rPr>
                <w:b w:val="0"/>
                <w:bCs w:val="0"/>
                <w:szCs w:val="20"/>
              </w:rPr>
            </w:pPr>
            <w:r w:rsidRPr="00662938">
              <w:rPr>
                <w:color w:val="000000"/>
                <w:szCs w:val="20"/>
              </w:rPr>
              <w:t>15%</w:t>
            </w:r>
          </w:p>
        </w:tc>
        <w:tc>
          <w:tcPr>
            <w:tcW w:w="1025" w:type="pct"/>
            <w:vAlign w:val="bottom"/>
          </w:tcPr>
          <w:p w14:paraId="3C20BD48" w14:textId="77777777" w:rsidR="00C23FA1" w:rsidRPr="000D73C6" w:rsidRDefault="00C23FA1" w:rsidP="00CF7758">
            <w:pPr>
              <w:spacing w:before="80" w:after="80" w:line="240" w:lineRule="auto"/>
              <w:ind w:right="-82"/>
              <w:jc w:val="center"/>
              <w:rPr>
                <w:b w:val="0"/>
                <w:bCs w:val="0"/>
                <w:szCs w:val="20"/>
              </w:rPr>
            </w:pPr>
            <w:r w:rsidRPr="000D73C6">
              <w:rPr>
                <w:szCs w:val="20"/>
              </w:rPr>
              <w:t>NA</w:t>
            </w:r>
          </w:p>
        </w:tc>
      </w:tr>
      <w:tr w:rsidR="00C23FA1" w:rsidRPr="008D5FF4" w14:paraId="7F5AD82C" w14:textId="77777777" w:rsidTr="00662938">
        <w:tc>
          <w:tcPr>
            <w:tcW w:w="1432" w:type="pct"/>
          </w:tcPr>
          <w:p w14:paraId="4F83FE46" w14:textId="77777777" w:rsidR="00C23FA1" w:rsidRPr="008D5FF4" w:rsidRDefault="00C23FA1" w:rsidP="00CF7758">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593FBA0F" w14:textId="48138DE5" w:rsidR="00C23FA1" w:rsidRPr="00662938" w:rsidRDefault="00C23FA1" w:rsidP="00CF7758">
            <w:pPr>
              <w:spacing w:before="80" w:after="80" w:line="240" w:lineRule="auto"/>
              <w:ind w:right="182"/>
              <w:jc w:val="center"/>
              <w:rPr>
                <w:b w:val="0"/>
                <w:bCs w:val="0"/>
                <w:szCs w:val="20"/>
              </w:rPr>
            </w:pPr>
            <w:r w:rsidRPr="00662938">
              <w:rPr>
                <w:color w:val="000000"/>
                <w:szCs w:val="20"/>
              </w:rPr>
              <w:t>15%</w:t>
            </w:r>
          </w:p>
        </w:tc>
        <w:tc>
          <w:tcPr>
            <w:tcW w:w="1270" w:type="pct"/>
            <w:vAlign w:val="bottom"/>
          </w:tcPr>
          <w:p w14:paraId="7CD1ACDC" w14:textId="31376561" w:rsidR="00C23FA1" w:rsidRPr="00662938" w:rsidRDefault="00C23FA1" w:rsidP="00CF7758">
            <w:pPr>
              <w:spacing w:before="80" w:after="80" w:line="240" w:lineRule="auto"/>
              <w:ind w:right="182"/>
              <w:jc w:val="center"/>
              <w:rPr>
                <w:b w:val="0"/>
                <w:bCs w:val="0"/>
                <w:szCs w:val="20"/>
              </w:rPr>
            </w:pPr>
            <w:r w:rsidRPr="00662938">
              <w:rPr>
                <w:color w:val="000000"/>
                <w:szCs w:val="20"/>
              </w:rPr>
              <w:t>35%</w:t>
            </w:r>
          </w:p>
        </w:tc>
        <w:tc>
          <w:tcPr>
            <w:tcW w:w="1025" w:type="pct"/>
            <w:vAlign w:val="bottom"/>
          </w:tcPr>
          <w:p w14:paraId="12E164D8" w14:textId="77777777" w:rsidR="00C23FA1" w:rsidRPr="000D73C6" w:rsidRDefault="00C23FA1" w:rsidP="00CF7758">
            <w:pPr>
              <w:spacing w:before="80" w:after="80" w:line="240" w:lineRule="auto"/>
              <w:ind w:right="-82"/>
              <w:jc w:val="center"/>
              <w:rPr>
                <w:b w:val="0"/>
                <w:bCs w:val="0"/>
                <w:szCs w:val="20"/>
              </w:rPr>
            </w:pPr>
            <w:r w:rsidRPr="000D73C6">
              <w:rPr>
                <w:szCs w:val="20"/>
              </w:rPr>
              <w:t>NA</w:t>
            </w:r>
          </w:p>
        </w:tc>
      </w:tr>
      <w:tr w:rsidR="00C23FA1" w:rsidRPr="008D5FF4" w14:paraId="7F1A00C6" w14:textId="77777777" w:rsidTr="00662938">
        <w:tc>
          <w:tcPr>
            <w:tcW w:w="1432" w:type="pct"/>
          </w:tcPr>
          <w:p w14:paraId="5B2400E6" w14:textId="77777777" w:rsidR="00C23FA1" w:rsidRPr="008D5FF4" w:rsidRDefault="00C23FA1" w:rsidP="00CF7758">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646986D0" w14:textId="306F7159" w:rsidR="00C23FA1" w:rsidRPr="00662938" w:rsidRDefault="00C23FA1" w:rsidP="00CF7758">
            <w:pPr>
              <w:spacing w:before="80" w:after="80" w:line="240" w:lineRule="auto"/>
              <w:ind w:right="182"/>
              <w:jc w:val="center"/>
              <w:rPr>
                <w:b w:val="0"/>
                <w:bCs w:val="0"/>
                <w:szCs w:val="20"/>
              </w:rPr>
            </w:pPr>
            <w:r w:rsidRPr="00662938">
              <w:rPr>
                <w:color w:val="000000"/>
                <w:szCs w:val="20"/>
              </w:rPr>
              <w:t>5%</w:t>
            </w:r>
          </w:p>
        </w:tc>
        <w:tc>
          <w:tcPr>
            <w:tcW w:w="1270" w:type="pct"/>
            <w:vAlign w:val="bottom"/>
          </w:tcPr>
          <w:p w14:paraId="3F65B7E6" w14:textId="3E5C226C" w:rsidR="00C23FA1" w:rsidRPr="00662938" w:rsidRDefault="00C23FA1" w:rsidP="00CF7758">
            <w:pPr>
              <w:spacing w:before="80" w:after="80" w:line="240" w:lineRule="auto"/>
              <w:ind w:right="182"/>
              <w:jc w:val="center"/>
              <w:rPr>
                <w:b w:val="0"/>
                <w:bCs w:val="0"/>
                <w:szCs w:val="20"/>
              </w:rPr>
            </w:pPr>
            <w:r w:rsidRPr="00662938">
              <w:rPr>
                <w:color w:val="000000"/>
                <w:szCs w:val="20"/>
              </w:rPr>
              <w:t>6%</w:t>
            </w:r>
          </w:p>
        </w:tc>
        <w:tc>
          <w:tcPr>
            <w:tcW w:w="1025" w:type="pct"/>
            <w:vAlign w:val="bottom"/>
          </w:tcPr>
          <w:p w14:paraId="3C4CC055" w14:textId="77777777" w:rsidR="00C23FA1" w:rsidRPr="000D73C6" w:rsidRDefault="00C23FA1" w:rsidP="00CF7758">
            <w:pPr>
              <w:spacing w:before="80" w:after="80" w:line="240" w:lineRule="auto"/>
              <w:ind w:right="-82"/>
              <w:jc w:val="center"/>
              <w:rPr>
                <w:b w:val="0"/>
                <w:bCs w:val="0"/>
                <w:szCs w:val="20"/>
              </w:rPr>
            </w:pPr>
            <w:r w:rsidRPr="000D73C6">
              <w:rPr>
                <w:szCs w:val="20"/>
              </w:rPr>
              <w:t>NA</w:t>
            </w:r>
          </w:p>
        </w:tc>
      </w:tr>
    </w:tbl>
    <w:p w14:paraId="239CB0EE" w14:textId="77777777" w:rsidR="00BC437B" w:rsidRDefault="00BC437B" w:rsidP="00BC437B">
      <w:pPr>
        <w:pStyle w:val="Source"/>
        <w:ind w:right="182"/>
      </w:pPr>
      <w:r w:rsidRPr="00FF440B">
        <w:t xml:space="preserve">Source: </w:t>
      </w:r>
      <w:r w:rsidRPr="00E37ECA">
        <w:t>Company Annual Reports, all years are fiscal,</w:t>
      </w:r>
      <w:r>
        <w:t xml:space="preserve"> </w:t>
      </w:r>
      <w:r w:rsidRPr="00BD2973">
        <w:t>NA- Not Available</w:t>
      </w:r>
    </w:p>
    <w:p w14:paraId="2A43B7FB" w14:textId="24761DFD" w:rsidR="00C7511A" w:rsidRDefault="00C7511A" w:rsidP="00C7511A">
      <w:pPr>
        <w:pStyle w:val="Heading30"/>
        <w:ind w:right="182"/>
      </w:pPr>
      <w:r w:rsidRPr="00F074C6">
        <w:t>Profit After Tax (PAT)</w:t>
      </w:r>
    </w:p>
    <w:p w14:paraId="02F5E0B8" w14:textId="387AE1FA" w:rsidR="00C7511A" w:rsidRPr="00535AE9" w:rsidRDefault="001F658A" w:rsidP="00C7511A">
      <w:pPr>
        <w:ind w:right="182"/>
      </w:pPr>
      <w:r>
        <w:t>CMPDIL</w:t>
      </w:r>
      <w:r w:rsidRPr="00535AE9">
        <w:t xml:space="preserve">'s ability to </w:t>
      </w:r>
      <w:r>
        <w:t xml:space="preserve">grow at a CAGR of </w:t>
      </w:r>
      <w:r w:rsidR="0027209A">
        <w:t>49.9</w:t>
      </w:r>
      <w:r>
        <w:t>%</w:t>
      </w:r>
      <w:r w:rsidRPr="00535AE9">
        <w:t xml:space="preserve"> </w:t>
      </w:r>
      <w:r>
        <w:t>from fiscal 202</w:t>
      </w:r>
      <w:r w:rsidR="0027209A">
        <w:t>3</w:t>
      </w:r>
      <w:r>
        <w:t xml:space="preserve"> to </w:t>
      </w:r>
      <w:r w:rsidRPr="00535AE9">
        <w:t>202</w:t>
      </w:r>
      <w:r w:rsidR="006962B3">
        <w:t>5</w:t>
      </w:r>
      <w:r w:rsidRPr="00535AE9">
        <w:t xml:space="preserve"> is a testament to its strong financial performance. </w:t>
      </w:r>
      <w:r w:rsidR="0035134E">
        <w:t>While the PAT</w:t>
      </w:r>
      <w:r w:rsidR="008E1A5A">
        <w:rPr>
          <w:rStyle w:val="FootnoteReference"/>
        </w:rPr>
        <w:footnoteReference w:id="66"/>
      </w:r>
      <w:r w:rsidR="0035134E">
        <w:t xml:space="preserve"> has been declining for majority of the peers</w:t>
      </w:r>
      <w:r w:rsidR="009A1A87">
        <w:t xml:space="preserve"> in fiscal 2024 and for RITES in fiscal 2025</w:t>
      </w:r>
      <w:r>
        <w:t>,</w:t>
      </w:r>
      <w:r w:rsidR="009A1A87">
        <w:t xml:space="preserve"> the PAT of CMPDIL has been on an upward trend </w:t>
      </w:r>
      <w:r w:rsidRPr="006C5D86">
        <w:t xml:space="preserve">making </w:t>
      </w:r>
      <w:r w:rsidR="009A1A87">
        <w:t xml:space="preserve">it </w:t>
      </w:r>
      <w:r w:rsidRPr="006C5D86">
        <w:t>the most consistent performer with a significant increase in profitability over the past five years.</w:t>
      </w:r>
    </w:p>
    <w:p w14:paraId="2DBA9FBA" w14:textId="675DDEA4" w:rsidR="00C7511A" w:rsidRDefault="00C7511A" w:rsidP="00C7511A">
      <w:pPr>
        <w:pStyle w:val="Caption"/>
        <w:ind w:right="182"/>
      </w:pPr>
      <w:bookmarkStart w:id="6615" w:name="_Toc198731470"/>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9</w:t>
      </w:r>
      <w:r w:rsidRPr="000174A7">
        <w:fldChar w:fldCharType="end"/>
      </w:r>
      <w:r>
        <w:t xml:space="preserve"> Profit After Tax (PAT) (Rs million)</w:t>
      </w:r>
      <w:bookmarkEnd w:id="6615"/>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2884"/>
        <w:gridCol w:w="2548"/>
        <w:gridCol w:w="2548"/>
        <w:gridCol w:w="2550"/>
      </w:tblGrid>
      <w:tr w:rsidR="0027209A" w:rsidRPr="008D5FF4" w14:paraId="5C768270" w14:textId="77777777" w:rsidTr="00662938">
        <w:trPr>
          <w:tblHeader/>
        </w:trPr>
        <w:tc>
          <w:tcPr>
            <w:tcW w:w="1369" w:type="pct"/>
            <w:shd w:val="clear" w:color="auto" w:fill="156082" w:themeFill="accent1"/>
            <w:vAlign w:val="center"/>
          </w:tcPr>
          <w:p w14:paraId="70E5B56A" w14:textId="77777777" w:rsidR="0027209A" w:rsidRPr="008D5FF4" w:rsidRDefault="0027209A" w:rsidP="007A575F">
            <w:pPr>
              <w:spacing w:before="80" w:after="80" w:line="240" w:lineRule="auto"/>
              <w:ind w:right="182"/>
              <w:rPr>
                <w:color w:val="FFFFFF"/>
                <w:szCs w:val="20"/>
                <w:lang w:val="en-GB"/>
              </w:rPr>
            </w:pPr>
            <w:r w:rsidRPr="008D5FF4">
              <w:rPr>
                <w:color w:val="FFFFFF"/>
                <w:szCs w:val="20"/>
                <w:lang w:val="en-GB"/>
              </w:rPr>
              <w:t>Company</w:t>
            </w:r>
          </w:p>
        </w:tc>
        <w:tc>
          <w:tcPr>
            <w:tcW w:w="1210" w:type="pct"/>
            <w:shd w:val="clear" w:color="auto" w:fill="156082" w:themeFill="accent1"/>
            <w:vAlign w:val="center"/>
          </w:tcPr>
          <w:p w14:paraId="6B5331F4" w14:textId="77777777" w:rsidR="0027209A" w:rsidRPr="008D5FF4" w:rsidRDefault="0027209A" w:rsidP="007A575F">
            <w:pPr>
              <w:spacing w:before="80" w:after="80" w:line="240" w:lineRule="auto"/>
              <w:ind w:right="182"/>
              <w:jc w:val="center"/>
              <w:rPr>
                <w:color w:val="FFFFFF"/>
                <w:szCs w:val="20"/>
                <w:lang w:val="en-GB"/>
              </w:rPr>
            </w:pPr>
            <w:r w:rsidRPr="008D5FF4">
              <w:rPr>
                <w:color w:val="FFFFFF"/>
                <w:szCs w:val="20"/>
                <w:lang w:val="en-GB"/>
              </w:rPr>
              <w:t>2023</w:t>
            </w:r>
          </w:p>
        </w:tc>
        <w:tc>
          <w:tcPr>
            <w:tcW w:w="1210" w:type="pct"/>
            <w:shd w:val="clear" w:color="auto" w:fill="156082" w:themeFill="accent1"/>
            <w:vAlign w:val="center"/>
          </w:tcPr>
          <w:p w14:paraId="71B046D6" w14:textId="77777777" w:rsidR="0027209A" w:rsidRPr="008D5FF4" w:rsidRDefault="0027209A" w:rsidP="007A575F">
            <w:pPr>
              <w:spacing w:before="80" w:after="80" w:line="240" w:lineRule="auto"/>
              <w:ind w:right="182"/>
              <w:jc w:val="center"/>
              <w:rPr>
                <w:color w:val="FFFFFF"/>
                <w:szCs w:val="20"/>
                <w:lang w:val="en-GB"/>
              </w:rPr>
            </w:pPr>
            <w:r w:rsidRPr="008D5FF4">
              <w:rPr>
                <w:color w:val="FFFFFF"/>
                <w:szCs w:val="20"/>
                <w:lang w:val="en-GB"/>
              </w:rPr>
              <w:t>2024</w:t>
            </w:r>
          </w:p>
        </w:tc>
        <w:tc>
          <w:tcPr>
            <w:tcW w:w="1211" w:type="pct"/>
            <w:shd w:val="clear" w:color="auto" w:fill="156082" w:themeFill="accent1"/>
          </w:tcPr>
          <w:p w14:paraId="129A80D9" w14:textId="77777777" w:rsidR="0027209A" w:rsidRPr="008D5FF4" w:rsidRDefault="0027209A" w:rsidP="007A575F">
            <w:pPr>
              <w:spacing w:before="80" w:after="80" w:line="240" w:lineRule="auto"/>
              <w:ind w:right="-82"/>
              <w:jc w:val="center"/>
              <w:rPr>
                <w:color w:val="FFFFFF"/>
                <w:szCs w:val="20"/>
                <w:lang w:val="en-GB"/>
              </w:rPr>
            </w:pPr>
            <w:r>
              <w:rPr>
                <w:color w:val="FFFFFF"/>
                <w:szCs w:val="20"/>
                <w:lang w:val="en-GB"/>
              </w:rPr>
              <w:t>2025</w:t>
            </w:r>
          </w:p>
        </w:tc>
      </w:tr>
      <w:tr w:rsidR="0027209A" w:rsidRPr="00AD6491" w14:paraId="2B8F930C" w14:textId="77777777" w:rsidTr="00662938">
        <w:tc>
          <w:tcPr>
            <w:tcW w:w="1369" w:type="pct"/>
            <w:shd w:val="clear" w:color="auto" w:fill="C9D8E1"/>
          </w:tcPr>
          <w:p w14:paraId="4976F7A6" w14:textId="77777777" w:rsidR="0027209A" w:rsidRPr="008D5FF4" w:rsidRDefault="0027209A" w:rsidP="0004326B">
            <w:pPr>
              <w:spacing w:before="80" w:after="80" w:line="240" w:lineRule="auto"/>
              <w:ind w:right="182"/>
              <w:rPr>
                <w:rFonts w:eastAsia="Arial"/>
                <w:color w:val="434242"/>
                <w:szCs w:val="20"/>
                <w:lang w:val="en-GB"/>
              </w:rPr>
            </w:pPr>
            <w:r>
              <w:rPr>
                <w:rFonts w:eastAsia="Arial"/>
                <w:color w:val="434242"/>
                <w:szCs w:val="20"/>
                <w:lang w:val="en-GB"/>
              </w:rPr>
              <w:t>CMPDIL</w:t>
            </w:r>
          </w:p>
        </w:tc>
        <w:tc>
          <w:tcPr>
            <w:tcW w:w="1210" w:type="pct"/>
            <w:shd w:val="clear" w:color="auto" w:fill="C9D8E1"/>
            <w:vAlign w:val="bottom"/>
          </w:tcPr>
          <w:p w14:paraId="48EC155C" w14:textId="42820F0A" w:rsidR="0027209A" w:rsidRPr="000D73C6" w:rsidRDefault="0027209A" w:rsidP="0004326B">
            <w:pPr>
              <w:spacing w:before="80" w:after="80" w:line="240" w:lineRule="auto"/>
              <w:ind w:right="182"/>
              <w:jc w:val="center"/>
              <w:rPr>
                <w:b w:val="0"/>
                <w:bCs w:val="0"/>
                <w:szCs w:val="20"/>
              </w:rPr>
            </w:pPr>
            <w:r w:rsidRPr="00662938">
              <w:rPr>
                <w:color w:val="000000"/>
                <w:szCs w:val="20"/>
              </w:rPr>
              <w:t>2</w:t>
            </w:r>
            <w:r>
              <w:rPr>
                <w:color w:val="000000"/>
                <w:szCs w:val="20"/>
              </w:rPr>
              <w:t>,</w:t>
            </w:r>
            <w:r w:rsidRPr="00662938">
              <w:rPr>
                <w:color w:val="000000"/>
                <w:szCs w:val="20"/>
              </w:rPr>
              <w:t>967</w:t>
            </w:r>
          </w:p>
        </w:tc>
        <w:tc>
          <w:tcPr>
            <w:tcW w:w="1210" w:type="pct"/>
            <w:shd w:val="clear" w:color="auto" w:fill="C9D8E1"/>
            <w:vAlign w:val="bottom"/>
          </w:tcPr>
          <w:p w14:paraId="23FC4802" w14:textId="27180EB0" w:rsidR="0027209A" w:rsidRPr="000D73C6" w:rsidRDefault="0027209A" w:rsidP="0004326B">
            <w:pPr>
              <w:spacing w:before="80" w:after="80" w:line="240" w:lineRule="auto"/>
              <w:ind w:right="182"/>
              <w:jc w:val="center"/>
              <w:rPr>
                <w:b w:val="0"/>
                <w:bCs w:val="0"/>
                <w:szCs w:val="20"/>
              </w:rPr>
            </w:pPr>
            <w:r w:rsidRPr="00662938">
              <w:rPr>
                <w:color w:val="000000"/>
                <w:szCs w:val="20"/>
              </w:rPr>
              <w:t>5</w:t>
            </w:r>
            <w:r>
              <w:rPr>
                <w:color w:val="000000"/>
                <w:szCs w:val="20"/>
              </w:rPr>
              <w:t>,</w:t>
            </w:r>
            <w:r w:rsidRPr="00662938">
              <w:rPr>
                <w:color w:val="000000"/>
                <w:szCs w:val="20"/>
              </w:rPr>
              <w:t>032</w:t>
            </w:r>
          </w:p>
        </w:tc>
        <w:tc>
          <w:tcPr>
            <w:tcW w:w="1211" w:type="pct"/>
            <w:shd w:val="clear" w:color="auto" w:fill="C9D8E1"/>
            <w:vAlign w:val="bottom"/>
          </w:tcPr>
          <w:p w14:paraId="2063498C" w14:textId="72C05734" w:rsidR="0027209A" w:rsidRPr="000D73C6" w:rsidRDefault="0027209A" w:rsidP="0004326B">
            <w:pPr>
              <w:spacing w:before="80" w:after="80" w:line="240" w:lineRule="auto"/>
              <w:ind w:right="-82"/>
              <w:jc w:val="center"/>
              <w:rPr>
                <w:b w:val="0"/>
                <w:bCs w:val="0"/>
                <w:szCs w:val="20"/>
              </w:rPr>
            </w:pPr>
            <w:r w:rsidRPr="000D73C6">
              <w:rPr>
                <w:szCs w:val="20"/>
              </w:rPr>
              <w:t>6</w:t>
            </w:r>
            <w:r>
              <w:rPr>
                <w:szCs w:val="20"/>
              </w:rPr>
              <w:t>,</w:t>
            </w:r>
            <w:r w:rsidRPr="000D73C6">
              <w:rPr>
                <w:szCs w:val="20"/>
              </w:rPr>
              <w:t>669</w:t>
            </w:r>
          </w:p>
        </w:tc>
      </w:tr>
      <w:tr w:rsidR="0027209A" w:rsidRPr="00390D5D" w14:paraId="38FC1BF5" w14:textId="77777777" w:rsidTr="00662938">
        <w:tc>
          <w:tcPr>
            <w:tcW w:w="1369" w:type="pct"/>
          </w:tcPr>
          <w:p w14:paraId="3E090ED9" w14:textId="77777777" w:rsidR="0027209A" w:rsidRPr="008D5FF4" w:rsidRDefault="0027209A" w:rsidP="0004326B">
            <w:pPr>
              <w:spacing w:before="80" w:after="80" w:line="240" w:lineRule="auto"/>
              <w:ind w:right="182"/>
              <w:rPr>
                <w:rFonts w:eastAsia="Arial"/>
                <w:b w:val="0"/>
                <w:bCs w:val="0"/>
                <w:color w:val="434242"/>
                <w:szCs w:val="20"/>
                <w:lang w:val="en-GB"/>
              </w:rPr>
            </w:pPr>
            <w:r w:rsidRPr="008D5FF4">
              <w:rPr>
                <w:b w:val="0"/>
                <w:bCs w:val="0"/>
                <w:szCs w:val="20"/>
              </w:rPr>
              <w:t>RITES</w:t>
            </w:r>
          </w:p>
        </w:tc>
        <w:tc>
          <w:tcPr>
            <w:tcW w:w="1210" w:type="pct"/>
            <w:vAlign w:val="bottom"/>
          </w:tcPr>
          <w:p w14:paraId="03BCFC54" w14:textId="63627277" w:rsidR="0027209A" w:rsidRPr="00662938" w:rsidRDefault="0027209A" w:rsidP="0004326B">
            <w:pPr>
              <w:spacing w:before="80" w:after="80" w:line="240" w:lineRule="auto"/>
              <w:ind w:right="182"/>
              <w:jc w:val="center"/>
              <w:rPr>
                <w:b w:val="0"/>
                <w:bCs w:val="0"/>
                <w:szCs w:val="20"/>
              </w:rPr>
            </w:pPr>
            <w:r w:rsidRPr="00662938">
              <w:rPr>
                <w:color w:val="000000"/>
                <w:szCs w:val="20"/>
              </w:rPr>
              <w:t>5</w:t>
            </w:r>
            <w:r>
              <w:rPr>
                <w:color w:val="000000"/>
                <w:szCs w:val="20"/>
              </w:rPr>
              <w:t>,</w:t>
            </w:r>
            <w:r w:rsidRPr="00662938">
              <w:rPr>
                <w:color w:val="000000"/>
                <w:szCs w:val="20"/>
              </w:rPr>
              <w:t>710</w:t>
            </w:r>
          </w:p>
        </w:tc>
        <w:tc>
          <w:tcPr>
            <w:tcW w:w="1210" w:type="pct"/>
            <w:vAlign w:val="bottom"/>
          </w:tcPr>
          <w:p w14:paraId="0428CB0E" w14:textId="190827BA" w:rsidR="0027209A" w:rsidRPr="00662938" w:rsidRDefault="0027209A" w:rsidP="0004326B">
            <w:pPr>
              <w:spacing w:before="80" w:after="80" w:line="240" w:lineRule="auto"/>
              <w:ind w:right="182"/>
              <w:jc w:val="center"/>
              <w:rPr>
                <w:b w:val="0"/>
                <w:bCs w:val="0"/>
                <w:szCs w:val="20"/>
              </w:rPr>
            </w:pPr>
            <w:r w:rsidRPr="00662938">
              <w:rPr>
                <w:color w:val="000000"/>
                <w:szCs w:val="20"/>
              </w:rPr>
              <w:t>4</w:t>
            </w:r>
            <w:r>
              <w:rPr>
                <w:color w:val="000000"/>
                <w:szCs w:val="20"/>
              </w:rPr>
              <w:t>,</w:t>
            </w:r>
            <w:r w:rsidRPr="00662938">
              <w:rPr>
                <w:color w:val="000000"/>
                <w:szCs w:val="20"/>
              </w:rPr>
              <w:t>952</w:t>
            </w:r>
          </w:p>
        </w:tc>
        <w:tc>
          <w:tcPr>
            <w:tcW w:w="1211" w:type="pct"/>
            <w:vAlign w:val="bottom"/>
          </w:tcPr>
          <w:p w14:paraId="2C0295D4" w14:textId="3F782F35" w:rsidR="0027209A" w:rsidRPr="000D73C6" w:rsidRDefault="0027209A" w:rsidP="0004326B">
            <w:pPr>
              <w:spacing w:before="80" w:after="80" w:line="240" w:lineRule="auto"/>
              <w:ind w:right="-82"/>
              <w:jc w:val="center"/>
              <w:rPr>
                <w:b w:val="0"/>
                <w:bCs w:val="0"/>
                <w:szCs w:val="20"/>
              </w:rPr>
            </w:pPr>
            <w:r w:rsidRPr="000D73C6">
              <w:rPr>
                <w:szCs w:val="20"/>
              </w:rPr>
              <w:t>4</w:t>
            </w:r>
            <w:r>
              <w:rPr>
                <w:szCs w:val="20"/>
              </w:rPr>
              <w:t>,</w:t>
            </w:r>
            <w:r w:rsidRPr="000D73C6">
              <w:rPr>
                <w:szCs w:val="20"/>
              </w:rPr>
              <w:t>237</w:t>
            </w:r>
          </w:p>
        </w:tc>
      </w:tr>
      <w:tr w:rsidR="0027209A" w:rsidRPr="00390D5D" w14:paraId="34072168" w14:textId="77777777" w:rsidTr="00662938">
        <w:tc>
          <w:tcPr>
            <w:tcW w:w="1369" w:type="pct"/>
          </w:tcPr>
          <w:p w14:paraId="3AC96158" w14:textId="77777777" w:rsidR="0027209A" w:rsidRPr="008D5FF4" w:rsidRDefault="0027209A" w:rsidP="0004326B">
            <w:pPr>
              <w:spacing w:before="80" w:after="80" w:line="240" w:lineRule="auto"/>
              <w:ind w:right="182"/>
              <w:rPr>
                <w:rFonts w:eastAsia="Arial"/>
                <w:b w:val="0"/>
                <w:bCs w:val="0"/>
                <w:color w:val="434242"/>
                <w:szCs w:val="20"/>
                <w:lang w:val="en-GB"/>
              </w:rPr>
            </w:pPr>
            <w:r w:rsidRPr="008D5FF4">
              <w:rPr>
                <w:b w:val="0"/>
                <w:bCs w:val="0"/>
                <w:szCs w:val="20"/>
              </w:rPr>
              <w:t>EIL</w:t>
            </w:r>
          </w:p>
        </w:tc>
        <w:tc>
          <w:tcPr>
            <w:tcW w:w="1210" w:type="pct"/>
            <w:vAlign w:val="bottom"/>
          </w:tcPr>
          <w:p w14:paraId="4FDC496C" w14:textId="1EAFAE80" w:rsidR="0027209A" w:rsidRPr="00662938" w:rsidRDefault="0027209A" w:rsidP="0004326B">
            <w:pPr>
              <w:spacing w:before="80" w:after="80" w:line="240" w:lineRule="auto"/>
              <w:ind w:right="182"/>
              <w:jc w:val="center"/>
              <w:rPr>
                <w:b w:val="0"/>
                <w:bCs w:val="0"/>
                <w:szCs w:val="20"/>
              </w:rPr>
            </w:pPr>
            <w:r w:rsidRPr="00662938">
              <w:rPr>
                <w:color w:val="000000"/>
                <w:szCs w:val="20"/>
              </w:rPr>
              <w:t>3</w:t>
            </w:r>
            <w:r>
              <w:rPr>
                <w:color w:val="000000"/>
                <w:szCs w:val="20"/>
              </w:rPr>
              <w:t>,</w:t>
            </w:r>
            <w:r w:rsidRPr="00662938">
              <w:rPr>
                <w:color w:val="000000"/>
                <w:szCs w:val="20"/>
              </w:rPr>
              <w:t>463</w:t>
            </w:r>
          </w:p>
        </w:tc>
        <w:tc>
          <w:tcPr>
            <w:tcW w:w="1210" w:type="pct"/>
            <w:vAlign w:val="bottom"/>
          </w:tcPr>
          <w:p w14:paraId="50F9959A" w14:textId="10F35814" w:rsidR="0027209A" w:rsidRPr="00662938" w:rsidRDefault="0027209A" w:rsidP="0004326B">
            <w:pPr>
              <w:spacing w:before="80" w:after="80" w:line="240" w:lineRule="auto"/>
              <w:ind w:right="182"/>
              <w:jc w:val="center"/>
              <w:rPr>
                <w:b w:val="0"/>
                <w:bCs w:val="0"/>
                <w:szCs w:val="20"/>
              </w:rPr>
            </w:pPr>
            <w:r w:rsidRPr="00662938">
              <w:rPr>
                <w:color w:val="000000"/>
                <w:szCs w:val="20"/>
              </w:rPr>
              <w:t>4</w:t>
            </w:r>
            <w:r>
              <w:rPr>
                <w:color w:val="000000"/>
                <w:szCs w:val="20"/>
              </w:rPr>
              <w:t>,</w:t>
            </w:r>
            <w:r w:rsidRPr="00662938">
              <w:rPr>
                <w:color w:val="000000"/>
                <w:szCs w:val="20"/>
              </w:rPr>
              <w:t>453</w:t>
            </w:r>
          </w:p>
        </w:tc>
        <w:tc>
          <w:tcPr>
            <w:tcW w:w="1211" w:type="pct"/>
            <w:vAlign w:val="bottom"/>
          </w:tcPr>
          <w:p w14:paraId="11ED238B" w14:textId="77777777" w:rsidR="0027209A" w:rsidRPr="000D73C6" w:rsidRDefault="0027209A" w:rsidP="0004326B">
            <w:pPr>
              <w:spacing w:before="80" w:after="80" w:line="240" w:lineRule="auto"/>
              <w:ind w:right="-82"/>
              <w:jc w:val="center"/>
              <w:rPr>
                <w:b w:val="0"/>
                <w:bCs w:val="0"/>
                <w:szCs w:val="20"/>
              </w:rPr>
            </w:pPr>
            <w:r w:rsidRPr="000D73C6">
              <w:rPr>
                <w:szCs w:val="20"/>
              </w:rPr>
              <w:t>NA</w:t>
            </w:r>
          </w:p>
        </w:tc>
      </w:tr>
      <w:tr w:rsidR="0027209A" w:rsidRPr="00390D5D" w14:paraId="44AC3D06" w14:textId="77777777" w:rsidTr="00662938">
        <w:tc>
          <w:tcPr>
            <w:tcW w:w="1369" w:type="pct"/>
          </w:tcPr>
          <w:p w14:paraId="109955B2" w14:textId="77777777" w:rsidR="0027209A" w:rsidRPr="008D5FF4" w:rsidRDefault="0027209A" w:rsidP="0004326B">
            <w:pPr>
              <w:spacing w:before="80" w:after="80" w:line="240" w:lineRule="auto"/>
              <w:ind w:right="182"/>
              <w:rPr>
                <w:rFonts w:eastAsia="Arial"/>
                <w:b w:val="0"/>
                <w:bCs w:val="0"/>
                <w:color w:val="434242"/>
                <w:szCs w:val="20"/>
                <w:lang w:val="en-GB"/>
              </w:rPr>
            </w:pPr>
            <w:r w:rsidRPr="008D5FF4">
              <w:rPr>
                <w:b w:val="0"/>
                <w:bCs w:val="0"/>
                <w:szCs w:val="20"/>
              </w:rPr>
              <w:t>MECL</w:t>
            </w:r>
          </w:p>
        </w:tc>
        <w:tc>
          <w:tcPr>
            <w:tcW w:w="1210" w:type="pct"/>
            <w:vAlign w:val="bottom"/>
          </w:tcPr>
          <w:p w14:paraId="476886BE" w14:textId="1F6155D2" w:rsidR="0027209A" w:rsidRPr="00662938" w:rsidRDefault="0027209A" w:rsidP="0004326B">
            <w:pPr>
              <w:spacing w:before="80" w:after="80" w:line="240" w:lineRule="auto"/>
              <w:ind w:right="182"/>
              <w:jc w:val="center"/>
              <w:rPr>
                <w:b w:val="0"/>
                <w:bCs w:val="0"/>
                <w:szCs w:val="20"/>
              </w:rPr>
            </w:pPr>
            <w:r w:rsidRPr="00662938">
              <w:rPr>
                <w:color w:val="000000"/>
                <w:szCs w:val="20"/>
              </w:rPr>
              <w:t>140</w:t>
            </w:r>
          </w:p>
        </w:tc>
        <w:tc>
          <w:tcPr>
            <w:tcW w:w="1210" w:type="pct"/>
            <w:vAlign w:val="bottom"/>
          </w:tcPr>
          <w:p w14:paraId="10060E94" w14:textId="72E9EB31" w:rsidR="0027209A" w:rsidRPr="00662938" w:rsidRDefault="0027209A" w:rsidP="0004326B">
            <w:pPr>
              <w:spacing w:before="80" w:after="80" w:line="240" w:lineRule="auto"/>
              <w:ind w:right="182"/>
              <w:jc w:val="center"/>
              <w:rPr>
                <w:b w:val="0"/>
                <w:bCs w:val="0"/>
                <w:szCs w:val="20"/>
              </w:rPr>
            </w:pPr>
            <w:r w:rsidRPr="00662938">
              <w:rPr>
                <w:color w:val="000000"/>
                <w:szCs w:val="20"/>
              </w:rPr>
              <w:t>800</w:t>
            </w:r>
          </w:p>
        </w:tc>
        <w:tc>
          <w:tcPr>
            <w:tcW w:w="1211" w:type="pct"/>
            <w:vAlign w:val="bottom"/>
          </w:tcPr>
          <w:p w14:paraId="5369F84A" w14:textId="5D3C12E7" w:rsidR="0027209A" w:rsidRPr="000D73C6" w:rsidRDefault="0027209A" w:rsidP="0004326B">
            <w:pPr>
              <w:spacing w:before="80" w:after="80" w:line="240" w:lineRule="auto"/>
              <w:ind w:right="-82"/>
              <w:jc w:val="center"/>
              <w:rPr>
                <w:b w:val="0"/>
                <w:bCs w:val="0"/>
                <w:szCs w:val="20"/>
              </w:rPr>
            </w:pPr>
            <w:r>
              <w:rPr>
                <w:szCs w:val="20"/>
              </w:rPr>
              <w:t>421*</w:t>
            </w:r>
          </w:p>
        </w:tc>
      </w:tr>
      <w:tr w:rsidR="0027209A" w:rsidRPr="00390D5D" w14:paraId="23F23583" w14:textId="77777777" w:rsidTr="00662938">
        <w:tc>
          <w:tcPr>
            <w:tcW w:w="1369" w:type="pct"/>
          </w:tcPr>
          <w:p w14:paraId="1EADE2A7" w14:textId="77777777" w:rsidR="0027209A" w:rsidRPr="008D5FF4" w:rsidRDefault="0027209A" w:rsidP="0004326B">
            <w:pPr>
              <w:spacing w:before="80" w:after="80" w:line="240" w:lineRule="auto"/>
              <w:ind w:right="-82"/>
              <w:rPr>
                <w:rFonts w:eastAsia="Arial"/>
                <w:b w:val="0"/>
                <w:bCs w:val="0"/>
                <w:color w:val="434242"/>
                <w:szCs w:val="20"/>
                <w:lang w:val="en-GB"/>
              </w:rPr>
            </w:pPr>
            <w:r w:rsidRPr="008D5FF4">
              <w:rPr>
                <w:b w:val="0"/>
                <w:bCs w:val="0"/>
                <w:szCs w:val="20"/>
              </w:rPr>
              <w:t>MECON</w:t>
            </w:r>
          </w:p>
        </w:tc>
        <w:tc>
          <w:tcPr>
            <w:tcW w:w="1210" w:type="pct"/>
            <w:vAlign w:val="bottom"/>
          </w:tcPr>
          <w:p w14:paraId="0CC90C6B" w14:textId="019082F9" w:rsidR="0027209A" w:rsidRPr="00662938" w:rsidRDefault="0027209A" w:rsidP="0004326B">
            <w:pPr>
              <w:spacing w:before="80" w:after="80" w:line="240" w:lineRule="auto"/>
              <w:ind w:right="182"/>
              <w:jc w:val="center"/>
              <w:rPr>
                <w:b w:val="0"/>
                <w:bCs w:val="0"/>
                <w:szCs w:val="20"/>
              </w:rPr>
            </w:pPr>
            <w:r w:rsidRPr="00662938">
              <w:rPr>
                <w:color w:val="000000"/>
                <w:szCs w:val="20"/>
              </w:rPr>
              <w:t>310</w:t>
            </w:r>
          </w:p>
        </w:tc>
        <w:tc>
          <w:tcPr>
            <w:tcW w:w="1210" w:type="pct"/>
            <w:vAlign w:val="bottom"/>
          </w:tcPr>
          <w:p w14:paraId="17EE2397" w14:textId="4F2443AE" w:rsidR="0027209A" w:rsidRPr="00662938" w:rsidRDefault="0027209A" w:rsidP="0004326B">
            <w:pPr>
              <w:spacing w:before="80" w:after="80" w:line="240" w:lineRule="auto"/>
              <w:ind w:right="182"/>
              <w:jc w:val="center"/>
              <w:rPr>
                <w:b w:val="0"/>
                <w:bCs w:val="0"/>
                <w:szCs w:val="20"/>
              </w:rPr>
            </w:pPr>
            <w:r w:rsidRPr="00662938">
              <w:rPr>
                <w:color w:val="000000"/>
                <w:szCs w:val="20"/>
              </w:rPr>
              <w:t>245</w:t>
            </w:r>
          </w:p>
        </w:tc>
        <w:tc>
          <w:tcPr>
            <w:tcW w:w="1211" w:type="pct"/>
            <w:vAlign w:val="bottom"/>
          </w:tcPr>
          <w:p w14:paraId="25D81AFC" w14:textId="77777777" w:rsidR="0027209A" w:rsidRPr="000D73C6" w:rsidRDefault="0027209A" w:rsidP="0004326B">
            <w:pPr>
              <w:spacing w:before="80" w:after="80" w:line="240" w:lineRule="auto"/>
              <w:ind w:right="-82"/>
              <w:jc w:val="center"/>
              <w:rPr>
                <w:b w:val="0"/>
                <w:bCs w:val="0"/>
                <w:szCs w:val="20"/>
              </w:rPr>
            </w:pPr>
            <w:r w:rsidRPr="000D73C6">
              <w:rPr>
                <w:szCs w:val="20"/>
              </w:rPr>
              <w:t>NA</w:t>
            </w:r>
          </w:p>
        </w:tc>
      </w:tr>
    </w:tbl>
    <w:p w14:paraId="531AB1DC" w14:textId="3A404144" w:rsidR="00C7511A" w:rsidRDefault="00C7511A" w:rsidP="00662938">
      <w:pPr>
        <w:pStyle w:val="Source"/>
        <w:spacing w:after="0"/>
        <w:ind w:right="187"/>
      </w:pPr>
      <w:r w:rsidRPr="00FF440B">
        <w:t xml:space="preserve">Source: </w:t>
      </w:r>
      <w:r w:rsidRPr="005E100B">
        <w:t xml:space="preserve">Company Annual Reports, </w:t>
      </w:r>
      <w:r w:rsidR="00756EAE">
        <w:t xml:space="preserve">Annual Report of Ministry of Mines; </w:t>
      </w:r>
      <w:r w:rsidRPr="005E100B">
        <w:t>all years are fiscal</w:t>
      </w:r>
    </w:p>
    <w:p w14:paraId="76022A4B" w14:textId="4E14AB23" w:rsidR="00756EAE" w:rsidRDefault="00756EAE" w:rsidP="00662938">
      <w:pPr>
        <w:pStyle w:val="Source"/>
        <w:spacing w:before="0"/>
        <w:ind w:right="187"/>
      </w:pPr>
      <w:r>
        <w:t>*up</w:t>
      </w:r>
      <w:r w:rsidR="003B4BF5">
        <w:t xml:space="preserve"> </w:t>
      </w:r>
      <w:r>
        <w:t>to Dember 2024</w:t>
      </w:r>
    </w:p>
    <w:p w14:paraId="42262E92" w14:textId="102BB033" w:rsidR="00C7511A" w:rsidRDefault="00DB59CD" w:rsidP="00C7511A">
      <w:pPr>
        <w:ind w:right="182"/>
      </w:pPr>
      <w:r>
        <w:t>CMPDIL</w:t>
      </w:r>
      <w:r w:rsidR="00C7511A">
        <w:t xml:space="preserve">’s PAT growth shows resilience in the coal consultancy sector, potentially due to increased domestic coal production and </w:t>
      </w:r>
      <w:r w:rsidR="006A6E39">
        <w:t xml:space="preserve">the </w:t>
      </w:r>
      <w:r w:rsidR="00C7511A">
        <w:t>government’s push for the development of coal sector. Mining-focused firms like MECL and MECON experience higher volatility due to fluctuating exploration demand. Infrastructure-linked firms like RITES and EIL have seen declining profits, possibly due to economic c</w:t>
      </w:r>
      <w:r w:rsidR="007C0299">
        <w:t>hanges</w:t>
      </w:r>
      <w:r w:rsidR="00C7511A">
        <w:t xml:space="preserve">. </w:t>
      </w:r>
      <w:r>
        <w:t>CMPDIL</w:t>
      </w:r>
      <w:r w:rsidR="00C7511A">
        <w:t xml:space="preserve">’s strong PAT growth while its peers struggle indicate critical role of coal in India’s energy needs </w:t>
      </w:r>
      <w:r w:rsidR="00F14CCF">
        <w:t>which is evident from the strong PAT margins of 31% in fiscal 2025.</w:t>
      </w:r>
    </w:p>
    <w:p w14:paraId="0E60A22D" w14:textId="4708675E" w:rsidR="00D20948" w:rsidRDefault="00D20948" w:rsidP="00662938">
      <w:pPr>
        <w:pStyle w:val="Heading30"/>
        <w:ind w:right="182"/>
      </w:pPr>
      <w:r>
        <w:t>PAT Margins</w:t>
      </w:r>
    </w:p>
    <w:p w14:paraId="324222F7" w14:textId="07EB1724" w:rsidR="00D20948" w:rsidRPr="00924217" w:rsidRDefault="00D20948" w:rsidP="00D20948">
      <w:pPr>
        <w:ind w:right="182"/>
      </w:pPr>
      <w:r>
        <w:t>CMPDIL has demonstrated a strong improvement in its profitability, with its PAT margins</w:t>
      </w:r>
      <w:r w:rsidR="0098380A">
        <w:rPr>
          <w:rStyle w:val="FootnoteReference"/>
        </w:rPr>
        <w:footnoteReference w:id="67"/>
      </w:r>
      <w:r>
        <w:t xml:space="preserve"> increasing from 21% in 2023</w:t>
      </w:r>
      <w:r w:rsidR="00A34A3A">
        <w:t xml:space="preserve"> to 28% in 2024</w:t>
      </w:r>
      <w:r>
        <w:t xml:space="preserve"> and 31% in 2025. This significant growth in PAT margins is a testament to the company's efficient operations and effective cost management. In comparison, </w:t>
      </w:r>
      <w:r w:rsidR="008459A2">
        <w:t>RITES' PAT margins have declined from 2</w:t>
      </w:r>
      <w:r w:rsidR="00A34A3A">
        <w:t>1</w:t>
      </w:r>
      <w:r w:rsidR="008459A2">
        <w:t>% in 202</w:t>
      </w:r>
      <w:r w:rsidR="00A34A3A">
        <w:t>3</w:t>
      </w:r>
      <w:r w:rsidR="008459A2">
        <w:t xml:space="preserve"> to 18% in 2025, while </w:t>
      </w:r>
      <w:r>
        <w:t xml:space="preserve">EIL's PAT margins have </w:t>
      </w:r>
      <w:r w:rsidR="00A34A3A">
        <w:t xml:space="preserve">increased </w:t>
      </w:r>
      <w:r>
        <w:t>from 1</w:t>
      </w:r>
      <w:r w:rsidR="00A34A3A">
        <w:t>0</w:t>
      </w:r>
      <w:r>
        <w:t>% in 202</w:t>
      </w:r>
      <w:r w:rsidR="00A34A3A">
        <w:t>3</w:t>
      </w:r>
      <w:r>
        <w:t xml:space="preserve"> to </w:t>
      </w:r>
      <w:r w:rsidR="008459A2">
        <w:t>13</w:t>
      </w:r>
      <w:r>
        <w:t xml:space="preserve">% in 2024. MECL's PAT margins have </w:t>
      </w:r>
      <w:r w:rsidR="00BC58C9">
        <w:t xml:space="preserve">significantly increased </w:t>
      </w:r>
      <w:r>
        <w:t xml:space="preserve">from </w:t>
      </w:r>
      <w:r w:rsidR="00BC58C9">
        <w:t>6%</w:t>
      </w:r>
      <w:r>
        <w:t xml:space="preserve"> in 202</w:t>
      </w:r>
      <w:r w:rsidR="00BC58C9">
        <w:t>3</w:t>
      </w:r>
      <w:r w:rsidR="008459A2">
        <w:t xml:space="preserve"> </w:t>
      </w:r>
      <w:r>
        <w:t>to 2</w:t>
      </w:r>
      <w:r w:rsidR="008459A2">
        <w:t>3</w:t>
      </w:r>
      <w:r>
        <w:t xml:space="preserve">% in 2024, while MECON's margins have </w:t>
      </w:r>
      <w:r w:rsidR="008459A2">
        <w:t>de</w:t>
      </w:r>
      <w:r>
        <w:t xml:space="preserve">creased from </w:t>
      </w:r>
      <w:r w:rsidR="00BC58C9">
        <w:t>3</w:t>
      </w:r>
      <w:r>
        <w:t>% in 202</w:t>
      </w:r>
      <w:r w:rsidR="00BC58C9">
        <w:t>3</w:t>
      </w:r>
      <w:r>
        <w:t xml:space="preserve"> to 2% in 2024. Overall, CMPDIL's strong PAT margin growth demonstrates its ability to maintain profitability and drive growth in a competitive market.</w:t>
      </w:r>
    </w:p>
    <w:p w14:paraId="3BB08DD9" w14:textId="07A78028" w:rsidR="009A1A87" w:rsidRDefault="009A1A87" w:rsidP="009A1A87">
      <w:pPr>
        <w:pStyle w:val="Caption"/>
        <w:ind w:right="182"/>
      </w:pPr>
      <w:bookmarkStart w:id="6616" w:name="_Toc198731471"/>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10</w:t>
      </w:r>
      <w:r w:rsidRPr="000174A7">
        <w:fldChar w:fldCharType="end"/>
      </w:r>
      <w:r>
        <w:t xml:space="preserve"> </w:t>
      </w:r>
      <w:r w:rsidR="001A73FD">
        <w:t>PAT</w:t>
      </w:r>
      <w:r>
        <w:t xml:space="preserve"> margins (% of Total Income)</w:t>
      </w:r>
      <w:bookmarkEnd w:id="6616"/>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EE711F" w:rsidRPr="008D5FF4" w14:paraId="47153636" w14:textId="77777777" w:rsidTr="00662938">
        <w:trPr>
          <w:tblHeader/>
        </w:trPr>
        <w:tc>
          <w:tcPr>
            <w:tcW w:w="1432" w:type="pct"/>
            <w:shd w:val="clear" w:color="auto" w:fill="156082" w:themeFill="accent1"/>
            <w:vAlign w:val="center"/>
          </w:tcPr>
          <w:p w14:paraId="7F3EA1B5" w14:textId="77777777" w:rsidR="00EE711F" w:rsidRPr="008D5FF4" w:rsidRDefault="00EE711F"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15251191" w14:textId="77777777" w:rsidR="00EE711F" w:rsidRPr="008D5FF4" w:rsidRDefault="00EE711F"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4A1FB4B4" w14:textId="77777777" w:rsidR="00EE711F" w:rsidRPr="008D5FF4" w:rsidRDefault="00EE711F"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3D642CBD" w14:textId="77777777" w:rsidR="00EE711F" w:rsidRPr="008D5FF4" w:rsidRDefault="00EE711F" w:rsidP="007A575F">
            <w:pPr>
              <w:spacing w:before="80" w:after="80" w:line="240" w:lineRule="auto"/>
              <w:ind w:right="-82"/>
              <w:jc w:val="center"/>
              <w:rPr>
                <w:color w:val="FFFFFF"/>
                <w:szCs w:val="20"/>
                <w:lang w:val="en-GB"/>
              </w:rPr>
            </w:pPr>
            <w:r>
              <w:rPr>
                <w:color w:val="FFFFFF"/>
                <w:szCs w:val="20"/>
                <w:lang w:val="en-GB"/>
              </w:rPr>
              <w:t>2025</w:t>
            </w:r>
          </w:p>
        </w:tc>
      </w:tr>
      <w:tr w:rsidR="00EE711F" w:rsidRPr="008D5FF4" w14:paraId="020BE214" w14:textId="77777777" w:rsidTr="00662938">
        <w:tc>
          <w:tcPr>
            <w:tcW w:w="1432" w:type="pct"/>
            <w:shd w:val="clear" w:color="auto" w:fill="C9D8E1"/>
          </w:tcPr>
          <w:p w14:paraId="13CD9082" w14:textId="77777777" w:rsidR="00EE711F" w:rsidRPr="008D5FF4" w:rsidRDefault="00EE711F" w:rsidP="001A73FD">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7DCA4788" w14:textId="04780661" w:rsidR="00EE711F" w:rsidRPr="00662938" w:rsidRDefault="00EE711F" w:rsidP="001A73FD">
            <w:pPr>
              <w:spacing w:before="80" w:after="80" w:line="240" w:lineRule="auto"/>
              <w:ind w:right="182"/>
              <w:jc w:val="center"/>
              <w:rPr>
                <w:b w:val="0"/>
                <w:bCs w:val="0"/>
                <w:szCs w:val="20"/>
              </w:rPr>
            </w:pPr>
            <w:r w:rsidRPr="00662938">
              <w:rPr>
                <w:color w:val="000000"/>
                <w:szCs w:val="20"/>
              </w:rPr>
              <w:t>21%</w:t>
            </w:r>
          </w:p>
        </w:tc>
        <w:tc>
          <w:tcPr>
            <w:tcW w:w="1270" w:type="pct"/>
            <w:shd w:val="clear" w:color="auto" w:fill="C9D8E1"/>
            <w:vAlign w:val="bottom"/>
          </w:tcPr>
          <w:p w14:paraId="542718C0" w14:textId="19D046F0" w:rsidR="00EE711F" w:rsidRPr="00662938" w:rsidRDefault="00EE711F" w:rsidP="001A73FD">
            <w:pPr>
              <w:spacing w:before="80" w:after="80" w:line="240" w:lineRule="auto"/>
              <w:ind w:right="182"/>
              <w:jc w:val="center"/>
              <w:rPr>
                <w:b w:val="0"/>
                <w:bCs w:val="0"/>
                <w:szCs w:val="20"/>
              </w:rPr>
            </w:pPr>
            <w:r w:rsidRPr="00662938">
              <w:rPr>
                <w:color w:val="000000"/>
                <w:szCs w:val="20"/>
              </w:rPr>
              <w:t>28%</w:t>
            </w:r>
          </w:p>
        </w:tc>
        <w:tc>
          <w:tcPr>
            <w:tcW w:w="1025" w:type="pct"/>
            <w:shd w:val="clear" w:color="auto" w:fill="C9D8E1"/>
            <w:vAlign w:val="bottom"/>
          </w:tcPr>
          <w:p w14:paraId="7AED70C3" w14:textId="21EA6A58" w:rsidR="00EE711F" w:rsidRPr="00662938" w:rsidRDefault="00EE711F" w:rsidP="001A73FD">
            <w:pPr>
              <w:spacing w:before="80" w:after="80" w:line="240" w:lineRule="auto"/>
              <w:ind w:right="-82"/>
              <w:jc w:val="center"/>
              <w:rPr>
                <w:b w:val="0"/>
                <w:bCs w:val="0"/>
                <w:szCs w:val="20"/>
              </w:rPr>
            </w:pPr>
            <w:r w:rsidRPr="000D73C6">
              <w:rPr>
                <w:szCs w:val="20"/>
              </w:rPr>
              <w:t>31%</w:t>
            </w:r>
          </w:p>
        </w:tc>
      </w:tr>
      <w:tr w:rsidR="00EE711F" w:rsidRPr="008D5FF4" w14:paraId="304B0779" w14:textId="77777777" w:rsidTr="00662938">
        <w:tc>
          <w:tcPr>
            <w:tcW w:w="1432" w:type="pct"/>
          </w:tcPr>
          <w:p w14:paraId="1CECC8D9" w14:textId="77777777" w:rsidR="00EE711F" w:rsidRPr="008D5FF4" w:rsidRDefault="00EE711F" w:rsidP="00F14CCF">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308D2523" w14:textId="1F56B7E1" w:rsidR="00EE711F" w:rsidRPr="00662938" w:rsidRDefault="00EE711F" w:rsidP="00F14CCF">
            <w:pPr>
              <w:spacing w:before="80" w:after="80" w:line="240" w:lineRule="auto"/>
              <w:ind w:right="182"/>
              <w:jc w:val="center"/>
              <w:rPr>
                <w:b w:val="0"/>
                <w:bCs w:val="0"/>
                <w:szCs w:val="20"/>
              </w:rPr>
            </w:pPr>
            <w:r w:rsidRPr="00662938">
              <w:rPr>
                <w:color w:val="000000"/>
                <w:szCs w:val="20"/>
              </w:rPr>
              <w:t>21%</w:t>
            </w:r>
          </w:p>
        </w:tc>
        <w:tc>
          <w:tcPr>
            <w:tcW w:w="1270" w:type="pct"/>
            <w:vAlign w:val="bottom"/>
          </w:tcPr>
          <w:p w14:paraId="31D67FE4" w14:textId="089FD6AC" w:rsidR="00EE711F" w:rsidRPr="00662938" w:rsidRDefault="00EE711F" w:rsidP="00F14CCF">
            <w:pPr>
              <w:spacing w:before="80" w:after="80" w:line="240" w:lineRule="auto"/>
              <w:ind w:right="182"/>
              <w:jc w:val="center"/>
              <w:rPr>
                <w:b w:val="0"/>
                <w:bCs w:val="0"/>
                <w:szCs w:val="20"/>
              </w:rPr>
            </w:pPr>
            <w:r w:rsidRPr="00662938">
              <w:rPr>
                <w:color w:val="000000"/>
                <w:szCs w:val="20"/>
              </w:rPr>
              <w:t>20%</w:t>
            </w:r>
          </w:p>
        </w:tc>
        <w:tc>
          <w:tcPr>
            <w:tcW w:w="1025" w:type="pct"/>
            <w:vAlign w:val="bottom"/>
          </w:tcPr>
          <w:p w14:paraId="0CF50EF2" w14:textId="1263D024" w:rsidR="00EE711F" w:rsidRPr="00662938" w:rsidRDefault="00EE711F" w:rsidP="00F14CCF">
            <w:pPr>
              <w:spacing w:before="80" w:after="80" w:line="240" w:lineRule="auto"/>
              <w:ind w:right="-82"/>
              <w:jc w:val="center"/>
              <w:rPr>
                <w:b w:val="0"/>
                <w:bCs w:val="0"/>
                <w:szCs w:val="20"/>
              </w:rPr>
            </w:pPr>
            <w:r w:rsidRPr="000D73C6">
              <w:rPr>
                <w:szCs w:val="20"/>
              </w:rPr>
              <w:t>18%</w:t>
            </w:r>
          </w:p>
        </w:tc>
      </w:tr>
      <w:tr w:rsidR="00EE711F" w:rsidRPr="008D5FF4" w14:paraId="4DEA102D" w14:textId="77777777" w:rsidTr="00662938">
        <w:tc>
          <w:tcPr>
            <w:tcW w:w="1432" w:type="pct"/>
          </w:tcPr>
          <w:p w14:paraId="496A7137" w14:textId="77777777" w:rsidR="00EE711F" w:rsidRPr="008D5FF4" w:rsidRDefault="00EE711F" w:rsidP="001A73FD">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571624F9" w14:textId="00A12A71" w:rsidR="00EE711F" w:rsidRPr="00662938" w:rsidRDefault="00EE711F" w:rsidP="001A73FD">
            <w:pPr>
              <w:spacing w:before="80" w:after="80" w:line="240" w:lineRule="auto"/>
              <w:ind w:right="182"/>
              <w:jc w:val="center"/>
              <w:rPr>
                <w:b w:val="0"/>
                <w:bCs w:val="0"/>
                <w:szCs w:val="20"/>
              </w:rPr>
            </w:pPr>
            <w:r w:rsidRPr="00662938">
              <w:rPr>
                <w:color w:val="000000"/>
                <w:szCs w:val="20"/>
              </w:rPr>
              <w:t>10%</w:t>
            </w:r>
          </w:p>
        </w:tc>
        <w:tc>
          <w:tcPr>
            <w:tcW w:w="1270" w:type="pct"/>
            <w:vAlign w:val="bottom"/>
          </w:tcPr>
          <w:p w14:paraId="07954AE3" w14:textId="2D516BA3" w:rsidR="00EE711F" w:rsidRPr="00662938" w:rsidRDefault="00EE711F" w:rsidP="001A73FD">
            <w:pPr>
              <w:spacing w:before="80" w:after="80" w:line="240" w:lineRule="auto"/>
              <w:ind w:right="182"/>
              <w:jc w:val="center"/>
              <w:rPr>
                <w:b w:val="0"/>
                <w:bCs w:val="0"/>
                <w:szCs w:val="20"/>
              </w:rPr>
            </w:pPr>
            <w:r w:rsidRPr="00662938">
              <w:rPr>
                <w:color w:val="000000"/>
                <w:szCs w:val="20"/>
              </w:rPr>
              <w:t>13%</w:t>
            </w:r>
          </w:p>
        </w:tc>
        <w:tc>
          <w:tcPr>
            <w:tcW w:w="1025" w:type="pct"/>
            <w:vAlign w:val="bottom"/>
          </w:tcPr>
          <w:p w14:paraId="0566A58F" w14:textId="77777777" w:rsidR="00EE711F" w:rsidRPr="00662938" w:rsidRDefault="00EE711F" w:rsidP="001A73FD">
            <w:pPr>
              <w:spacing w:before="80" w:after="80" w:line="240" w:lineRule="auto"/>
              <w:ind w:right="-82"/>
              <w:jc w:val="center"/>
              <w:rPr>
                <w:b w:val="0"/>
                <w:bCs w:val="0"/>
                <w:szCs w:val="20"/>
              </w:rPr>
            </w:pPr>
            <w:r w:rsidRPr="000D73C6">
              <w:rPr>
                <w:szCs w:val="20"/>
              </w:rPr>
              <w:t>NA</w:t>
            </w:r>
          </w:p>
        </w:tc>
      </w:tr>
      <w:tr w:rsidR="00EE711F" w:rsidRPr="008D5FF4" w14:paraId="2DCE6531" w14:textId="77777777" w:rsidTr="00662938">
        <w:tc>
          <w:tcPr>
            <w:tcW w:w="1432" w:type="pct"/>
          </w:tcPr>
          <w:p w14:paraId="277B7527" w14:textId="77777777" w:rsidR="00EE711F" w:rsidRPr="008D5FF4" w:rsidRDefault="00EE711F" w:rsidP="001A73FD">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1BB138B9" w14:textId="1A40B591" w:rsidR="00EE711F" w:rsidRPr="00662938" w:rsidRDefault="00EE711F" w:rsidP="001A73FD">
            <w:pPr>
              <w:spacing w:before="80" w:after="80" w:line="240" w:lineRule="auto"/>
              <w:ind w:right="182"/>
              <w:jc w:val="center"/>
              <w:rPr>
                <w:b w:val="0"/>
                <w:bCs w:val="0"/>
                <w:szCs w:val="20"/>
              </w:rPr>
            </w:pPr>
            <w:r w:rsidRPr="00662938">
              <w:rPr>
                <w:color w:val="000000"/>
                <w:szCs w:val="20"/>
              </w:rPr>
              <w:t>6%</w:t>
            </w:r>
          </w:p>
        </w:tc>
        <w:tc>
          <w:tcPr>
            <w:tcW w:w="1270" w:type="pct"/>
            <w:vAlign w:val="bottom"/>
          </w:tcPr>
          <w:p w14:paraId="78D9E041" w14:textId="025485F4" w:rsidR="00EE711F" w:rsidRPr="00662938" w:rsidRDefault="00EE711F" w:rsidP="001A73FD">
            <w:pPr>
              <w:spacing w:before="80" w:after="80" w:line="240" w:lineRule="auto"/>
              <w:ind w:right="182"/>
              <w:jc w:val="center"/>
              <w:rPr>
                <w:b w:val="0"/>
                <w:bCs w:val="0"/>
                <w:szCs w:val="20"/>
              </w:rPr>
            </w:pPr>
            <w:r w:rsidRPr="00662938">
              <w:rPr>
                <w:color w:val="000000"/>
                <w:szCs w:val="20"/>
              </w:rPr>
              <w:t>23%</w:t>
            </w:r>
          </w:p>
        </w:tc>
        <w:tc>
          <w:tcPr>
            <w:tcW w:w="1025" w:type="pct"/>
            <w:vAlign w:val="bottom"/>
          </w:tcPr>
          <w:p w14:paraId="597D0FA7" w14:textId="77777777" w:rsidR="00EE711F" w:rsidRPr="00662938" w:rsidRDefault="00EE711F" w:rsidP="001A73FD">
            <w:pPr>
              <w:spacing w:before="80" w:after="80" w:line="240" w:lineRule="auto"/>
              <w:ind w:right="-82"/>
              <w:jc w:val="center"/>
              <w:rPr>
                <w:b w:val="0"/>
                <w:bCs w:val="0"/>
                <w:szCs w:val="20"/>
              </w:rPr>
            </w:pPr>
            <w:r w:rsidRPr="000D73C6">
              <w:rPr>
                <w:szCs w:val="20"/>
              </w:rPr>
              <w:t>NA</w:t>
            </w:r>
          </w:p>
        </w:tc>
      </w:tr>
      <w:tr w:rsidR="00EE711F" w:rsidRPr="008D5FF4" w14:paraId="0F18D179" w14:textId="77777777" w:rsidTr="00662938">
        <w:tc>
          <w:tcPr>
            <w:tcW w:w="1432" w:type="pct"/>
          </w:tcPr>
          <w:p w14:paraId="620CD560" w14:textId="77777777" w:rsidR="00EE711F" w:rsidRPr="008D5FF4" w:rsidRDefault="00EE711F" w:rsidP="001A73FD">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4D546A47" w14:textId="7E137E60" w:rsidR="00EE711F" w:rsidRPr="00662938" w:rsidRDefault="00EE711F" w:rsidP="001A73FD">
            <w:pPr>
              <w:spacing w:before="80" w:after="80" w:line="240" w:lineRule="auto"/>
              <w:ind w:right="182"/>
              <w:jc w:val="center"/>
              <w:rPr>
                <w:b w:val="0"/>
                <w:bCs w:val="0"/>
                <w:szCs w:val="20"/>
              </w:rPr>
            </w:pPr>
            <w:r w:rsidRPr="00662938">
              <w:rPr>
                <w:color w:val="000000"/>
                <w:szCs w:val="20"/>
              </w:rPr>
              <w:t>3%</w:t>
            </w:r>
          </w:p>
        </w:tc>
        <w:tc>
          <w:tcPr>
            <w:tcW w:w="1270" w:type="pct"/>
            <w:vAlign w:val="bottom"/>
          </w:tcPr>
          <w:p w14:paraId="3A7DF465" w14:textId="689B4F7D" w:rsidR="00EE711F" w:rsidRPr="00662938" w:rsidRDefault="00EE711F" w:rsidP="001A73FD">
            <w:pPr>
              <w:spacing w:before="80" w:after="80" w:line="240" w:lineRule="auto"/>
              <w:ind w:right="182"/>
              <w:jc w:val="center"/>
              <w:rPr>
                <w:b w:val="0"/>
                <w:bCs w:val="0"/>
                <w:szCs w:val="20"/>
              </w:rPr>
            </w:pPr>
            <w:r w:rsidRPr="00662938">
              <w:rPr>
                <w:color w:val="000000"/>
                <w:szCs w:val="20"/>
              </w:rPr>
              <w:t>2%</w:t>
            </w:r>
          </w:p>
        </w:tc>
        <w:tc>
          <w:tcPr>
            <w:tcW w:w="1025" w:type="pct"/>
            <w:vAlign w:val="bottom"/>
          </w:tcPr>
          <w:p w14:paraId="0D158EED" w14:textId="77777777" w:rsidR="00EE711F" w:rsidRPr="00662938" w:rsidRDefault="00EE711F" w:rsidP="001A73FD">
            <w:pPr>
              <w:spacing w:before="80" w:after="80" w:line="240" w:lineRule="auto"/>
              <w:ind w:right="-82"/>
              <w:jc w:val="center"/>
              <w:rPr>
                <w:b w:val="0"/>
                <w:bCs w:val="0"/>
                <w:szCs w:val="20"/>
              </w:rPr>
            </w:pPr>
            <w:r w:rsidRPr="000D73C6">
              <w:rPr>
                <w:szCs w:val="20"/>
              </w:rPr>
              <w:t>NA</w:t>
            </w:r>
          </w:p>
        </w:tc>
      </w:tr>
    </w:tbl>
    <w:p w14:paraId="4628CB59" w14:textId="77777777" w:rsidR="009A1A87" w:rsidRDefault="009A1A87" w:rsidP="009A1A87">
      <w:pPr>
        <w:pStyle w:val="Source"/>
        <w:ind w:right="182"/>
      </w:pPr>
      <w:r w:rsidRPr="00FF440B">
        <w:t xml:space="preserve">Source: </w:t>
      </w:r>
      <w:r w:rsidRPr="00E37ECA">
        <w:t>Company Annual Reports, all years are fiscal,</w:t>
      </w:r>
      <w:r>
        <w:t xml:space="preserve"> </w:t>
      </w:r>
      <w:r w:rsidRPr="00BD2973">
        <w:t>NA- Not Available</w:t>
      </w:r>
    </w:p>
    <w:p w14:paraId="30FA3FC4" w14:textId="6F9F8D4A" w:rsidR="00A1723A" w:rsidRDefault="00A1723A" w:rsidP="00662938">
      <w:pPr>
        <w:pStyle w:val="Heading30"/>
        <w:ind w:right="182"/>
      </w:pPr>
      <w:r>
        <w:t xml:space="preserve">Return on </w:t>
      </w:r>
      <w:r w:rsidRPr="00D04237">
        <w:t>Equity</w:t>
      </w:r>
      <w:r>
        <w:t xml:space="preserve"> (ROAE)</w:t>
      </w:r>
    </w:p>
    <w:p w14:paraId="7731CD77" w14:textId="0F584E18" w:rsidR="00F8791D" w:rsidRPr="0070477B" w:rsidRDefault="00F8791D" w:rsidP="00F8791D">
      <w:pPr>
        <w:ind w:right="182"/>
      </w:pPr>
      <w:r>
        <w:t>CMPDIL</w:t>
      </w:r>
      <w:r w:rsidRPr="0070477B">
        <w:t xml:space="preserve"> has delivered a strong return on equity, with its RO</w:t>
      </w:r>
      <w:r>
        <w:t>A</w:t>
      </w:r>
      <w:r w:rsidRPr="0070477B">
        <w:t>E</w:t>
      </w:r>
      <w:r w:rsidR="00390563">
        <w:rPr>
          <w:rStyle w:val="FootnoteReference"/>
        </w:rPr>
        <w:footnoteReference w:id="68"/>
      </w:r>
      <w:r w:rsidRPr="0070477B">
        <w:t xml:space="preserve"> increasing from 2</w:t>
      </w:r>
      <w:r>
        <w:t>7</w:t>
      </w:r>
      <w:r w:rsidRPr="0070477B">
        <w:t>% in 2023</w:t>
      </w:r>
      <w:r w:rsidR="00BC58C9">
        <w:t xml:space="preserve"> to 36% in 2024 </w:t>
      </w:r>
      <w:r w:rsidRPr="0070477B">
        <w:t>and then to 3</w:t>
      </w:r>
      <w:r>
        <w:t>7</w:t>
      </w:r>
      <w:r w:rsidRPr="0070477B">
        <w:t>% in 202</w:t>
      </w:r>
      <w:r>
        <w:t>5</w:t>
      </w:r>
      <w:r w:rsidRPr="0070477B">
        <w:t xml:space="preserve">. This impressive return on equity demonstrates the company's ability to generate strong profits from its shareholders' capital. In comparison, </w:t>
      </w:r>
      <w:r w:rsidR="00880660" w:rsidRPr="0070477B">
        <w:t>RITES' RO</w:t>
      </w:r>
      <w:r w:rsidR="00880660">
        <w:t>A</w:t>
      </w:r>
      <w:r w:rsidR="00880660" w:rsidRPr="0070477B">
        <w:t xml:space="preserve">E has </w:t>
      </w:r>
      <w:r w:rsidR="00880660">
        <w:t>declined</w:t>
      </w:r>
      <w:r w:rsidR="00880660" w:rsidRPr="0070477B">
        <w:t xml:space="preserve"> from </w:t>
      </w:r>
      <w:r w:rsidR="00BC58C9">
        <w:t>21</w:t>
      </w:r>
      <w:r w:rsidR="00880660" w:rsidRPr="0070477B">
        <w:t>% in 202</w:t>
      </w:r>
      <w:r w:rsidR="00BC58C9">
        <w:t>3</w:t>
      </w:r>
      <w:r w:rsidR="00880660" w:rsidRPr="0070477B">
        <w:t xml:space="preserve"> to </w:t>
      </w:r>
      <w:r w:rsidR="00880660">
        <w:t>15</w:t>
      </w:r>
      <w:r w:rsidR="00880660" w:rsidRPr="0070477B">
        <w:t>% in 202</w:t>
      </w:r>
      <w:r w:rsidR="00880660">
        <w:t xml:space="preserve">5, while </w:t>
      </w:r>
      <w:r w:rsidRPr="0070477B">
        <w:t>EIL's RO</w:t>
      </w:r>
      <w:r w:rsidR="00375983">
        <w:t>A</w:t>
      </w:r>
      <w:r w:rsidRPr="0070477B">
        <w:t xml:space="preserve">E has </w:t>
      </w:r>
      <w:r w:rsidR="00BC58C9">
        <w:t>increased from 19</w:t>
      </w:r>
      <w:r w:rsidRPr="0070477B">
        <w:t>% in 202</w:t>
      </w:r>
      <w:r w:rsidR="00BC58C9">
        <w:t>3</w:t>
      </w:r>
      <w:r w:rsidRPr="0070477B">
        <w:t xml:space="preserve"> to </w:t>
      </w:r>
      <w:r w:rsidR="00880660">
        <w:t>21</w:t>
      </w:r>
      <w:r w:rsidRPr="0070477B">
        <w:t>% in 2024. MECL's RO</w:t>
      </w:r>
      <w:r w:rsidR="00375983">
        <w:t>A</w:t>
      </w:r>
      <w:r w:rsidRPr="0070477B">
        <w:t xml:space="preserve">E </w:t>
      </w:r>
      <w:r w:rsidR="00BC58C9">
        <w:t>significantly increased from</w:t>
      </w:r>
      <w:r w:rsidRPr="0070477B">
        <w:t xml:space="preserve"> </w:t>
      </w:r>
      <w:r w:rsidR="00375983">
        <w:t>2</w:t>
      </w:r>
      <w:r w:rsidRPr="0070477B">
        <w:t>% in 202</w:t>
      </w:r>
      <w:r w:rsidR="00BC58C9">
        <w:t>3</w:t>
      </w:r>
      <w:r w:rsidRPr="0070477B">
        <w:t xml:space="preserve"> to </w:t>
      </w:r>
      <w:r>
        <w:t>11% in 2024</w:t>
      </w:r>
      <w:r w:rsidRPr="0070477B">
        <w:t>, while MECON's RO</w:t>
      </w:r>
      <w:r w:rsidR="00375983">
        <w:t>A</w:t>
      </w:r>
      <w:r w:rsidRPr="0070477B">
        <w:t xml:space="preserve">E has </w:t>
      </w:r>
      <w:r w:rsidR="00375983">
        <w:t>decreased</w:t>
      </w:r>
      <w:r w:rsidRPr="0070477B">
        <w:t xml:space="preserve"> from </w:t>
      </w:r>
      <w:r w:rsidR="00BC58C9">
        <w:t>8</w:t>
      </w:r>
      <w:r w:rsidRPr="0070477B">
        <w:t>% in 202</w:t>
      </w:r>
      <w:r w:rsidR="00BC58C9">
        <w:t>3</w:t>
      </w:r>
      <w:r w:rsidRPr="0070477B">
        <w:t xml:space="preserve"> to </w:t>
      </w:r>
      <w:r w:rsidR="00375983">
        <w:t>6</w:t>
      </w:r>
      <w:r w:rsidRPr="0070477B">
        <w:t xml:space="preserve">% in 2024. Overall, </w:t>
      </w:r>
      <w:r>
        <w:t>CMPDIL</w:t>
      </w:r>
      <w:r w:rsidRPr="0070477B">
        <w:t>'s strong RO</w:t>
      </w:r>
      <w:r w:rsidR="00375983">
        <w:t>A</w:t>
      </w:r>
      <w:r w:rsidRPr="0070477B">
        <w:t>E demonstrates its ability to create value for its shareholders and maintain a competitive edge in the industry.</w:t>
      </w:r>
    </w:p>
    <w:p w14:paraId="11C0E57F" w14:textId="2D7342B7" w:rsidR="00D04237" w:rsidRDefault="00D04237" w:rsidP="00D04237">
      <w:pPr>
        <w:pStyle w:val="Caption"/>
        <w:ind w:right="182"/>
      </w:pPr>
      <w:bookmarkStart w:id="6617" w:name="_Toc198731472"/>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11</w:t>
      </w:r>
      <w:r w:rsidRPr="000174A7">
        <w:fldChar w:fldCharType="end"/>
      </w:r>
      <w:r>
        <w:t xml:space="preserve"> Return on Equity (ROAE)</w:t>
      </w:r>
      <w:r w:rsidR="00217D74">
        <w:t xml:space="preserve"> (%)</w:t>
      </w:r>
      <w:bookmarkEnd w:id="6617"/>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BC58C9" w:rsidRPr="008D5FF4" w14:paraId="2FB1F0AD" w14:textId="77777777" w:rsidTr="00662938">
        <w:trPr>
          <w:tblHeader/>
        </w:trPr>
        <w:tc>
          <w:tcPr>
            <w:tcW w:w="1432" w:type="pct"/>
            <w:shd w:val="clear" w:color="auto" w:fill="156082" w:themeFill="accent1"/>
            <w:vAlign w:val="center"/>
          </w:tcPr>
          <w:p w14:paraId="3030FCCC" w14:textId="77777777" w:rsidR="00BC58C9" w:rsidRPr="008D5FF4" w:rsidRDefault="00BC58C9"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594E5D93" w14:textId="77777777" w:rsidR="00BC58C9" w:rsidRPr="008D5FF4" w:rsidRDefault="00BC58C9"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2E68C225" w14:textId="77777777" w:rsidR="00BC58C9" w:rsidRPr="008D5FF4" w:rsidRDefault="00BC58C9"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03ECD4F2" w14:textId="77777777" w:rsidR="00BC58C9" w:rsidRPr="008D5FF4" w:rsidRDefault="00BC58C9" w:rsidP="007A575F">
            <w:pPr>
              <w:spacing w:before="80" w:after="80" w:line="240" w:lineRule="auto"/>
              <w:ind w:right="-82"/>
              <w:jc w:val="center"/>
              <w:rPr>
                <w:color w:val="FFFFFF"/>
                <w:szCs w:val="20"/>
                <w:lang w:val="en-GB"/>
              </w:rPr>
            </w:pPr>
            <w:r>
              <w:rPr>
                <w:color w:val="FFFFFF"/>
                <w:szCs w:val="20"/>
                <w:lang w:val="en-GB"/>
              </w:rPr>
              <w:t>2025</w:t>
            </w:r>
          </w:p>
        </w:tc>
      </w:tr>
      <w:tr w:rsidR="00BC58C9" w:rsidRPr="008D5FF4" w14:paraId="6D3C4B43" w14:textId="77777777" w:rsidTr="00662938">
        <w:tc>
          <w:tcPr>
            <w:tcW w:w="1432" w:type="pct"/>
            <w:shd w:val="clear" w:color="auto" w:fill="C9D8E1"/>
          </w:tcPr>
          <w:p w14:paraId="586AEF7E" w14:textId="77777777" w:rsidR="00BC58C9" w:rsidRPr="008D5FF4" w:rsidRDefault="00BC58C9" w:rsidP="0015461C">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0A97C0F7" w14:textId="5808FDDD" w:rsidR="00BC58C9" w:rsidRPr="00662938" w:rsidRDefault="00BC58C9" w:rsidP="0015461C">
            <w:pPr>
              <w:spacing w:before="80" w:after="80" w:line="240" w:lineRule="auto"/>
              <w:ind w:right="182"/>
              <w:jc w:val="center"/>
              <w:rPr>
                <w:b w:val="0"/>
                <w:bCs w:val="0"/>
                <w:szCs w:val="20"/>
              </w:rPr>
            </w:pPr>
            <w:r w:rsidRPr="00662938">
              <w:rPr>
                <w:color w:val="000000"/>
                <w:szCs w:val="20"/>
              </w:rPr>
              <w:t>27%</w:t>
            </w:r>
          </w:p>
        </w:tc>
        <w:tc>
          <w:tcPr>
            <w:tcW w:w="1270" w:type="pct"/>
            <w:shd w:val="clear" w:color="auto" w:fill="C9D8E1"/>
            <w:vAlign w:val="bottom"/>
          </w:tcPr>
          <w:p w14:paraId="7AD27EFF" w14:textId="5338711D" w:rsidR="00BC58C9" w:rsidRPr="00662938" w:rsidRDefault="00BC58C9" w:rsidP="0015461C">
            <w:pPr>
              <w:spacing w:before="80" w:after="80" w:line="240" w:lineRule="auto"/>
              <w:ind w:right="182"/>
              <w:jc w:val="center"/>
              <w:rPr>
                <w:b w:val="0"/>
                <w:bCs w:val="0"/>
                <w:szCs w:val="20"/>
              </w:rPr>
            </w:pPr>
            <w:r w:rsidRPr="00662938">
              <w:rPr>
                <w:color w:val="000000"/>
                <w:szCs w:val="20"/>
              </w:rPr>
              <w:t>36%</w:t>
            </w:r>
          </w:p>
        </w:tc>
        <w:tc>
          <w:tcPr>
            <w:tcW w:w="1025" w:type="pct"/>
            <w:shd w:val="clear" w:color="auto" w:fill="C9D8E1"/>
            <w:vAlign w:val="bottom"/>
          </w:tcPr>
          <w:p w14:paraId="785EF079" w14:textId="6001E37D" w:rsidR="00BC58C9" w:rsidRPr="00662938" w:rsidRDefault="00BC58C9" w:rsidP="0015461C">
            <w:pPr>
              <w:spacing w:before="80" w:after="80" w:line="240" w:lineRule="auto"/>
              <w:ind w:right="-82"/>
              <w:jc w:val="center"/>
              <w:rPr>
                <w:b w:val="0"/>
                <w:bCs w:val="0"/>
                <w:szCs w:val="20"/>
              </w:rPr>
            </w:pPr>
            <w:r w:rsidRPr="000D73C6">
              <w:rPr>
                <w:szCs w:val="20"/>
              </w:rPr>
              <w:t>37%</w:t>
            </w:r>
          </w:p>
        </w:tc>
      </w:tr>
      <w:tr w:rsidR="00BC58C9" w:rsidRPr="008D5FF4" w14:paraId="159C3018" w14:textId="77777777" w:rsidTr="00662938">
        <w:tc>
          <w:tcPr>
            <w:tcW w:w="1432" w:type="pct"/>
          </w:tcPr>
          <w:p w14:paraId="3D204C8A" w14:textId="77777777" w:rsidR="00BC58C9" w:rsidRPr="008D5FF4" w:rsidRDefault="00BC58C9" w:rsidP="003B3216">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10953D38" w14:textId="19FF4444" w:rsidR="00BC58C9" w:rsidRPr="00662938" w:rsidRDefault="00BC58C9" w:rsidP="003B3216">
            <w:pPr>
              <w:spacing w:before="80" w:after="80" w:line="240" w:lineRule="auto"/>
              <w:ind w:right="182"/>
              <w:jc w:val="center"/>
              <w:rPr>
                <w:b w:val="0"/>
                <w:bCs w:val="0"/>
                <w:szCs w:val="20"/>
              </w:rPr>
            </w:pPr>
            <w:r w:rsidRPr="00662938">
              <w:rPr>
                <w:color w:val="000000"/>
                <w:szCs w:val="20"/>
              </w:rPr>
              <w:t>21%</w:t>
            </w:r>
          </w:p>
        </w:tc>
        <w:tc>
          <w:tcPr>
            <w:tcW w:w="1270" w:type="pct"/>
            <w:vAlign w:val="bottom"/>
          </w:tcPr>
          <w:p w14:paraId="485A4A2F" w14:textId="773DFBF1" w:rsidR="00BC58C9" w:rsidRPr="00662938" w:rsidRDefault="00BC58C9" w:rsidP="003B3216">
            <w:pPr>
              <w:spacing w:before="80" w:after="80" w:line="240" w:lineRule="auto"/>
              <w:ind w:right="182"/>
              <w:jc w:val="center"/>
              <w:rPr>
                <w:b w:val="0"/>
                <w:bCs w:val="0"/>
                <w:szCs w:val="20"/>
              </w:rPr>
            </w:pPr>
            <w:r w:rsidRPr="00662938">
              <w:rPr>
                <w:color w:val="000000"/>
                <w:szCs w:val="20"/>
              </w:rPr>
              <w:t>18%</w:t>
            </w:r>
          </w:p>
        </w:tc>
        <w:tc>
          <w:tcPr>
            <w:tcW w:w="1025" w:type="pct"/>
            <w:vAlign w:val="bottom"/>
          </w:tcPr>
          <w:p w14:paraId="4ADCD9CB" w14:textId="75B7527E" w:rsidR="00BC58C9" w:rsidRPr="00662938" w:rsidRDefault="00BC58C9" w:rsidP="003B3216">
            <w:pPr>
              <w:spacing w:before="80" w:after="80" w:line="240" w:lineRule="auto"/>
              <w:ind w:right="-82"/>
              <w:jc w:val="center"/>
              <w:rPr>
                <w:b w:val="0"/>
                <w:bCs w:val="0"/>
                <w:szCs w:val="20"/>
              </w:rPr>
            </w:pPr>
            <w:r w:rsidRPr="000D73C6">
              <w:rPr>
                <w:szCs w:val="20"/>
              </w:rPr>
              <w:t>15%</w:t>
            </w:r>
          </w:p>
        </w:tc>
      </w:tr>
      <w:tr w:rsidR="00BC58C9" w:rsidRPr="008D5FF4" w14:paraId="7A92841A" w14:textId="77777777" w:rsidTr="00662938">
        <w:tc>
          <w:tcPr>
            <w:tcW w:w="1432" w:type="pct"/>
          </w:tcPr>
          <w:p w14:paraId="23EDB90D" w14:textId="77777777" w:rsidR="00BC58C9" w:rsidRPr="008D5FF4" w:rsidRDefault="00BC58C9" w:rsidP="003B3216">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55029BE4" w14:textId="38079A4D" w:rsidR="00BC58C9" w:rsidRPr="00662938" w:rsidRDefault="00BC58C9" w:rsidP="003B3216">
            <w:pPr>
              <w:spacing w:before="80" w:after="80" w:line="240" w:lineRule="auto"/>
              <w:ind w:right="182"/>
              <w:jc w:val="center"/>
              <w:rPr>
                <w:b w:val="0"/>
                <w:bCs w:val="0"/>
                <w:szCs w:val="20"/>
              </w:rPr>
            </w:pPr>
            <w:r w:rsidRPr="00662938">
              <w:rPr>
                <w:color w:val="000000"/>
                <w:szCs w:val="20"/>
              </w:rPr>
              <w:t>19%</w:t>
            </w:r>
          </w:p>
        </w:tc>
        <w:tc>
          <w:tcPr>
            <w:tcW w:w="1270" w:type="pct"/>
            <w:vAlign w:val="bottom"/>
          </w:tcPr>
          <w:p w14:paraId="6023571D" w14:textId="1172691A" w:rsidR="00BC58C9" w:rsidRPr="00662938" w:rsidRDefault="00BC58C9" w:rsidP="003B3216">
            <w:pPr>
              <w:spacing w:before="80" w:after="80" w:line="240" w:lineRule="auto"/>
              <w:ind w:right="182"/>
              <w:jc w:val="center"/>
              <w:rPr>
                <w:b w:val="0"/>
                <w:bCs w:val="0"/>
                <w:szCs w:val="20"/>
              </w:rPr>
            </w:pPr>
            <w:r w:rsidRPr="00662938">
              <w:rPr>
                <w:color w:val="000000"/>
                <w:szCs w:val="20"/>
              </w:rPr>
              <w:t>21%</w:t>
            </w:r>
          </w:p>
        </w:tc>
        <w:tc>
          <w:tcPr>
            <w:tcW w:w="1025" w:type="pct"/>
            <w:vAlign w:val="bottom"/>
          </w:tcPr>
          <w:p w14:paraId="46D1D2D8" w14:textId="77777777" w:rsidR="00BC58C9" w:rsidRPr="00662938" w:rsidRDefault="00BC58C9" w:rsidP="003B3216">
            <w:pPr>
              <w:spacing w:before="80" w:after="80" w:line="240" w:lineRule="auto"/>
              <w:ind w:right="-82"/>
              <w:jc w:val="center"/>
              <w:rPr>
                <w:b w:val="0"/>
                <w:bCs w:val="0"/>
                <w:szCs w:val="20"/>
              </w:rPr>
            </w:pPr>
            <w:r w:rsidRPr="000D73C6">
              <w:rPr>
                <w:szCs w:val="20"/>
              </w:rPr>
              <w:t>NA</w:t>
            </w:r>
          </w:p>
        </w:tc>
      </w:tr>
      <w:tr w:rsidR="00BC58C9" w:rsidRPr="008D5FF4" w14:paraId="3F776BB7" w14:textId="77777777" w:rsidTr="00662938">
        <w:tc>
          <w:tcPr>
            <w:tcW w:w="1432" w:type="pct"/>
          </w:tcPr>
          <w:p w14:paraId="61E2DF44" w14:textId="77777777" w:rsidR="00BC58C9" w:rsidRPr="008D5FF4" w:rsidRDefault="00BC58C9" w:rsidP="003B3216">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5F91824D" w14:textId="168DC5F4" w:rsidR="00BC58C9" w:rsidRPr="00662938" w:rsidRDefault="00BC58C9" w:rsidP="003B3216">
            <w:pPr>
              <w:spacing w:before="80" w:after="80" w:line="240" w:lineRule="auto"/>
              <w:ind w:right="182"/>
              <w:jc w:val="center"/>
              <w:rPr>
                <w:b w:val="0"/>
                <w:bCs w:val="0"/>
                <w:szCs w:val="20"/>
              </w:rPr>
            </w:pPr>
            <w:r w:rsidRPr="00662938">
              <w:rPr>
                <w:color w:val="000000"/>
                <w:szCs w:val="20"/>
              </w:rPr>
              <w:t>2%</w:t>
            </w:r>
          </w:p>
        </w:tc>
        <w:tc>
          <w:tcPr>
            <w:tcW w:w="1270" w:type="pct"/>
            <w:vAlign w:val="bottom"/>
          </w:tcPr>
          <w:p w14:paraId="6C40A467" w14:textId="27C40694" w:rsidR="00BC58C9" w:rsidRPr="00662938" w:rsidRDefault="00BC58C9" w:rsidP="003B3216">
            <w:pPr>
              <w:spacing w:before="80" w:after="80" w:line="240" w:lineRule="auto"/>
              <w:ind w:right="182"/>
              <w:jc w:val="center"/>
              <w:rPr>
                <w:b w:val="0"/>
                <w:bCs w:val="0"/>
                <w:szCs w:val="20"/>
              </w:rPr>
            </w:pPr>
            <w:r w:rsidRPr="00662938">
              <w:rPr>
                <w:color w:val="000000"/>
                <w:szCs w:val="20"/>
              </w:rPr>
              <w:t>11%</w:t>
            </w:r>
          </w:p>
        </w:tc>
        <w:tc>
          <w:tcPr>
            <w:tcW w:w="1025" w:type="pct"/>
            <w:vAlign w:val="bottom"/>
          </w:tcPr>
          <w:p w14:paraId="06EFFADC" w14:textId="77777777" w:rsidR="00BC58C9" w:rsidRPr="00662938" w:rsidRDefault="00BC58C9" w:rsidP="003B3216">
            <w:pPr>
              <w:spacing w:before="80" w:after="80" w:line="240" w:lineRule="auto"/>
              <w:ind w:right="-82"/>
              <w:jc w:val="center"/>
              <w:rPr>
                <w:b w:val="0"/>
                <w:bCs w:val="0"/>
                <w:szCs w:val="20"/>
              </w:rPr>
            </w:pPr>
            <w:r w:rsidRPr="000D73C6">
              <w:rPr>
                <w:szCs w:val="20"/>
              </w:rPr>
              <w:t>NA</w:t>
            </w:r>
          </w:p>
        </w:tc>
      </w:tr>
      <w:tr w:rsidR="00BC58C9" w:rsidRPr="008D5FF4" w14:paraId="26D0D949" w14:textId="77777777" w:rsidTr="00662938">
        <w:tc>
          <w:tcPr>
            <w:tcW w:w="1432" w:type="pct"/>
          </w:tcPr>
          <w:p w14:paraId="636C223F" w14:textId="77777777" w:rsidR="00BC58C9" w:rsidRPr="008D5FF4" w:rsidRDefault="00BC58C9" w:rsidP="003B3216">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42204684" w14:textId="45B346DC" w:rsidR="00BC58C9" w:rsidRPr="00662938" w:rsidRDefault="00BC58C9" w:rsidP="003B3216">
            <w:pPr>
              <w:spacing w:before="80" w:after="80" w:line="240" w:lineRule="auto"/>
              <w:ind w:right="182"/>
              <w:jc w:val="center"/>
              <w:rPr>
                <w:b w:val="0"/>
                <w:bCs w:val="0"/>
                <w:szCs w:val="20"/>
              </w:rPr>
            </w:pPr>
            <w:r w:rsidRPr="00662938">
              <w:rPr>
                <w:color w:val="000000"/>
                <w:szCs w:val="20"/>
              </w:rPr>
              <w:t>8%</w:t>
            </w:r>
          </w:p>
        </w:tc>
        <w:tc>
          <w:tcPr>
            <w:tcW w:w="1270" w:type="pct"/>
            <w:vAlign w:val="bottom"/>
          </w:tcPr>
          <w:p w14:paraId="6B3E02C1" w14:textId="141FE637" w:rsidR="00BC58C9" w:rsidRPr="00662938" w:rsidRDefault="00BC58C9" w:rsidP="003B3216">
            <w:pPr>
              <w:spacing w:before="80" w:after="80" w:line="240" w:lineRule="auto"/>
              <w:ind w:right="182"/>
              <w:jc w:val="center"/>
              <w:rPr>
                <w:b w:val="0"/>
                <w:bCs w:val="0"/>
                <w:szCs w:val="20"/>
              </w:rPr>
            </w:pPr>
            <w:r w:rsidRPr="00662938">
              <w:rPr>
                <w:color w:val="000000"/>
                <w:szCs w:val="20"/>
              </w:rPr>
              <w:t>6%</w:t>
            </w:r>
          </w:p>
        </w:tc>
        <w:tc>
          <w:tcPr>
            <w:tcW w:w="1025" w:type="pct"/>
            <w:vAlign w:val="bottom"/>
          </w:tcPr>
          <w:p w14:paraId="44FC86EC" w14:textId="77777777" w:rsidR="00BC58C9" w:rsidRPr="00662938" w:rsidRDefault="00BC58C9" w:rsidP="003B3216">
            <w:pPr>
              <w:spacing w:before="80" w:after="80" w:line="240" w:lineRule="auto"/>
              <w:ind w:right="-82"/>
              <w:jc w:val="center"/>
              <w:rPr>
                <w:b w:val="0"/>
                <w:bCs w:val="0"/>
                <w:szCs w:val="20"/>
              </w:rPr>
            </w:pPr>
            <w:r w:rsidRPr="000D73C6">
              <w:rPr>
                <w:szCs w:val="20"/>
              </w:rPr>
              <w:t>NA</w:t>
            </w:r>
          </w:p>
        </w:tc>
      </w:tr>
    </w:tbl>
    <w:p w14:paraId="352C9F49" w14:textId="77777777" w:rsidR="00D04237" w:rsidRDefault="00D04237" w:rsidP="00D04237">
      <w:pPr>
        <w:pStyle w:val="Source"/>
        <w:ind w:right="182"/>
      </w:pPr>
      <w:r w:rsidRPr="00FF440B">
        <w:t xml:space="preserve">Source: </w:t>
      </w:r>
      <w:r w:rsidRPr="00E37ECA">
        <w:t>Company Annual Reports, all years are fiscal,</w:t>
      </w:r>
      <w:r>
        <w:t xml:space="preserve"> </w:t>
      </w:r>
      <w:r w:rsidRPr="00BD2973">
        <w:t>NA- Not Available</w:t>
      </w:r>
    </w:p>
    <w:p w14:paraId="6F32D441" w14:textId="6A72C673" w:rsidR="00F8791D" w:rsidRDefault="00F8791D" w:rsidP="00F8791D">
      <w:pPr>
        <w:ind w:right="182"/>
      </w:pPr>
      <w:r>
        <w:t>CMPDIL</w:t>
      </w:r>
      <w:r w:rsidRPr="0052631F">
        <w:t>’s strong RO</w:t>
      </w:r>
      <w:r w:rsidR="00217D74">
        <w:t>A</w:t>
      </w:r>
      <w:r w:rsidRPr="0052631F">
        <w:t>E highlights its ability to generate substantial value from shareholder capital, reflecting operational efficiency and financial prudence.</w:t>
      </w:r>
    </w:p>
    <w:p w14:paraId="464F3A01" w14:textId="1B95A9B9" w:rsidR="009B3427" w:rsidRDefault="00D80FD5" w:rsidP="00C7511A">
      <w:pPr>
        <w:pStyle w:val="Heading30"/>
        <w:ind w:right="182"/>
      </w:pPr>
      <w:r w:rsidRPr="00D80FD5">
        <w:t xml:space="preserve">Return on </w:t>
      </w:r>
      <w:r>
        <w:t>C</w:t>
      </w:r>
      <w:r w:rsidRPr="00D80FD5">
        <w:t xml:space="preserve">apital </w:t>
      </w:r>
      <w:r>
        <w:t>A</w:t>
      </w:r>
      <w:r w:rsidRPr="00D80FD5">
        <w:t xml:space="preserve">verage </w:t>
      </w:r>
      <w:r>
        <w:t>E</w:t>
      </w:r>
      <w:r w:rsidRPr="00D80FD5">
        <w:t>mployed (RoACE)</w:t>
      </w:r>
    </w:p>
    <w:p w14:paraId="5695C34E" w14:textId="6C69B0D5" w:rsidR="00217D74" w:rsidRDefault="00217D74" w:rsidP="009B3427">
      <w:r w:rsidRPr="0071324F">
        <w:t>The R</w:t>
      </w:r>
      <w:r>
        <w:t>oA</w:t>
      </w:r>
      <w:r w:rsidRPr="0071324F">
        <w:t>CE</w:t>
      </w:r>
      <w:r w:rsidR="006E5098">
        <w:rPr>
          <w:rStyle w:val="FootnoteReference"/>
        </w:rPr>
        <w:footnoteReference w:id="69"/>
      </w:r>
      <w:r w:rsidRPr="0071324F">
        <w:t xml:space="preserve"> for CMPDIL has </w:t>
      </w:r>
      <w:r w:rsidR="00677ACC">
        <w:t>increased</w:t>
      </w:r>
      <w:r w:rsidRPr="0071324F">
        <w:t xml:space="preserve">, with some fluctuations. In </w:t>
      </w:r>
      <w:r>
        <w:t>f</w:t>
      </w:r>
      <w:r w:rsidRPr="0071324F">
        <w:t>iscal 202</w:t>
      </w:r>
      <w:r w:rsidR="00677ACC">
        <w:t>3</w:t>
      </w:r>
      <w:r w:rsidRPr="0071324F">
        <w:t>, the R</w:t>
      </w:r>
      <w:r>
        <w:t>oA</w:t>
      </w:r>
      <w:r w:rsidRPr="0071324F">
        <w:t xml:space="preserve">CE was </w:t>
      </w:r>
      <w:r w:rsidR="00677ACC">
        <w:t>33</w:t>
      </w:r>
      <w:r w:rsidRPr="0071324F">
        <w:t xml:space="preserve">%, which increased to </w:t>
      </w:r>
      <w:r w:rsidR="00677ACC">
        <w:t>52</w:t>
      </w:r>
      <w:r w:rsidRPr="0071324F">
        <w:t xml:space="preserve">% in </w:t>
      </w:r>
      <w:r>
        <w:t>f</w:t>
      </w:r>
      <w:r w:rsidRPr="0071324F">
        <w:t>iscal 202</w:t>
      </w:r>
      <w:r w:rsidR="00677ACC">
        <w:t>4</w:t>
      </w:r>
      <w:r w:rsidR="001D252D">
        <w:t xml:space="preserve"> and finally</w:t>
      </w:r>
      <w:r w:rsidR="00677ACC">
        <w:t xml:space="preserve"> settled </w:t>
      </w:r>
      <w:r w:rsidR="001D252D">
        <w:t>to 49% in fiscal 2025</w:t>
      </w:r>
      <w:r w:rsidRPr="0071324F">
        <w:t>.</w:t>
      </w:r>
      <w:r>
        <w:t xml:space="preserve"> </w:t>
      </w:r>
      <w:r w:rsidR="001D252D" w:rsidRPr="00D669BE">
        <w:t>The R</w:t>
      </w:r>
      <w:r w:rsidR="001D252D">
        <w:t>oA</w:t>
      </w:r>
      <w:r w:rsidR="001D252D" w:rsidRPr="00D669BE">
        <w:t xml:space="preserve">CE for RITES has </w:t>
      </w:r>
      <w:r w:rsidR="00677ACC">
        <w:t>declined from 29</w:t>
      </w:r>
      <w:r w:rsidR="001D252D" w:rsidRPr="00D669BE">
        <w:t>%</w:t>
      </w:r>
      <w:r w:rsidR="005E1612">
        <w:t xml:space="preserve"> in 202</w:t>
      </w:r>
      <w:r w:rsidR="00677ACC">
        <w:t>3</w:t>
      </w:r>
      <w:r w:rsidR="005E1612">
        <w:t xml:space="preserve"> to </w:t>
      </w:r>
      <w:r w:rsidR="001D252D">
        <w:t>21% in fiscal 2025</w:t>
      </w:r>
      <w:r w:rsidR="005E1612" w:rsidRPr="00D669BE">
        <w:t>.</w:t>
      </w:r>
      <w:r w:rsidR="005E1612" w:rsidRPr="0071324F">
        <w:t xml:space="preserve"> The</w:t>
      </w:r>
      <w:r w:rsidRPr="0071324F">
        <w:t xml:space="preserve"> R</w:t>
      </w:r>
      <w:r w:rsidR="001D252D">
        <w:t>oA</w:t>
      </w:r>
      <w:r w:rsidRPr="0071324F">
        <w:t xml:space="preserve">CE for EIL has been relatively stable, </w:t>
      </w:r>
      <w:r w:rsidR="005E1612">
        <w:t xml:space="preserve">with </w:t>
      </w:r>
      <w:r w:rsidRPr="0071324F">
        <w:t>the</w:t>
      </w:r>
      <w:r w:rsidR="001D252D">
        <w:t xml:space="preserve"> ratio</w:t>
      </w:r>
      <w:r w:rsidRPr="0071324F">
        <w:t xml:space="preserve"> </w:t>
      </w:r>
      <w:r w:rsidR="005E1612">
        <w:t>being</w:t>
      </w:r>
      <w:r w:rsidRPr="0071324F">
        <w:t xml:space="preserve"> </w:t>
      </w:r>
      <w:r w:rsidR="001D252D">
        <w:t>2</w:t>
      </w:r>
      <w:r w:rsidR="00677ACC">
        <w:t>4</w:t>
      </w:r>
      <w:r w:rsidRPr="0071324F">
        <w:t>%</w:t>
      </w:r>
      <w:r w:rsidR="005E1612">
        <w:t xml:space="preserve"> in 202</w:t>
      </w:r>
      <w:r w:rsidR="00677ACC">
        <w:t>3</w:t>
      </w:r>
      <w:r w:rsidR="005E1612">
        <w:t xml:space="preserve"> </w:t>
      </w:r>
      <w:r w:rsidRPr="0071324F">
        <w:t>to 2</w:t>
      </w:r>
      <w:r w:rsidR="001D5C0C">
        <w:t>3</w:t>
      </w:r>
      <w:r w:rsidRPr="0071324F">
        <w:t xml:space="preserve">% in </w:t>
      </w:r>
      <w:r>
        <w:t>f</w:t>
      </w:r>
      <w:r w:rsidRPr="0071324F">
        <w:t>iscal 2024.</w:t>
      </w:r>
      <w:r>
        <w:t xml:space="preserve"> </w:t>
      </w:r>
      <w:r w:rsidRPr="00DE5841">
        <w:t xml:space="preserve">The </w:t>
      </w:r>
      <w:r w:rsidR="005E1612">
        <w:t xml:space="preserve">ratio </w:t>
      </w:r>
      <w:r w:rsidRPr="00DE5841">
        <w:t xml:space="preserve">for </w:t>
      </w:r>
      <w:r w:rsidR="005E1612">
        <w:t>MECL</w:t>
      </w:r>
      <w:r w:rsidR="00485111">
        <w:t xml:space="preserve"> </w:t>
      </w:r>
      <w:r w:rsidRPr="00DE5841">
        <w:t xml:space="preserve">has </w:t>
      </w:r>
      <w:r w:rsidR="00677ACC">
        <w:t xml:space="preserve">significantly increased </w:t>
      </w:r>
      <w:r w:rsidR="00485111">
        <w:t>from 3</w:t>
      </w:r>
      <w:r w:rsidRPr="00DE5841">
        <w:t>%</w:t>
      </w:r>
      <w:r w:rsidR="00485111">
        <w:t xml:space="preserve"> in 202</w:t>
      </w:r>
      <w:r w:rsidR="00677ACC">
        <w:t>3</w:t>
      </w:r>
      <w:r w:rsidR="00485111">
        <w:t xml:space="preserve"> to </w:t>
      </w:r>
      <w:r w:rsidR="00467D74">
        <w:t>15</w:t>
      </w:r>
      <w:r w:rsidRPr="00DE5841">
        <w:t xml:space="preserve">% in </w:t>
      </w:r>
      <w:r>
        <w:t>f</w:t>
      </w:r>
      <w:r w:rsidRPr="00DE5841">
        <w:t>iscal 2024.</w:t>
      </w:r>
      <w:r>
        <w:t xml:space="preserve"> </w:t>
      </w:r>
      <w:r w:rsidRPr="00FE756A">
        <w:t>The</w:t>
      </w:r>
      <w:r w:rsidR="00467D74">
        <w:t xml:space="preserve"> ratio </w:t>
      </w:r>
      <w:r w:rsidRPr="00FE756A">
        <w:t xml:space="preserve">for MECON </w:t>
      </w:r>
      <w:r w:rsidR="00677ACC">
        <w:t xml:space="preserve">also increased from </w:t>
      </w:r>
      <w:r w:rsidR="00467D74">
        <w:t>4</w:t>
      </w:r>
      <w:r w:rsidRPr="00FE756A">
        <w:t>%</w:t>
      </w:r>
      <w:r w:rsidR="00467D74">
        <w:t xml:space="preserve"> in 202</w:t>
      </w:r>
      <w:r w:rsidR="00677ACC">
        <w:t>3</w:t>
      </w:r>
      <w:r w:rsidR="00467D74">
        <w:t xml:space="preserve"> to 14</w:t>
      </w:r>
      <w:r w:rsidRPr="00FE756A">
        <w:t xml:space="preserve">% in </w:t>
      </w:r>
      <w:r>
        <w:t>f</w:t>
      </w:r>
      <w:r w:rsidRPr="00FE756A">
        <w:t>iscal 2024.</w:t>
      </w:r>
    </w:p>
    <w:p w14:paraId="4DB0E1BC" w14:textId="56D6E605" w:rsidR="009B3427" w:rsidRDefault="00D80FD5" w:rsidP="009B3427">
      <w:r>
        <w:t xml:space="preserve">Return on Capital Average Employed </w:t>
      </w:r>
      <w:r w:rsidRPr="00D80FD5">
        <w:t xml:space="preserve">provides how efficiently </w:t>
      </w:r>
      <w:r>
        <w:t>the c</w:t>
      </w:r>
      <w:r w:rsidRPr="00D80FD5">
        <w:t>ompany generates earnings from the capital employed in the business.</w:t>
      </w:r>
      <w:r w:rsidR="001B4DEF">
        <w:t xml:space="preserve"> RoACE of CMPDIL is significantly higher than that of its peer</w:t>
      </w:r>
      <w:r w:rsidR="00467D74">
        <w:t>s</w:t>
      </w:r>
      <w:r w:rsidR="001B4DEF">
        <w:t xml:space="preserve">, thereby indicating </w:t>
      </w:r>
      <w:r w:rsidR="00BC50A2">
        <w:t xml:space="preserve">that </w:t>
      </w:r>
      <w:r w:rsidR="00BC50A2" w:rsidRPr="00BC50A2">
        <w:t xml:space="preserve">the company is better at generating returns for </w:t>
      </w:r>
      <w:r w:rsidR="00BC50A2">
        <w:t>capital employed,</w:t>
      </w:r>
      <w:r w:rsidR="00BC50A2" w:rsidRPr="00BC50A2">
        <w:t xml:space="preserve"> suggesting </w:t>
      </w:r>
      <w:r w:rsidR="00BC50A2">
        <w:t xml:space="preserve">a </w:t>
      </w:r>
      <w:r w:rsidR="00BC50A2" w:rsidRPr="00BC50A2">
        <w:t>strong profitability and operational efficiency</w:t>
      </w:r>
      <w:r w:rsidR="00BC50A2">
        <w:t xml:space="preserve"> compared to its peers.</w:t>
      </w:r>
    </w:p>
    <w:p w14:paraId="640C207C" w14:textId="7D2405CC" w:rsidR="00D80FD5" w:rsidRDefault="00D80FD5" w:rsidP="00D80FD5">
      <w:pPr>
        <w:pStyle w:val="Caption"/>
        <w:ind w:right="182"/>
      </w:pPr>
      <w:bookmarkStart w:id="6618" w:name="_Toc198731473"/>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12</w:t>
      </w:r>
      <w:r w:rsidRPr="000174A7">
        <w:fldChar w:fldCharType="end"/>
      </w:r>
      <w:r>
        <w:t xml:space="preserve"> Return on Capital Average Employed (RoACE)</w:t>
      </w:r>
      <w:r w:rsidR="001E6D62">
        <w:t xml:space="preserve"> (%)</w:t>
      </w:r>
      <w:bookmarkEnd w:id="6618"/>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BC58C9" w:rsidRPr="008D5FF4" w14:paraId="1A842E1D" w14:textId="77777777" w:rsidTr="00662938">
        <w:trPr>
          <w:tblHeader/>
        </w:trPr>
        <w:tc>
          <w:tcPr>
            <w:tcW w:w="1432" w:type="pct"/>
            <w:shd w:val="clear" w:color="auto" w:fill="156082" w:themeFill="accent1"/>
            <w:vAlign w:val="center"/>
          </w:tcPr>
          <w:p w14:paraId="40472344" w14:textId="77777777" w:rsidR="00BC58C9" w:rsidRPr="008D5FF4" w:rsidRDefault="00BC58C9"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52199F63" w14:textId="77777777" w:rsidR="00BC58C9" w:rsidRPr="008D5FF4" w:rsidRDefault="00BC58C9"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3C0487B6" w14:textId="77777777" w:rsidR="00BC58C9" w:rsidRPr="008D5FF4" w:rsidRDefault="00BC58C9"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14D7166E" w14:textId="77777777" w:rsidR="00BC58C9" w:rsidRPr="008D5FF4" w:rsidRDefault="00BC58C9" w:rsidP="007A575F">
            <w:pPr>
              <w:spacing w:before="80" w:after="80" w:line="240" w:lineRule="auto"/>
              <w:ind w:right="-82"/>
              <w:jc w:val="center"/>
              <w:rPr>
                <w:color w:val="FFFFFF"/>
                <w:szCs w:val="20"/>
                <w:lang w:val="en-GB"/>
              </w:rPr>
            </w:pPr>
            <w:r>
              <w:rPr>
                <w:color w:val="FFFFFF"/>
                <w:szCs w:val="20"/>
                <w:lang w:val="en-GB"/>
              </w:rPr>
              <w:t>2025</w:t>
            </w:r>
          </w:p>
        </w:tc>
      </w:tr>
      <w:tr w:rsidR="00BC58C9" w:rsidRPr="008D5FF4" w14:paraId="58B5EC0B" w14:textId="77777777" w:rsidTr="00662938">
        <w:tc>
          <w:tcPr>
            <w:tcW w:w="1432" w:type="pct"/>
            <w:shd w:val="clear" w:color="auto" w:fill="C9D8E1"/>
          </w:tcPr>
          <w:p w14:paraId="5BE9D232" w14:textId="77777777" w:rsidR="00BC58C9" w:rsidRPr="008D5FF4" w:rsidRDefault="00BC58C9" w:rsidP="007A575F">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58D09FD9"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33%</w:t>
            </w:r>
          </w:p>
        </w:tc>
        <w:tc>
          <w:tcPr>
            <w:tcW w:w="1270" w:type="pct"/>
            <w:shd w:val="clear" w:color="auto" w:fill="C9D8E1"/>
            <w:vAlign w:val="bottom"/>
          </w:tcPr>
          <w:p w14:paraId="56913992"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52%</w:t>
            </w:r>
          </w:p>
        </w:tc>
        <w:tc>
          <w:tcPr>
            <w:tcW w:w="1025" w:type="pct"/>
            <w:shd w:val="clear" w:color="auto" w:fill="C9D8E1"/>
            <w:vAlign w:val="bottom"/>
          </w:tcPr>
          <w:p w14:paraId="1C5A8BE7" w14:textId="77777777" w:rsidR="00BC58C9" w:rsidRPr="00662938" w:rsidRDefault="00BC58C9" w:rsidP="007A575F">
            <w:pPr>
              <w:spacing w:before="80" w:after="80" w:line="240" w:lineRule="auto"/>
              <w:ind w:right="-82"/>
              <w:jc w:val="center"/>
              <w:rPr>
                <w:b w:val="0"/>
                <w:bCs w:val="0"/>
                <w:szCs w:val="20"/>
              </w:rPr>
            </w:pPr>
            <w:r w:rsidRPr="000D73C6">
              <w:rPr>
                <w:szCs w:val="20"/>
              </w:rPr>
              <w:t>49%</w:t>
            </w:r>
          </w:p>
        </w:tc>
      </w:tr>
      <w:tr w:rsidR="00BC58C9" w:rsidRPr="008D5FF4" w14:paraId="5A82B13B" w14:textId="77777777" w:rsidTr="00662938">
        <w:tc>
          <w:tcPr>
            <w:tcW w:w="1432" w:type="pct"/>
          </w:tcPr>
          <w:p w14:paraId="562D34A4" w14:textId="77777777" w:rsidR="00BC58C9" w:rsidRPr="008D5FF4" w:rsidRDefault="00BC58C9" w:rsidP="007A575F">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27C47EFD"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29%</w:t>
            </w:r>
          </w:p>
        </w:tc>
        <w:tc>
          <w:tcPr>
            <w:tcW w:w="1270" w:type="pct"/>
            <w:vAlign w:val="bottom"/>
          </w:tcPr>
          <w:p w14:paraId="38486B2E"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25%</w:t>
            </w:r>
          </w:p>
        </w:tc>
        <w:tc>
          <w:tcPr>
            <w:tcW w:w="1025" w:type="pct"/>
            <w:vAlign w:val="bottom"/>
          </w:tcPr>
          <w:p w14:paraId="4D449130" w14:textId="77777777" w:rsidR="00BC58C9" w:rsidRPr="00662938" w:rsidRDefault="00BC58C9" w:rsidP="007A575F">
            <w:pPr>
              <w:spacing w:before="80" w:after="80" w:line="240" w:lineRule="auto"/>
              <w:ind w:right="-82"/>
              <w:jc w:val="center"/>
              <w:rPr>
                <w:b w:val="0"/>
                <w:bCs w:val="0"/>
                <w:szCs w:val="20"/>
              </w:rPr>
            </w:pPr>
            <w:r w:rsidRPr="000D73C6">
              <w:rPr>
                <w:szCs w:val="20"/>
              </w:rPr>
              <w:t>21%</w:t>
            </w:r>
          </w:p>
        </w:tc>
      </w:tr>
      <w:tr w:rsidR="00BC58C9" w:rsidRPr="008D5FF4" w14:paraId="60C1A860" w14:textId="77777777" w:rsidTr="00662938">
        <w:tc>
          <w:tcPr>
            <w:tcW w:w="1432" w:type="pct"/>
          </w:tcPr>
          <w:p w14:paraId="62D6199F" w14:textId="77777777" w:rsidR="00BC58C9" w:rsidRPr="008D5FF4" w:rsidRDefault="00BC58C9" w:rsidP="007A575F">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596A2187"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24%</w:t>
            </w:r>
          </w:p>
        </w:tc>
        <w:tc>
          <w:tcPr>
            <w:tcW w:w="1270" w:type="pct"/>
            <w:vAlign w:val="bottom"/>
          </w:tcPr>
          <w:p w14:paraId="579528A9"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23%</w:t>
            </w:r>
          </w:p>
        </w:tc>
        <w:tc>
          <w:tcPr>
            <w:tcW w:w="1025" w:type="pct"/>
            <w:vAlign w:val="bottom"/>
          </w:tcPr>
          <w:p w14:paraId="1045CC77" w14:textId="77777777" w:rsidR="00BC58C9" w:rsidRPr="00662938" w:rsidRDefault="00BC58C9" w:rsidP="007A575F">
            <w:pPr>
              <w:spacing w:before="80" w:after="80" w:line="240" w:lineRule="auto"/>
              <w:ind w:right="-82"/>
              <w:jc w:val="center"/>
              <w:rPr>
                <w:b w:val="0"/>
                <w:bCs w:val="0"/>
                <w:szCs w:val="20"/>
              </w:rPr>
            </w:pPr>
            <w:r w:rsidRPr="000D73C6">
              <w:rPr>
                <w:szCs w:val="20"/>
              </w:rPr>
              <w:t>NA</w:t>
            </w:r>
          </w:p>
        </w:tc>
      </w:tr>
      <w:tr w:rsidR="00BC58C9" w:rsidRPr="008D5FF4" w14:paraId="7B2854EF" w14:textId="77777777" w:rsidTr="00662938">
        <w:tc>
          <w:tcPr>
            <w:tcW w:w="1432" w:type="pct"/>
          </w:tcPr>
          <w:p w14:paraId="00655F18" w14:textId="77777777" w:rsidR="00BC58C9" w:rsidRPr="008D5FF4" w:rsidRDefault="00BC58C9" w:rsidP="007A575F">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6B571227"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3%</w:t>
            </w:r>
          </w:p>
        </w:tc>
        <w:tc>
          <w:tcPr>
            <w:tcW w:w="1270" w:type="pct"/>
            <w:vAlign w:val="bottom"/>
          </w:tcPr>
          <w:p w14:paraId="06606080"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15%</w:t>
            </w:r>
          </w:p>
        </w:tc>
        <w:tc>
          <w:tcPr>
            <w:tcW w:w="1025" w:type="pct"/>
            <w:vAlign w:val="bottom"/>
          </w:tcPr>
          <w:p w14:paraId="3A62CB91" w14:textId="77777777" w:rsidR="00BC58C9" w:rsidRPr="00662938" w:rsidRDefault="00BC58C9" w:rsidP="007A575F">
            <w:pPr>
              <w:spacing w:before="80" w:after="80" w:line="240" w:lineRule="auto"/>
              <w:ind w:right="-82"/>
              <w:jc w:val="center"/>
              <w:rPr>
                <w:b w:val="0"/>
                <w:bCs w:val="0"/>
                <w:szCs w:val="20"/>
              </w:rPr>
            </w:pPr>
            <w:r w:rsidRPr="000D73C6">
              <w:rPr>
                <w:szCs w:val="20"/>
              </w:rPr>
              <w:t>NA</w:t>
            </w:r>
          </w:p>
        </w:tc>
      </w:tr>
      <w:tr w:rsidR="00BC58C9" w:rsidRPr="008D5FF4" w14:paraId="37BC78C1" w14:textId="77777777" w:rsidTr="00662938">
        <w:tc>
          <w:tcPr>
            <w:tcW w:w="1432" w:type="pct"/>
          </w:tcPr>
          <w:p w14:paraId="554F5E2B" w14:textId="77777777" w:rsidR="00BC58C9" w:rsidRPr="008D5FF4" w:rsidRDefault="00BC58C9" w:rsidP="007A575F">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29A17DA2"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4%</w:t>
            </w:r>
          </w:p>
        </w:tc>
        <w:tc>
          <w:tcPr>
            <w:tcW w:w="1270" w:type="pct"/>
            <w:vAlign w:val="bottom"/>
          </w:tcPr>
          <w:p w14:paraId="335D8A71" w14:textId="77777777" w:rsidR="00BC58C9" w:rsidRPr="00662938" w:rsidRDefault="00BC58C9" w:rsidP="007A575F">
            <w:pPr>
              <w:spacing w:before="80" w:after="80" w:line="240" w:lineRule="auto"/>
              <w:ind w:right="182"/>
              <w:jc w:val="center"/>
              <w:rPr>
                <w:b w:val="0"/>
                <w:bCs w:val="0"/>
                <w:szCs w:val="20"/>
              </w:rPr>
            </w:pPr>
            <w:r w:rsidRPr="000D73C6">
              <w:rPr>
                <w:color w:val="000000"/>
                <w:szCs w:val="20"/>
              </w:rPr>
              <w:t>14%</w:t>
            </w:r>
          </w:p>
        </w:tc>
        <w:tc>
          <w:tcPr>
            <w:tcW w:w="1025" w:type="pct"/>
            <w:vAlign w:val="bottom"/>
          </w:tcPr>
          <w:p w14:paraId="2694DBAE" w14:textId="77777777" w:rsidR="00BC58C9" w:rsidRPr="00662938" w:rsidRDefault="00BC58C9" w:rsidP="007A575F">
            <w:pPr>
              <w:spacing w:before="80" w:after="80" w:line="240" w:lineRule="auto"/>
              <w:ind w:right="-82"/>
              <w:jc w:val="center"/>
              <w:rPr>
                <w:b w:val="0"/>
                <w:bCs w:val="0"/>
                <w:szCs w:val="20"/>
              </w:rPr>
            </w:pPr>
            <w:r w:rsidRPr="000D73C6">
              <w:rPr>
                <w:szCs w:val="20"/>
              </w:rPr>
              <w:t>NA</w:t>
            </w:r>
          </w:p>
        </w:tc>
      </w:tr>
    </w:tbl>
    <w:p w14:paraId="54715615" w14:textId="77777777" w:rsidR="00D80FD5" w:rsidRDefault="00D80FD5" w:rsidP="00D80FD5">
      <w:pPr>
        <w:pStyle w:val="Source"/>
        <w:ind w:right="182"/>
      </w:pPr>
      <w:r w:rsidRPr="00FF440B">
        <w:t xml:space="preserve">Source: </w:t>
      </w:r>
      <w:r w:rsidRPr="00E37ECA">
        <w:t>Company Annual Reports, all years are fiscal,</w:t>
      </w:r>
      <w:r>
        <w:t xml:space="preserve"> </w:t>
      </w:r>
      <w:r w:rsidRPr="00BD2973">
        <w:t>NA- Not Available</w:t>
      </w:r>
    </w:p>
    <w:p w14:paraId="3A9717FF" w14:textId="61CF90C2" w:rsidR="002739AE" w:rsidRDefault="009420FC" w:rsidP="00C7511A">
      <w:pPr>
        <w:pStyle w:val="Heading30"/>
        <w:ind w:right="182"/>
      </w:pPr>
      <w:r w:rsidRPr="009420FC">
        <w:t>Employe</w:t>
      </w:r>
      <w:r>
        <w:t>e</w:t>
      </w:r>
      <w:r w:rsidRPr="009420FC">
        <w:t xml:space="preserve"> </w:t>
      </w:r>
      <w:r>
        <w:t>B</w:t>
      </w:r>
      <w:r w:rsidRPr="009420FC">
        <w:t xml:space="preserve">enefit </w:t>
      </w:r>
      <w:r>
        <w:t>E</w:t>
      </w:r>
      <w:r w:rsidRPr="009420FC">
        <w:t>xpenses</w:t>
      </w:r>
      <w:r>
        <w:t xml:space="preserve"> per R</w:t>
      </w:r>
      <w:r w:rsidRPr="009420FC">
        <w:t>evenue f</w:t>
      </w:r>
      <w:r>
        <w:t>rom O</w:t>
      </w:r>
      <w:r w:rsidRPr="009420FC">
        <w:t>peration</w:t>
      </w:r>
      <w:r>
        <w:t>s</w:t>
      </w:r>
    </w:p>
    <w:p w14:paraId="1ED02B4E" w14:textId="04232CB7" w:rsidR="009420FC" w:rsidRDefault="00BA15DB" w:rsidP="009420FC">
      <w:r>
        <w:t xml:space="preserve">The </w:t>
      </w:r>
      <w:r w:rsidR="00000F84">
        <w:t>Employee Benefit Expenses per Revenue from Operations</w:t>
      </w:r>
      <w:r w:rsidR="00000F84">
        <w:rPr>
          <w:rStyle w:val="FootnoteReference"/>
        </w:rPr>
        <w:footnoteReference w:id="70"/>
      </w:r>
      <w:r>
        <w:t xml:space="preserve"> for CMPDIL </w:t>
      </w:r>
      <w:r w:rsidR="00A900DD">
        <w:t xml:space="preserve">is relatively higher compared to its peers ranging from </w:t>
      </w:r>
      <w:r w:rsidR="001B4D19">
        <w:t xml:space="preserve">50% in 2023, then to 37% in 2024 and to 29% in 2025. While the ratio </w:t>
      </w:r>
      <w:r w:rsidR="005536D4">
        <w:t>for</w:t>
      </w:r>
      <w:r w:rsidR="001B4D19">
        <w:t xml:space="preserve"> RITES </w:t>
      </w:r>
      <w:r w:rsidR="005536D4">
        <w:t xml:space="preserve">ranges from </w:t>
      </w:r>
      <w:r w:rsidR="00677ACC">
        <w:t>19</w:t>
      </w:r>
      <w:r w:rsidR="005536D4">
        <w:t>% in 202</w:t>
      </w:r>
      <w:r w:rsidR="00677ACC">
        <w:t>3</w:t>
      </w:r>
      <w:r w:rsidR="005536D4">
        <w:t xml:space="preserve"> to 23% in 2025. The ratio for EIL ranges from 2</w:t>
      </w:r>
      <w:r w:rsidR="00677ACC">
        <w:t>9</w:t>
      </w:r>
      <w:r w:rsidR="005536D4">
        <w:t xml:space="preserve">% in 2020 to 30% in 2024. The ratio for MECL </w:t>
      </w:r>
      <w:r w:rsidR="00760E7A">
        <w:t xml:space="preserve">ranges from </w:t>
      </w:r>
      <w:r w:rsidR="00677ACC">
        <w:t>50</w:t>
      </w:r>
      <w:r w:rsidR="00760E7A">
        <w:t>% in 202</w:t>
      </w:r>
      <w:r w:rsidR="00677ACC">
        <w:t>3</w:t>
      </w:r>
      <w:r w:rsidR="00760E7A">
        <w:t xml:space="preserve"> to 34% in 2024. The ratio for MECON ranges from </w:t>
      </w:r>
      <w:r w:rsidR="00677ACC">
        <w:t>38</w:t>
      </w:r>
      <w:r w:rsidR="00760E7A">
        <w:t>% in 202</w:t>
      </w:r>
      <w:r w:rsidR="00677ACC">
        <w:t>3</w:t>
      </w:r>
      <w:r w:rsidR="00760E7A">
        <w:t xml:space="preserve"> to 33% in 2024. </w:t>
      </w:r>
      <w:r w:rsidR="009420FC">
        <w:t xml:space="preserve">The ratio </w:t>
      </w:r>
      <w:r w:rsidR="009420FC" w:rsidRPr="009420FC">
        <w:t>help</w:t>
      </w:r>
      <w:r w:rsidR="009420FC">
        <w:t>s</w:t>
      </w:r>
      <w:r w:rsidR="009420FC" w:rsidRPr="009420FC">
        <w:t xml:space="preserve"> </w:t>
      </w:r>
      <w:r w:rsidR="009420FC">
        <w:t xml:space="preserve">in </w:t>
      </w:r>
      <w:r w:rsidR="009420FC" w:rsidRPr="009420FC">
        <w:t>evaluating how much a company is spending on employee benefits relative to its revenue.</w:t>
      </w:r>
    </w:p>
    <w:p w14:paraId="36C985CE" w14:textId="6E381BD7" w:rsidR="001E6D62" w:rsidRDefault="001E6D62" w:rsidP="001E6D62">
      <w:pPr>
        <w:pStyle w:val="Caption"/>
        <w:ind w:right="182"/>
      </w:pPr>
      <w:bookmarkStart w:id="6619" w:name="_Toc198731474"/>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13</w:t>
      </w:r>
      <w:r w:rsidRPr="000174A7">
        <w:fldChar w:fldCharType="end"/>
      </w:r>
      <w:r>
        <w:t xml:space="preserve"> </w:t>
      </w:r>
      <w:r w:rsidR="00CC67F0" w:rsidRPr="00CC67F0">
        <w:t>Employee Benefit Expenses per Revenue from Operations</w:t>
      </w:r>
      <w:r>
        <w:t xml:space="preserve"> (%)</w:t>
      </w:r>
      <w:bookmarkEnd w:id="6619"/>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677ACC" w:rsidRPr="008D5FF4" w14:paraId="47CD2A97" w14:textId="77777777" w:rsidTr="00662938">
        <w:trPr>
          <w:tblHeader/>
        </w:trPr>
        <w:tc>
          <w:tcPr>
            <w:tcW w:w="1432" w:type="pct"/>
            <w:shd w:val="clear" w:color="auto" w:fill="156082" w:themeFill="accent1"/>
            <w:vAlign w:val="center"/>
          </w:tcPr>
          <w:p w14:paraId="6C1F0806" w14:textId="77777777" w:rsidR="00677ACC" w:rsidRPr="008D5FF4" w:rsidRDefault="00677ACC"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14E02DB1" w14:textId="77777777" w:rsidR="00677ACC" w:rsidRPr="008D5FF4" w:rsidRDefault="00677ACC"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7745A043" w14:textId="77777777" w:rsidR="00677ACC" w:rsidRPr="008D5FF4" w:rsidRDefault="00677ACC"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452216B0" w14:textId="77777777" w:rsidR="00677ACC" w:rsidRPr="008D5FF4" w:rsidRDefault="00677ACC" w:rsidP="007A575F">
            <w:pPr>
              <w:spacing w:before="80" w:after="80" w:line="240" w:lineRule="auto"/>
              <w:ind w:right="-82"/>
              <w:jc w:val="center"/>
              <w:rPr>
                <w:color w:val="FFFFFF"/>
                <w:szCs w:val="20"/>
                <w:lang w:val="en-GB"/>
              </w:rPr>
            </w:pPr>
            <w:r>
              <w:rPr>
                <w:color w:val="FFFFFF"/>
                <w:szCs w:val="20"/>
                <w:lang w:val="en-GB"/>
              </w:rPr>
              <w:t>2025</w:t>
            </w:r>
          </w:p>
        </w:tc>
      </w:tr>
      <w:tr w:rsidR="00677ACC" w:rsidRPr="008D5FF4" w14:paraId="7A7BC428" w14:textId="77777777" w:rsidTr="00662938">
        <w:tc>
          <w:tcPr>
            <w:tcW w:w="1432" w:type="pct"/>
            <w:shd w:val="clear" w:color="auto" w:fill="C9D8E1"/>
          </w:tcPr>
          <w:p w14:paraId="24E7B5BA" w14:textId="77777777" w:rsidR="00677ACC" w:rsidRPr="008D5FF4" w:rsidRDefault="00677ACC" w:rsidP="001E6D62">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3542BCB4" w14:textId="4A737F02" w:rsidR="00677ACC" w:rsidRPr="00662938" w:rsidRDefault="00677ACC" w:rsidP="001E6D62">
            <w:pPr>
              <w:spacing w:before="80" w:after="80" w:line="240" w:lineRule="auto"/>
              <w:ind w:right="182"/>
              <w:jc w:val="center"/>
              <w:rPr>
                <w:b w:val="0"/>
                <w:bCs w:val="0"/>
                <w:szCs w:val="20"/>
              </w:rPr>
            </w:pPr>
            <w:r w:rsidRPr="00662938">
              <w:rPr>
                <w:color w:val="000000"/>
                <w:szCs w:val="20"/>
              </w:rPr>
              <w:t>50%</w:t>
            </w:r>
          </w:p>
        </w:tc>
        <w:tc>
          <w:tcPr>
            <w:tcW w:w="1270" w:type="pct"/>
            <w:shd w:val="clear" w:color="auto" w:fill="C9D8E1"/>
            <w:vAlign w:val="bottom"/>
          </w:tcPr>
          <w:p w14:paraId="5C4E0F7E" w14:textId="5E9A1EDA" w:rsidR="00677ACC" w:rsidRPr="00662938" w:rsidRDefault="00677ACC" w:rsidP="001E6D62">
            <w:pPr>
              <w:spacing w:before="80" w:after="80" w:line="240" w:lineRule="auto"/>
              <w:ind w:right="182"/>
              <w:jc w:val="center"/>
              <w:rPr>
                <w:b w:val="0"/>
                <w:bCs w:val="0"/>
                <w:szCs w:val="20"/>
              </w:rPr>
            </w:pPr>
            <w:r w:rsidRPr="00662938">
              <w:rPr>
                <w:color w:val="000000"/>
                <w:szCs w:val="20"/>
              </w:rPr>
              <w:t>37%</w:t>
            </w:r>
          </w:p>
        </w:tc>
        <w:tc>
          <w:tcPr>
            <w:tcW w:w="1025" w:type="pct"/>
            <w:shd w:val="clear" w:color="auto" w:fill="C9D8E1"/>
            <w:vAlign w:val="bottom"/>
          </w:tcPr>
          <w:p w14:paraId="39B54744" w14:textId="25BC9C75" w:rsidR="00677ACC" w:rsidRPr="00662938" w:rsidRDefault="00677ACC" w:rsidP="001E6D62">
            <w:pPr>
              <w:spacing w:before="80" w:after="80" w:line="240" w:lineRule="auto"/>
              <w:ind w:right="-82"/>
              <w:jc w:val="center"/>
              <w:rPr>
                <w:b w:val="0"/>
                <w:bCs w:val="0"/>
                <w:szCs w:val="20"/>
              </w:rPr>
            </w:pPr>
            <w:r w:rsidRPr="000D73C6">
              <w:rPr>
                <w:szCs w:val="20"/>
              </w:rPr>
              <w:t>29%</w:t>
            </w:r>
          </w:p>
        </w:tc>
      </w:tr>
      <w:tr w:rsidR="00677ACC" w:rsidRPr="008D5FF4" w14:paraId="6D3FB757" w14:textId="77777777" w:rsidTr="00662938">
        <w:tc>
          <w:tcPr>
            <w:tcW w:w="1432" w:type="pct"/>
          </w:tcPr>
          <w:p w14:paraId="7921252B" w14:textId="77777777" w:rsidR="00677ACC" w:rsidRPr="008D5FF4" w:rsidRDefault="00677ACC" w:rsidP="001E6D62">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7A7F22B0" w14:textId="7FC3F6E5" w:rsidR="00677ACC" w:rsidRPr="00662938" w:rsidRDefault="00677ACC" w:rsidP="001E6D62">
            <w:pPr>
              <w:spacing w:before="80" w:after="80" w:line="240" w:lineRule="auto"/>
              <w:ind w:right="182"/>
              <w:jc w:val="center"/>
              <w:rPr>
                <w:b w:val="0"/>
                <w:bCs w:val="0"/>
                <w:szCs w:val="20"/>
              </w:rPr>
            </w:pPr>
            <w:r w:rsidRPr="00662938">
              <w:rPr>
                <w:color w:val="000000"/>
                <w:szCs w:val="20"/>
              </w:rPr>
              <w:t>19%</w:t>
            </w:r>
          </w:p>
        </w:tc>
        <w:tc>
          <w:tcPr>
            <w:tcW w:w="1270" w:type="pct"/>
            <w:vAlign w:val="bottom"/>
          </w:tcPr>
          <w:p w14:paraId="7A62C4ED" w14:textId="090604DB" w:rsidR="00677ACC" w:rsidRPr="00662938" w:rsidRDefault="00677ACC" w:rsidP="001E6D62">
            <w:pPr>
              <w:spacing w:before="80" w:after="80" w:line="240" w:lineRule="auto"/>
              <w:ind w:right="182"/>
              <w:jc w:val="center"/>
              <w:rPr>
                <w:b w:val="0"/>
                <w:bCs w:val="0"/>
                <w:szCs w:val="20"/>
              </w:rPr>
            </w:pPr>
            <w:r w:rsidRPr="00662938">
              <w:rPr>
                <w:color w:val="000000"/>
                <w:szCs w:val="20"/>
              </w:rPr>
              <w:t>20%</w:t>
            </w:r>
          </w:p>
        </w:tc>
        <w:tc>
          <w:tcPr>
            <w:tcW w:w="1025" w:type="pct"/>
            <w:vAlign w:val="bottom"/>
          </w:tcPr>
          <w:p w14:paraId="3A29B634" w14:textId="289379BB" w:rsidR="00677ACC" w:rsidRPr="00662938" w:rsidRDefault="00677ACC" w:rsidP="001E6D62">
            <w:pPr>
              <w:spacing w:before="80" w:after="80" w:line="240" w:lineRule="auto"/>
              <w:ind w:right="-82"/>
              <w:jc w:val="center"/>
              <w:rPr>
                <w:b w:val="0"/>
                <w:bCs w:val="0"/>
                <w:szCs w:val="20"/>
              </w:rPr>
            </w:pPr>
            <w:r w:rsidRPr="000D73C6">
              <w:rPr>
                <w:szCs w:val="20"/>
              </w:rPr>
              <w:t>23%</w:t>
            </w:r>
          </w:p>
        </w:tc>
      </w:tr>
      <w:tr w:rsidR="00677ACC" w:rsidRPr="008D5FF4" w14:paraId="46761312" w14:textId="77777777" w:rsidTr="00662938">
        <w:tc>
          <w:tcPr>
            <w:tcW w:w="1432" w:type="pct"/>
          </w:tcPr>
          <w:p w14:paraId="40696543" w14:textId="77777777" w:rsidR="00677ACC" w:rsidRPr="008D5FF4" w:rsidRDefault="00677ACC" w:rsidP="00BA15DB">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345F76C1" w14:textId="42B3B9AB" w:rsidR="00677ACC" w:rsidRPr="00662938" w:rsidRDefault="00677ACC" w:rsidP="00BA15DB">
            <w:pPr>
              <w:spacing w:before="80" w:after="80" w:line="240" w:lineRule="auto"/>
              <w:ind w:right="182"/>
              <w:jc w:val="center"/>
              <w:rPr>
                <w:b w:val="0"/>
                <w:bCs w:val="0"/>
                <w:szCs w:val="20"/>
              </w:rPr>
            </w:pPr>
            <w:r w:rsidRPr="00662938">
              <w:rPr>
                <w:color w:val="000000"/>
                <w:szCs w:val="20"/>
              </w:rPr>
              <w:t>29%</w:t>
            </w:r>
          </w:p>
        </w:tc>
        <w:tc>
          <w:tcPr>
            <w:tcW w:w="1270" w:type="pct"/>
            <w:vAlign w:val="bottom"/>
          </w:tcPr>
          <w:p w14:paraId="4D5B93C4" w14:textId="463A095D" w:rsidR="00677ACC" w:rsidRPr="00662938" w:rsidRDefault="00677ACC" w:rsidP="00BA15DB">
            <w:pPr>
              <w:spacing w:before="80" w:after="80" w:line="240" w:lineRule="auto"/>
              <w:ind w:right="182"/>
              <w:jc w:val="center"/>
              <w:rPr>
                <w:b w:val="0"/>
                <w:bCs w:val="0"/>
                <w:szCs w:val="20"/>
              </w:rPr>
            </w:pPr>
            <w:r w:rsidRPr="00662938">
              <w:rPr>
                <w:color w:val="000000"/>
                <w:szCs w:val="20"/>
              </w:rPr>
              <w:t>30%</w:t>
            </w:r>
          </w:p>
        </w:tc>
        <w:tc>
          <w:tcPr>
            <w:tcW w:w="1025" w:type="pct"/>
            <w:vAlign w:val="bottom"/>
          </w:tcPr>
          <w:p w14:paraId="4D40B53F" w14:textId="77777777" w:rsidR="00677ACC" w:rsidRPr="00662938" w:rsidRDefault="00677ACC" w:rsidP="00BA15DB">
            <w:pPr>
              <w:spacing w:before="80" w:after="80" w:line="240" w:lineRule="auto"/>
              <w:ind w:right="-82"/>
              <w:jc w:val="center"/>
              <w:rPr>
                <w:b w:val="0"/>
                <w:bCs w:val="0"/>
                <w:szCs w:val="20"/>
              </w:rPr>
            </w:pPr>
            <w:r w:rsidRPr="000D73C6">
              <w:rPr>
                <w:szCs w:val="20"/>
              </w:rPr>
              <w:t>NA</w:t>
            </w:r>
          </w:p>
        </w:tc>
      </w:tr>
      <w:tr w:rsidR="00677ACC" w:rsidRPr="008D5FF4" w14:paraId="45670C97" w14:textId="77777777" w:rsidTr="00662938">
        <w:tc>
          <w:tcPr>
            <w:tcW w:w="1432" w:type="pct"/>
          </w:tcPr>
          <w:p w14:paraId="3AC66392" w14:textId="77777777" w:rsidR="00677ACC" w:rsidRPr="008D5FF4" w:rsidRDefault="00677ACC" w:rsidP="00BA15DB">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32D30508" w14:textId="4EF86430" w:rsidR="00677ACC" w:rsidRPr="00662938" w:rsidRDefault="00677ACC" w:rsidP="00BA15DB">
            <w:pPr>
              <w:spacing w:before="80" w:after="80" w:line="240" w:lineRule="auto"/>
              <w:ind w:right="182"/>
              <w:jc w:val="center"/>
              <w:rPr>
                <w:b w:val="0"/>
                <w:bCs w:val="0"/>
                <w:szCs w:val="20"/>
              </w:rPr>
            </w:pPr>
            <w:r w:rsidRPr="00662938">
              <w:rPr>
                <w:color w:val="000000"/>
                <w:szCs w:val="20"/>
              </w:rPr>
              <w:t>50%</w:t>
            </w:r>
          </w:p>
        </w:tc>
        <w:tc>
          <w:tcPr>
            <w:tcW w:w="1270" w:type="pct"/>
            <w:vAlign w:val="bottom"/>
          </w:tcPr>
          <w:p w14:paraId="6474DC8B" w14:textId="6CEF9507" w:rsidR="00677ACC" w:rsidRPr="00662938" w:rsidRDefault="00677ACC" w:rsidP="00BA15DB">
            <w:pPr>
              <w:spacing w:before="80" w:after="80" w:line="240" w:lineRule="auto"/>
              <w:ind w:right="182"/>
              <w:jc w:val="center"/>
              <w:rPr>
                <w:b w:val="0"/>
                <w:bCs w:val="0"/>
                <w:szCs w:val="20"/>
              </w:rPr>
            </w:pPr>
            <w:r w:rsidRPr="00662938">
              <w:rPr>
                <w:color w:val="000000"/>
                <w:szCs w:val="20"/>
              </w:rPr>
              <w:t>34%</w:t>
            </w:r>
          </w:p>
        </w:tc>
        <w:tc>
          <w:tcPr>
            <w:tcW w:w="1025" w:type="pct"/>
            <w:vAlign w:val="bottom"/>
          </w:tcPr>
          <w:p w14:paraId="723DBC20" w14:textId="77777777" w:rsidR="00677ACC" w:rsidRPr="00662938" w:rsidRDefault="00677ACC" w:rsidP="00BA15DB">
            <w:pPr>
              <w:spacing w:before="80" w:after="80" w:line="240" w:lineRule="auto"/>
              <w:ind w:right="-82"/>
              <w:jc w:val="center"/>
              <w:rPr>
                <w:b w:val="0"/>
                <w:bCs w:val="0"/>
                <w:szCs w:val="20"/>
              </w:rPr>
            </w:pPr>
            <w:r w:rsidRPr="000D73C6">
              <w:rPr>
                <w:szCs w:val="20"/>
              </w:rPr>
              <w:t>NA</w:t>
            </w:r>
          </w:p>
        </w:tc>
      </w:tr>
      <w:tr w:rsidR="00677ACC" w:rsidRPr="008D5FF4" w14:paraId="0950A801" w14:textId="77777777" w:rsidTr="00662938">
        <w:tc>
          <w:tcPr>
            <w:tcW w:w="1432" w:type="pct"/>
          </w:tcPr>
          <w:p w14:paraId="1D5AC52A" w14:textId="77777777" w:rsidR="00677ACC" w:rsidRPr="008D5FF4" w:rsidRDefault="00677ACC" w:rsidP="00BA15DB">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741A57AC" w14:textId="2EEFBD5B" w:rsidR="00677ACC" w:rsidRPr="00662938" w:rsidRDefault="00677ACC" w:rsidP="00BA15DB">
            <w:pPr>
              <w:spacing w:before="80" w:after="80" w:line="240" w:lineRule="auto"/>
              <w:ind w:right="182"/>
              <w:jc w:val="center"/>
              <w:rPr>
                <w:b w:val="0"/>
                <w:bCs w:val="0"/>
                <w:szCs w:val="20"/>
              </w:rPr>
            </w:pPr>
            <w:r w:rsidRPr="00662938">
              <w:rPr>
                <w:color w:val="000000"/>
                <w:szCs w:val="20"/>
              </w:rPr>
              <w:t>38%</w:t>
            </w:r>
          </w:p>
        </w:tc>
        <w:tc>
          <w:tcPr>
            <w:tcW w:w="1270" w:type="pct"/>
            <w:vAlign w:val="bottom"/>
          </w:tcPr>
          <w:p w14:paraId="31A247B0" w14:textId="3D0F04D5" w:rsidR="00677ACC" w:rsidRPr="00662938" w:rsidRDefault="00677ACC" w:rsidP="00BA15DB">
            <w:pPr>
              <w:spacing w:before="80" w:after="80" w:line="240" w:lineRule="auto"/>
              <w:ind w:right="182"/>
              <w:jc w:val="center"/>
              <w:rPr>
                <w:b w:val="0"/>
                <w:bCs w:val="0"/>
                <w:szCs w:val="20"/>
              </w:rPr>
            </w:pPr>
            <w:r w:rsidRPr="00662938">
              <w:rPr>
                <w:color w:val="000000"/>
                <w:szCs w:val="20"/>
              </w:rPr>
              <w:t>33%</w:t>
            </w:r>
          </w:p>
        </w:tc>
        <w:tc>
          <w:tcPr>
            <w:tcW w:w="1025" w:type="pct"/>
            <w:vAlign w:val="bottom"/>
          </w:tcPr>
          <w:p w14:paraId="39A4FB7C" w14:textId="77777777" w:rsidR="00677ACC" w:rsidRPr="00662938" w:rsidRDefault="00677ACC" w:rsidP="00BA15DB">
            <w:pPr>
              <w:spacing w:before="80" w:after="80" w:line="240" w:lineRule="auto"/>
              <w:ind w:right="-82"/>
              <w:jc w:val="center"/>
              <w:rPr>
                <w:b w:val="0"/>
                <w:bCs w:val="0"/>
                <w:szCs w:val="20"/>
              </w:rPr>
            </w:pPr>
            <w:r w:rsidRPr="000D73C6">
              <w:rPr>
                <w:szCs w:val="20"/>
              </w:rPr>
              <w:t>NA</w:t>
            </w:r>
          </w:p>
        </w:tc>
      </w:tr>
    </w:tbl>
    <w:p w14:paraId="7649EDAD" w14:textId="77777777" w:rsidR="001E6D62" w:rsidRDefault="001E6D62" w:rsidP="001E6D62">
      <w:pPr>
        <w:pStyle w:val="Source"/>
        <w:ind w:right="182"/>
      </w:pPr>
      <w:r w:rsidRPr="00FF440B">
        <w:t xml:space="preserve">Source: </w:t>
      </w:r>
      <w:r w:rsidRPr="00E37ECA">
        <w:t>Company Annual Reports, all years are fiscal,</w:t>
      </w:r>
      <w:r>
        <w:t xml:space="preserve"> </w:t>
      </w:r>
      <w:r w:rsidRPr="00BD2973">
        <w:t>NA- Not Available</w:t>
      </w:r>
    </w:p>
    <w:p w14:paraId="5E5CAEB7" w14:textId="2DFF8243" w:rsidR="00760E7A" w:rsidRDefault="00684A75" w:rsidP="00C7511A">
      <w:pPr>
        <w:pStyle w:val="Heading30"/>
        <w:ind w:right="182"/>
      </w:pPr>
      <w:r w:rsidRPr="00684A75">
        <w:t>PAT</w:t>
      </w:r>
      <w:r>
        <w:t xml:space="preserve"> per E</w:t>
      </w:r>
      <w:r w:rsidRPr="00684A75">
        <w:t>mploye</w:t>
      </w:r>
      <w:r>
        <w:t>e</w:t>
      </w:r>
      <w:r w:rsidRPr="00684A75">
        <w:t xml:space="preserve"> </w:t>
      </w:r>
      <w:r>
        <w:t>E</w:t>
      </w:r>
      <w:r w:rsidRPr="00684A75">
        <w:t>xpenses</w:t>
      </w:r>
    </w:p>
    <w:p w14:paraId="58BDD71F" w14:textId="14B0FD2F" w:rsidR="00997153" w:rsidRDefault="00997153" w:rsidP="00684A75">
      <w:r>
        <w:t>CMPDIL</w:t>
      </w:r>
      <w:r w:rsidRPr="0007584B">
        <w:t>'s PAT per employee</w:t>
      </w:r>
      <w:r w:rsidR="004D4261">
        <w:t xml:space="preserve"> expenses</w:t>
      </w:r>
      <w:r w:rsidR="00FB0FBF">
        <w:rPr>
          <w:rStyle w:val="FootnoteReference"/>
        </w:rPr>
        <w:footnoteReference w:id="71"/>
      </w:r>
      <w:r w:rsidRPr="0007584B">
        <w:t xml:space="preserve"> ha</w:t>
      </w:r>
      <w:r w:rsidR="00F47E7C">
        <w:t>ve</w:t>
      </w:r>
      <w:r w:rsidRPr="0007584B">
        <w:t xml:space="preserve"> increased significantly, from </w:t>
      </w:r>
      <w:r w:rsidR="00677ACC">
        <w:t>0.4</w:t>
      </w:r>
      <w:r w:rsidR="004D4261">
        <w:t xml:space="preserve"> </w:t>
      </w:r>
      <w:r w:rsidRPr="0007584B">
        <w:t>in 202</w:t>
      </w:r>
      <w:r w:rsidR="00677ACC">
        <w:t>3</w:t>
      </w:r>
      <w:r w:rsidRPr="0007584B">
        <w:t xml:space="preserve"> to</w:t>
      </w:r>
      <w:r>
        <w:t xml:space="preserve"> </w:t>
      </w:r>
      <w:r w:rsidR="004D4261">
        <w:t>1.1</w:t>
      </w:r>
      <w:r w:rsidRPr="0007584B">
        <w:t xml:space="preserve"> in 202</w:t>
      </w:r>
      <w:r w:rsidR="004D4261">
        <w:t>5</w:t>
      </w:r>
      <w:r w:rsidRPr="0007584B">
        <w:t xml:space="preserve">. In contrast, </w:t>
      </w:r>
      <w:r w:rsidR="004D4261" w:rsidRPr="0007584B">
        <w:t xml:space="preserve">RITES' PAT per employee </w:t>
      </w:r>
      <w:r w:rsidR="004D4261">
        <w:t xml:space="preserve">expenses </w:t>
      </w:r>
      <w:r w:rsidR="004D4261" w:rsidRPr="0007584B">
        <w:t>ha</w:t>
      </w:r>
      <w:r w:rsidR="00AE16B6">
        <w:t>ve</w:t>
      </w:r>
      <w:r w:rsidR="004D4261" w:rsidRPr="0007584B">
        <w:t xml:space="preserve"> declined, from </w:t>
      </w:r>
      <w:r w:rsidR="004D4261">
        <w:t>1.</w:t>
      </w:r>
      <w:r w:rsidR="00677ACC">
        <w:t>1</w:t>
      </w:r>
      <w:r w:rsidR="004D4261" w:rsidRPr="0007584B">
        <w:t xml:space="preserve"> in 202</w:t>
      </w:r>
      <w:r w:rsidR="00677ACC">
        <w:t>3</w:t>
      </w:r>
      <w:r w:rsidR="004D4261" w:rsidRPr="0007584B">
        <w:t xml:space="preserve"> to </w:t>
      </w:r>
      <w:r w:rsidR="004D4261">
        <w:t>0.8</w:t>
      </w:r>
      <w:r w:rsidR="00677ACC">
        <w:t xml:space="preserve"> in 2025</w:t>
      </w:r>
      <w:r w:rsidR="004D4261">
        <w:t xml:space="preserve">, while </w:t>
      </w:r>
      <w:r w:rsidRPr="0007584B">
        <w:t xml:space="preserve">EIL's PAT per employee </w:t>
      </w:r>
      <w:r w:rsidR="004D4261">
        <w:t xml:space="preserve">expenses </w:t>
      </w:r>
      <w:r w:rsidRPr="0007584B">
        <w:t>ha</w:t>
      </w:r>
      <w:r w:rsidR="004D4261">
        <w:t>ve remained</w:t>
      </w:r>
      <w:r w:rsidRPr="0007584B">
        <w:t xml:space="preserve"> </w:t>
      </w:r>
      <w:r w:rsidR="00024565">
        <w:t>stable at 0</w:t>
      </w:r>
      <w:r w:rsidRPr="0007584B">
        <w:t>.</w:t>
      </w:r>
      <w:r w:rsidR="00677ACC">
        <w:t>4</w:t>
      </w:r>
      <w:r w:rsidRPr="0007584B">
        <w:t xml:space="preserve"> in 202</w:t>
      </w:r>
      <w:r w:rsidR="00677ACC">
        <w:t>3</w:t>
      </w:r>
      <w:r w:rsidRPr="0007584B">
        <w:t xml:space="preserve"> to </w:t>
      </w:r>
      <w:r w:rsidR="00024565">
        <w:t>0.5 in</w:t>
      </w:r>
      <w:r w:rsidRPr="0007584B">
        <w:t xml:space="preserve"> 2024. MECL's PAT per employee </w:t>
      </w:r>
      <w:r w:rsidR="00024565">
        <w:t xml:space="preserve">expense </w:t>
      </w:r>
      <w:r w:rsidRPr="0007584B">
        <w:t xml:space="preserve">has experienced a </w:t>
      </w:r>
      <w:r w:rsidR="001D739C">
        <w:t>growth</w:t>
      </w:r>
      <w:r w:rsidRPr="0007584B">
        <w:t>, from</w:t>
      </w:r>
      <w:r>
        <w:t xml:space="preserve"> </w:t>
      </w:r>
      <w:r w:rsidR="001D739C">
        <w:t>0</w:t>
      </w:r>
      <w:r w:rsidR="00024565">
        <w:t xml:space="preserve">.1 </w:t>
      </w:r>
      <w:r w:rsidRPr="0007584B">
        <w:t>in 202</w:t>
      </w:r>
      <w:r w:rsidR="001D739C">
        <w:t>3</w:t>
      </w:r>
      <w:r w:rsidRPr="0007584B">
        <w:t xml:space="preserve"> to</w:t>
      </w:r>
      <w:r>
        <w:t xml:space="preserve"> </w:t>
      </w:r>
      <w:r w:rsidR="00024565">
        <w:t>0.8 in 2024</w:t>
      </w:r>
      <w:r w:rsidRPr="0007584B">
        <w:t>. MECON's PAT per employee</w:t>
      </w:r>
      <w:r w:rsidR="00024565">
        <w:t xml:space="preserve"> expense </w:t>
      </w:r>
      <w:r w:rsidR="001D739C">
        <w:t xml:space="preserve">also remained stable at </w:t>
      </w:r>
      <w:r w:rsidRPr="0007584B">
        <w:t>0.</w:t>
      </w:r>
      <w:r w:rsidR="001D739C">
        <w:t>1</w:t>
      </w:r>
      <w:r w:rsidRPr="0007584B">
        <w:t xml:space="preserve"> </w:t>
      </w:r>
      <w:r w:rsidR="00024565">
        <w:t>i</w:t>
      </w:r>
      <w:r w:rsidRPr="0007584B">
        <w:t xml:space="preserve">n </w:t>
      </w:r>
      <w:r w:rsidR="001D739C">
        <w:t xml:space="preserve">2023 and </w:t>
      </w:r>
      <w:r w:rsidRPr="0007584B">
        <w:t xml:space="preserve">2024. </w:t>
      </w:r>
      <w:r w:rsidR="00D92A57">
        <w:t xml:space="preserve">The ratio </w:t>
      </w:r>
      <w:r w:rsidR="00D92A57" w:rsidRPr="00684A75">
        <w:t xml:space="preserve">helps in assessing </w:t>
      </w:r>
      <w:r w:rsidR="00D92A57">
        <w:t xml:space="preserve">the </w:t>
      </w:r>
      <w:r w:rsidR="00D92A57" w:rsidRPr="00684A75">
        <w:t xml:space="preserve">company's ability to generate profit for every rupee spent on employee expenses during the </w:t>
      </w:r>
      <w:r w:rsidR="007F009A" w:rsidRPr="00684A75">
        <w:t>financial</w:t>
      </w:r>
      <w:r w:rsidR="00D92A57" w:rsidRPr="00684A75">
        <w:t xml:space="preserve"> year.</w:t>
      </w:r>
      <w:r w:rsidR="00D92A57">
        <w:t xml:space="preserve"> </w:t>
      </w:r>
      <w:r w:rsidRPr="0007584B">
        <w:t xml:space="preserve">These trends suggest that companies are focusing on improving profitability and efficiency, with </w:t>
      </w:r>
      <w:r>
        <w:t>CMPDIL</w:t>
      </w:r>
      <w:r w:rsidRPr="0007584B">
        <w:t xml:space="preserve"> being successful in this regard.</w:t>
      </w:r>
      <w:r>
        <w:t xml:space="preserve"> The trend of slight decline in Revenue per employee initially and steady rise in PAT per employee while the overall manpower falling suggest that the productivity per employee has been on the rise. </w:t>
      </w:r>
    </w:p>
    <w:p w14:paraId="7226F174" w14:textId="7AE52C40" w:rsidR="00CC67F0" w:rsidRDefault="00CC67F0" w:rsidP="00CC67F0">
      <w:pPr>
        <w:pStyle w:val="Caption"/>
        <w:ind w:right="182"/>
      </w:pPr>
      <w:bookmarkStart w:id="6620" w:name="_Toc198731475"/>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14</w:t>
      </w:r>
      <w:r w:rsidRPr="000174A7">
        <w:fldChar w:fldCharType="end"/>
      </w:r>
      <w:r>
        <w:t xml:space="preserve"> PAT per </w:t>
      </w:r>
      <w:r w:rsidRPr="00CC67F0">
        <w:t>Employee Expenses</w:t>
      </w:r>
      <w:bookmarkEnd w:id="6620"/>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677ACC" w:rsidRPr="008D5FF4" w14:paraId="2D8082AD" w14:textId="77777777" w:rsidTr="00662938">
        <w:trPr>
          <w:tblHeader/>
        </w:trPr>
        <w:tc>
          <w:tcPr>
            <w:tcW w:w="1432" w:type="pct"/>
            <w:shd w:val="clear" w:color="auto" w:fill="156082" w:themeFill="accent1"/>
            <w:vAlign w:val="center"/>
          </w:tcPr>
          <w:p w14:paraId="5B09EFDE" w14:textId="77777777" w:rsidR="00677ACC" w:rsidRPr="008D5FF4" w:rsidRDefault="00677ACC"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7EBBA19A" w14:textId="77777777" w:rsidR="00677ACC" w:rsidRPr="008D5FF4" w:rsidRDefault="00677ACC"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7F338C6C" w14:textId="77777777" w:rsidR="00677ACC" w:rsidRPr="008D5FF4" w:rsidRDefault="00677ACC"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779F189F" w14:textId="77777777" w:rsidR="00677ACC" w:rsidRPr="008D5FF4" w:rsidRDefault="00677ACC" w:rsidP="007A575F">
            <w:pPr>
              <w:spacing w:before="80" w:after="80" w:line="240" w:lineRule="auto"/>
              <w:ind w:right="-82"/>
              <w:jc w:val="center"/>
              <w:rPr>
                <w:color w:val="FFFFFF"/>
                <w:szCs w:val="20"/>
                <w:lang w:val="en-GB"/>
              </w:rPr>
            </w:pPr>
            <w:r>
              <w:rPr>
                <w:color w:val="FFFFFF"/>
                <w:szCs w:val="20"/>
                <w:lang w:val="en-GB"/>
              </w:rPr>
              <w:t>2025</w:t>
            </w:r>
          </w:p>
        </w:tc>
      </w:tr>
      <w:tr w:rsidR="00677ACC" w:rsidRPr="008D5FF4" w14:paraId="0030FAA7" w14:textId="77777777" w:rsidTr="00662938">
        <w:tc>
          <w:tcPr>
            <w:tcW w:w="1432" w:type="pct"/>
            <w:shd w:val="clear" w:color="auto" w:fill="C9D8E1"/>
          </w:tcPr>
          <w:p w14:paraId="3621E484" w14:textId="77777777" w:rsidR="00677ACC" w:rsidRPr="008D5FF4" w:rsidRDefault="00677ACC" w:rsidP="00846454">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32215BA5" w14:textId="63A9023A" w:rsidR="00677ACC" w:rsidRPr="00662938" w:rsidRDefault="00677ACC" w:rsidP="00846454">
            <w:pPr>
              <w:spacing w:before="80" w:after="80" w:line="240" w:lineRule="auto"/>
              <w:ind w:right="182"/>
              <w:jc w:val="center"/>
              <w:rPr>
                <w:b w:val="0"/>
                <w:bCs w:val="0"/>
                <w:szCs w:val="20"/>
              </w:rPr>
            </w:pPr>
            <w:r w:rsidRPr="00662938">
              <w:rPr>
                <w:color w:val="000000"/>
                <w:szCs w:val="20"/>
              </w:rPr>
              <w:t>0.4</w:t>
            </w:r>
          </w:p>
        </w:tc>
        <w:tc>
          <w:tcPr>
            <w:tcW w:w="1270" w:type="pct"/>
            <w:shd w:val="clear" w:color="auto" w:fill="C9D8E1"/>
            <w:vAlign w:val="bottom"/>
          </w:tcPr>
          <w:p w14:paraId="44C59332" w14:textId="2CBC0180" w:rsidR="00677ACC" w:rsidRPr="00662938" w:rsidRDefault="00677ACC" w:rsidP="00846454">
            <w:pPr>
              <w:spacing w:before="80" w:after="80" w:line="240" w:lineRule="auto"/>
              <w:ind w:right="182"/>
              <w:jc w:val="center"/>
              <w:rPr>
                <w:b w:val="0"/>
                <w:bCs w:val="0"/>
                <w:szCs w:val="20"/>
              </w:rPr>
            </w:pPr>
            <w:r w:rsidRPr="00662938">
              <w:rPr>
                <w:color w:val="000000"/>
                <w:szCs w:val="20"/>
              </w:rPr>
              <w:t>0.8</w:t>
            </w:r>
          </w:p>
        </w:tc>
        <w:tc>
          <w:tcPr>
            <w:tcW w:w="1025" w:type="pct"/>
            <w:shd w:val="clear" w:color="auto" w:fill="C9D8E1"/>
            <w:vAlign w:val="bottom"/>
          </w:tcPr>
          <w:p w14:paraId="6AACBF3A" w14:textId="2B1BAB3A" w:rsidR="00677ACC" w:rsidRPr="00662938" w:rsidRDefault="00677ACC" w:rsidP="00846454">
            <w:pPr>
              <w:spacing w:before="80" w:after="80" w:line="240" w:lineRule="auto"/>
              <w:ind w:right="-82"/>
              <w:jc w:val="center"/>
              <w:rPr>
                <w:b w:val="0"/>
                <w:bCs w:val="0"/>
                <w:szCs w:val="20"/>
              </w:rPr>
            </w:pPr>
            <w:r w:rsidRPr="000D73C6">
              <w:rPr>
                <w:szCs w:val="20"/>
              </w:rPr>
              <w:t>1.1</w:t>
            </w:r>
          </w:p>
        </w:tc>
      </w:tr>
      <w:tr w:rsidR="00677ACC" w:rsidRPr="008D5FF4" w14:paraId="0557069D" w14:textId="77777777" w:rsidTr="00662938">
        <w:tc>
          <w:tcPr>
            <w:tcW w:w="1432" w:type="pct"/>
          </w:tcPr>
          <w:p w14:paraId="720C7F54" w14:textId="77777777" w:rsidR="00677ACC" w:rsidRPr="008D5FF4" w:rsidRDefault="00677ACC" w:rsidP="00C916BF">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0DBB94B5" w14:textId="639FDA51" w:rsidR="00677ACC" w:rsidRPr="00662938" w:rsidRDefault="00677ACC" w:rsidP="00C916BF">
            <w:pPr>
              <w:spacing w:before="80" w:after="80" w:line="240" w:lineRule="auto"/>
              <w:ind w:right="182"/>
              <w:jc w:val="center"/>
              <w:rPr>
                <w:b w:val="0"/>
                <w:bCs w:val="0"/>
                <w:szCs w:val="20"/>
              </w:rPr>
            </w:pPr>
            <w:r w:rsidRPr="00662938">
              <w:rPr>
                <w:color w:val="000000"/>
                <w:szCs w:val="20"/>
              </w:rPr>
              <w:t>1.1</w:t>
            </w:r>
          </w:p>
        </w:tc>
        <w:tc>
          <w:tcPr>
            <w:tcW w:w="1270" w:type="pct"/>
            <w:vAlign w:val="bottom"/>
          </w:tcPr>
          <w:p w14:paraId="7044A563" w14:textId="0DF03590" w:rsidR="00677ACC" w:rsidRPr="00662938" w:rsidRDefault="00677ACC" w:rsidP="00C916BF">
            <w:pPr>
              <w:spacing w:before="80" w:after="80" w:line="240" w:lineRule="auto"/>
              <w:ind w:right="182"/>
              <w:jc w:val="center"/>
              <w:rPr>
                <w:b w:val="0"/>
                <w:bCs w:val="0"/>
                <w:szCs w:val="20"/>
              </w:rPr>
            </w:pPr>
            <w:r w:rsidRPr="00662938">
              <w:rPr>
                <w:color w:val="000000"/>
                <w:szCs w:val="20"/>
              </w:rPr>
              <w:t>1.0</w:t>
            </w:r>
          </w:p>
        </w:tc>
        <w:tc>
          <w:tcPr>
            <w:tcW w:w="1025" w:type="pct"/>
            <w:vAlign w:val="bottom"/>
          </w:tcPr>
          <w:p w14:paraId="1489CBAA" w14:textId="0635E369" w:rsidR="00677ACC" w:rsidRPr="00662938" w:rsidRDefault="00677ACC" w:rsidP="00C916BF">
            <w:pPr>
              <w:spacing w:before="80" w:after="80" w:line="240" w:lineRule="auto"/>
              <w:ind w:right="-82"/>
              <w:jc w:val="center"/>
              <w:rPr>
                <w:b w:val="0"/>
                <w:bCs w:val="0"/>
                <w:szCs w:val="20"/>
              </w:rPr>
            </w:pPr>
            <w:r w:rsidRPr="000D73C6">
              <w:rPr>
                <w:szCs w:val="20"/>
              </w:rPr>
              <w:t>0.8</w:t>
            </w:r>
          </w:p>
        </w:tc>
      </w:tr>
      <w:tr w:rsidR="00677ACC" w:rsidRPr="008D5FF4" w14:paraId="4E0BF1A4" w14:textId="77777777" w:rsidTr="00662938">
        <w:tc>
          <w:tcPr>
            <w:tcW w:w="1432" w:type="pct"/>
          </w:tcPr>
          <w:p w14:paraId="76A55DF1" w14:textId="77777777" w:rsidR="00677ACC" w:rsidRPr="008D5FF4" w:rsidRDefault="00677ACC" w:rsidP="00846454">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6BFB2182" w14:textId="18A9DFB6" w:rsidR="00677ACC" w:rsidRPr="00662938" w:rsidRDefault="00677ACC" w:rsidP="00846454">
            <w:pPr>
              <w:spacing w:before="80" w:after="80" w:line="240" w:lineRule="auto"/>
              <w:ind w:right="182"/>
              <w:jc w:val="center"/>
              <w:rPr>
                <w:b w:val="0"/>
                <w:bCs w:val="0"/>
                <w:szCs w:val="20"/>
              </w:rPr>
            </w:pPr>
            <w:r w:rsidRPr="00662938">
              <w:rPr>
                <w:color w:val="000000"/>
                <w:szCs w:val="20"/>
              </w:rPr>
              <w:t>0.4</w:t>
            </w:r>
          </w:p>
        </w:tc>
        <w:tc>
          <w:tcPr>
            <w:tcW w:w="1270" w:type="pct"/>
            <w:vAlign w:val="bottom"/>
          </w:tcPr>
          <w:p w14:paraId="1C4160AE" w14:textId="1031DE6D" w:rsidR="00677ACC" w:rsidRPr="00662938" w:rsidRDefault="00677ACC" w:rsidP="00846454">
            <w:pPr>
              <w:spacing w:before="80" w:after="80" w:line="240" w:lineRule="auto"/>
              <w:ind w:right="182"/>
              <w:jc w:val="center"/>
              <w:rPr>
                <w:b w:val="0"/>
                <w:bCs w:val="0"/>
                <w:szCs w:val="20"/>
              </w:rPr>
            </w:pPr>
            <w:r w:rsidRPr="00662938">
              <w:rPr>
                <w:color w:val="000000"/>
                <w:szCs w:val="20"/>
              </w:rPr>
              <w:t>0.5</w:t>
            </w:r>
          </w:p>
        </w:tc>
        <w:tc>
          <w:tcPr>
            <w:tcW w:w="1025" w:type="pct"/>
            <w:vAlign w:val="bottom"/>
          </w:tcPr>
          <w:p w14:paraId="1326AEC8" w14:textId="77777777" w:rsidR="00677ACC" w:rsidRPr="00662938" w:rsidRDefault="00677ACC" w:rsidP="00846454">
            <w:pPr>
              <w:spacing w:before="80" w:after="80" w:line="240" w:lineRule="auto"/>
              <w:ind w:right="-82"/>
              <w:jc w:val="center"/>
              <w:rPr>
                <w:b w:val="0"/>
                <w:bCs w:val="0"/>
                <w:szCs w:val="20"/>
              </w:rPr>
            </w:pPr>
            <w:r w:rsidRPr="000D73C6">
              <w:rPr>
                <w:szCs w:val="20"/>
              </w:rPr>
              <w:t>NA</w:t>
            </w:r>
          </w:p>
        </w:tc>
      </w:tr>
      <w:tr w:rsidR="00677ACC" w:rsidRPr="008D5FF4" w14:paraId="01991F9E" w14:textId="77777777" w:rsidTr="00662938">
        <w:tc>
          <w:tcPr>
            <w:tcW w:w="1432" w:type="pct"/>
          </w:tcPr>
          <w:p w14:paraId="3B420941" w14:textId="77777777" w:rsidR="00677ACC" w:rsidRPr="008D5FF4" w:rsidRDefault="00677ACC" w:rsidP="00846454">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383C3FFC" w14:textId="134C4E12" w:rsidR="00677ACC" w:rsidRPr="00662938" w:rsidRDefault="00677ACC" w:rsidP="00846454">
            <w:pPr>
              <w:spacing w:before="80" w:after="80" w:line="240" w:lineRule="auto"/>
              <w:ind w:right="182"/>
              <w:jc w:val="center"/>
              <w:rPr>
                <w:b w:val="0"/>
                <w:bCs w:val="0"/>
                <w:szCs w:val="20"/>
              </w:rPr>
            </w:pPr>
            <w:r w:rsidRPr="00662938">
              <w:rPr>
                <w:color w:val="000000"/>
                <w:szCs w:val="20"/>
              </w:rPr>
              <w:t>0.1</w:t>
            </w:r>
          </w:p>
        </w:tc>
        <w:tc>
          <w:tcPr>
            <w:tcW w:w="1270" w:type="pct"/>
            <w:vAlign w:val="bottom"/>
          </w:tcPr>
          <w:p w14:paraId="7A6F876D" w14:textId="677F54AA" w:rsidR="00677ACC" w:rsidRPr="00662938" w:rsidRDefault="00677ACC" w:rsidP="00846454">
            <w:pPr>
              <w:spacing w:before="80" w:after="80" w:line="240" w:lineRule="auto"/>
              <w:ind w:right="182"/>
              <w:jc w:val="center"/>
              <w:rPr>
                <w:b w:val="0"/>
                <w:bCs w:val="0"/>
                <w:szCs w:val="20"/>
              </w:rPr>
            </w:pPr>
            <w:r w:rsidRPr="00662938">
              <w:rPr>
                <w:color w:val="000000"/>
                <w:szCs w:val="20"/>
              </w:rPr>
              <w:t>0.8</w:t>
            </w:r>
          </w:p>
        </w:tc>
        <w:tc>
          <w:tcPr>
            <w:tcW w:w="1025" w:type="pct"/>
            <w:vAlign w:val="bottom"/>
          </w:tcPr>
          <w:p w14:paraId="23AB66F2" w14:textId="77777777" w:rsidR="00677ACC" w:rsidRPr="00662938" w:rsidRDefault="00677ACC" w:rsidP="00846454">
            <w:pPr>
              <w:spacing w:before="80" w:after="80" w:line="240" w:lineRule="auto"/>
              <w:ind w:right="-82"/>
              <w:jc w:val="center"/>
              <w:rPr>
                <w:b w:val="0"/>
                <w:bCs w:val="0"/>
                <w:szCs w:val="20"/>
              </w:rPr>
            </w:pPr>
            <w:r w:rsidRPr="000D73C6">
              <w:rPr>
                <w:szCs w:val="20"/>
              </w:rPr>
              <w:t>NA</w:t>
            </w:r>
          </w:p>
        </w:tc>
      </w:tr>
      <w:tr w:rsidR="00677ACC" w:rsidRPr="008D5FF4" w14:paraId="1BB7B23E" w14:textId="77777777" w:rsidTr="00662938">
        <w:tc>
          <w:tcPr>
            <w:tcW w:w="1432" w:type="pct"/>
          </w:tcPr>
          <w:p w14:paraId="6A5EB1BC" w14:textId="77777777" w:rsidR="00677ACC" w:rsidRPr="008D5FF4" w:rsidRDefault="00677ACC" w:rsidP="00846454">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29D8251C" w14:textId="79EC6B8C" w:rsidR="00677ACC" w:rsidRPr="00662938" w:rsidRDefault="00677ACC" w:rsidP="00846454">
            <w:pPr>
              <w:spacing w:before="80" w:after="80" w:line="240" w:lineRule="auto"/>
              <w:ind w:right="182"/>
              <w:jc w:val="center"/>
              <w:rPr>
                <w:b w:val="0"/>
                <w:bCs w:val="0"/>
                <w:szCs w:val="20"/>
              </w:rPr>
            </w:pPr>
            <w:r w:rsidRPr="00662938">
              <w:rPr>
                <w:color w:val="000000"/>
                <w:szCs w:val="20"/>
              </w:rPr>
              <w:t>0.1</w:t>
            </w:r>
          </w:p>
        </w:tc>
        <w:tc>
          <w:tcPr>
            <w:tcW w:w="1270" w:type="pct"/>
            <w:vAlign w:val="bottom"/>
          </w:tcPr>
          <w:p w14:paraId="64147418" w14:textId="1CCF838F" w:rsidR="00677ACC" w:rsidRPr="00662938" w:rsidRDefault="00677ACC" w:rsidP="00846454">
            <w:pPr>
              <w:spacing w:before="80" w:after="80" w:line="240" w:lineRule="auto"/>
              <w:ind w:right="182"/>
              <w:jc w:val="center"/>
              <w:rPr>
                <w:b w:val="0"/>
                <w:bCs w:val="0"/>
                <w:szCs w:val="20"/>
              </w:rPr>
            </w:pPr>
            <w:r w:rsidRPr="00662938">
              <w:rPr>
                <w:color w:val="000000"/>
                <w:szCs w:val="20"/>
              </w:rPr>
              <w:t>0.1</w:t>
            </w:r>
          </w:p>
        </w:tc>
        <w:tc>
          <w:tcPr>
            <w:tcW w:w="1025" w:type="pct"/>
            <w:vAlign w:val="bottom"/>
          </w:tcPr>
          <w:p w14:paraId="7FB69D26" w14:textId="77777777" w:rsidR="00677ACC" w:rsidRPr="00662938" w:rsidRDefault="00677ACC" w:rsidP="00846454">
            <w:pPr>
              <w:spacing w:before="80" w:after="80" w:line="240" w:lineRule="auto"/>
              <w:ind w:right="-82"/>
              <w:jc w:val="center"/>
              <w:rPr>
                <w:b w:val="0"/>
                <w:bCs w:val="0"/>
                <w:szCs w:val="20"/>
              </w:rPr>
            </w:pPr>
            <w:r w:rsidRPr="000D73C6">
              <w:rPr>
                <w:szCs w:val="20"/>
              </w:rPr>
              <w:t>NA</w:t>
            </w:r>
          </w:p>
        </w:tc>
      </w:tr>
    </w:tbl>
    <w:p w14:paraId="713DBCAD" w14:textId="77777777" w:rsidR="00CC67F0" w:rsidRDefault="00CC67F0" w:rsidP="00CC67F0">
      <w:pPr>
        <w:pStyle w:val="Source"/>
        <w:ind w:right="182"/>
      </w:pPr>
      <w:r w:rsidRPr="00FF440B">
        <w:t xml:space="preserve">Source: </w:t>
      </w:r>
      <w:r w:rsidRPr="00E37ECA">
        <w:t>Company Annual Reports, all years are fiscal,</w:t>
      </w:r>
      <w:r>
        <w:t xml:space="preserve"> </w:t>
      </w:r>
      <w:r w:rsidRPr="00BD2973">
        <w:t>NA- Not Available</w:t>
      </w:r>
    </w:p>
    <w:p w14:paraId="0C243C7C" w14:textId="07E64A19" w:rsidR="00976951" w:rsidRDefault="00C8167E" w:rsidP="00C7511A">
      <w:pPr>
        <w:pStyle w:val="Heading30"/>
        <w:ind w:right="182"/>
      </w:pPr>
      <w:r>
        <w:t>Asset Turnover Ratio</w:t>
      </w:r>
    </w:p>
    <w:p w14:paraId="02860D8F" w14:textId="187A1112" w:rsidR="00976951" w:rsidRDefault="000A1C77" w:rsidP="000D73C6">
      <w:r>
        <w:t xml:space="preserve">The </w:t>
      </w:r>
      <w:r w:rsidR="004105AD">
        <w:t>Asset Turn Over R</w:t>
      </w:r>
      <w:r>
        <w:t>atio</w:t>
      </w:r>
      <w:r w:rsidR="00277117">
        <w:rPr>
          <w:rStyle w:val="FootnoteReference"/>
        </w:rPr>
        <w:footnoteReference w:id="72"/>
      </w:r>
      <w:r>
        <w:t xml:space="preserve"> for CMPDIL is relatively higher compared to its peers ranging from </w:t>
      </w:r>
      <w:r w:rsidR="003E1257">
        <w:t>0.8</w:t>
      </w:r>
      <w:r>
        <w:t xml:space="preserve"> in 2023, then to </w:t>
      </w:r>
      <w:r w:rsidR="003E1257">
        <w:t>0.9</w:t>
      </w:r>
      <w:r>
        <w:t xml:space="preserve"> in 2024 and in 2025. While the ratio for RITES </w:t>
      </w:r>
      <w:r w:rsidR="003E1257">
        <w:t xml:space="preserve">declined </w:t>
      </w:r>
      <w:r>
        <w:t xml:space="preserve">from </w:t>
      </w:r>
      <w:r w:rsidR="003E1257">
        <w:t>0.5</w:t>
      </w:r>
      <w:r>
        <w:t xml:space="preserve"> in 202</w:t>
      </w:r>
      <w:r w:rsidR="0011447E">
        <w:t>3</w:t>
      </w:r>
      <w:r>
        <w:t xml:space="preserve"> to </w:t>
      </w:r>
      <w:r w:rsidR="003E1257">
        <w:t>0.4</w:t>
      </w:r>
      <w:r>
        <w:t xml:space="preserve"> in 2025. The ratio for EIL </w:t>
      </w:r>
      <w:r w:rsidR="0011447E">
        <w:t xml:space="preserve">remained stable at </w:t>
      </w:r>
      <w:r w:rsidR="003E1257">
        <w:t>0.</w:t>
      </w:r>
      <w:r w:rsidR="0011447E">
        <w:t>8</w:t>
      </w:r>
      <w:r>
        <w:t xml:space="preserve"> in 202</w:t>
      </w:r>
      <w:r w:rsidR="0011447E">
        <w:t xml:space="preserve">3 and </w:t>
      </w:r>
      <w:r>
        <w:t xml:space="preserve">2024. The ratio for MECL </w:t>
      </w:r>
      <w:r w:rsidR="0011447E">
        <w:t xml:space="preserve">grew </w:t>
      </w:r>
      <w:r>
        <w:t xml:space="preserve">from </w:t>
      </w:r>
      <w:r w:rsidR="000F0741">
        <w:t>0.</w:t>
      </w:r>
      <w:r w:rsidR="0011447E">
        <w:t>3</w:t>
      </w:r>
      <w:r>
        <w:t xml:space="preserve"> in 202</w:t>
      </w:r>
      <w:r w:rsidR="0011447E">
        <w:t>3</w:t>
      </w:r>
      <w:r>
        <w:t xml:space="preserve"> to </w:t>
      </w:r>
      <w:r w:rsidR="000F0741">
        <w:t>0.4</w:t>
      </w:r>
      <w:r>
        <w:t xml:space="preserve"> in 2024. The ratio for MECON </w:t>
      </w:r>
      <w:r w:rsidR="007172BF">
        <w:t>also remained stable</w:t>
      </w:r>
      <w:r>
        <w:t xml:space="preserve"> from </w:t>
      </w:r>
      <w:r w:rsidR="000F0741">
        <w:t>0.</w:t>
      </w:r>
      <w:r w:rsidR="007172BF">
        <w:t>6</w:t>
      </w:r>
      <w:r>
        <w:t xml:space="preserve"> in 202</w:t>
      </w:r>
      <w:r w:rsidR="007172BF">
        <w:t>3</w:t>
      </w:r>
      <w:r>
        <w:t xml:space="preserve"> to </w:t>
      </w:r>
      <w:r w:rsidR="000F0741">
        <w:t>0.7</w:t>
      </w:r>
      <w:r>
        <w:t xml:space="preserve"> in 2024. </w:t>
      </w:r>
      <w:r w:rsidR="00C8167E" w:rsidRPr="00C8167E">
        <w:t>The asset turnover ratio is a measurement that shows how efficiently a company is using its owned resources to generate revenue or sales</w:t>
      </w:r>
      <w:r w:rsidR="00C8167E">
        <w:t>.</w:t>
      </w:r>
    </w:p>
    <w:p w14:paraId="78050BDB" w14:textId="71B18C5C" w:rsidR="00C8167E" w:rsidRDefault="00C8167E" w:rsidP="00C8167E">
      <w:pPr>
        <w:pStyle w:val="Caption"/>
        <w:ind w:right="182"/>
      </w:pPr>
      <w:bookmarkStart w:id="6621" w:name="_Toc198731476"/>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15</w:t>
      </w:r>
      <w:r w:rsidRPr="000174A7">
        <w:fldChar w:fldCharType="end"/>
      </w:r>
      <w:r>
        <w:t xml:space="preserve"> </w:t>
      </w:r>
      <w:r w:rsidR="000A1C77">
        <w:t>Asset Turnover Ratio</w:t>
      </w:r>
      <w:bookmarkEnd w:id="6621"/>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1D739C" w:rsidRPr="008D5FF4" w14:paraId="3587345E" w14:textId="77777777" w:rsidTr="00662938">
        <w:trPr>
          <w:tblHeader/>
        </w:trPr>
        <w:tc>
          <w:tcPr>
            <w:tcW w:w="1432" w:type="pct"/>
            <w:shd w:val="clear" w:color="auto" w:fill="156082" w:themeFill="accent1"/>
            <w:vAlign w:val="center"/>
          </w:tcPr>
          <w:p w14:paraId="74A4C0CC" w14:textId="77777777" w:rsidR="001D739C" w:rsidRPr="008D5FF4" w:rsidRDefault="001D739C"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5DCFEB77" w14:textId="77777777" w:rsidR="001D739C" w:rsidRPr="008D5FF4" w:rsidRDefault="001D739C"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0C892B4C" w14:textId="77777777" w:rsidR="001D739C" w:rsidRPr="008D5FF4" w:rsidRDefault="001D739C"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054EA7C7" w14:textId="77777777" w:rsidR="001D739C" w:rsidRPr="008D5FF4" w:rsidRDefault="001D739C" w:rsidP="007A575F">
            <w:pPr>
              <w:spacing w:before="80" w:after="80" w:line="240" w:lineRule="auto"/>
              <w:ind w:right="-82"/>
              <w:jc w:val="center"/>
              <w:rPr>
                <w:color w:val="FFFFFF"/>
                <w:szCs w:val="20"/>
                <w:lang w:val="en-GB"/>
              </w:rPr>
            </w:pPr>
            <w:r>
              <w:rPr>
                <w:color w:val="FFFFFF"/>
                <w:szCs w:val="20"/>
                <w:lang w:val="en-GB"/>
              </w:rPr>
              <w:t>2025</w:t>
            </w:r>
          </w:p>
        </w:tc>
      </w:tr>
      <w:tr w:rsidR="001D739C" w:rsidRPr="008D5FF4" w14:paraId="0A219E7D" w14:textId="77777777" w:rsidTr="00662938">
        <w:tc>
          <w:tcPr>
            <w:tcW w:w="1432" w:type="pct"/>
            <w:shd w:val="clear" w:color="auto" w:fill="C9D8E1"/>
          </w:tcPr>
          <w:p w14:paraId="1EF0C108" w14:textId="77777777" w:rsidR="001D739C" w:rsidRPr="008D5FF4" w:rsidRDefault="001D739C" w:rsidP="000A1C77">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716752E4" w14:textId="57905CC8" w:rsidR="001D739C" w:rsidRPr="00662938" w:rsidRDefault="001D739C" w:rsidP="000A1C77">
            <w:pPr>
              <w:spacing w:before="80" w:after="80" w:line="240" w:lineRule="auto"/>
              <w:ind w:right="182"/>
              <w:jc w:val="center"/>
              <w:rPr>
                <w:b w:val="0"/>
                <w:bCs w:val="0"/>
                <w:szCs w:val="20"/>
              </w:rPr>
            </w:pPr>
            <w:r w:rsidRPr="00662938">
              <w:rPr>
                <w:color w:val="000000"/>
                <w:szCs w:val="20"/>
              </w:rPr>
              <w:t>0.8</w:t>
            </w:r>
          </w:p>
        </w:tc>
        <w:tc>
          <w:tcPr>
            <w:tcW w:w="1270" w:type="pct"/>
            <w:shd w:val="clear" w:color="auto" w:fill="C9D8E1"/>
            <w:vAlign w:val="bottom"/>
          </w:tcPr>
          <w:p w14:paraId="23E3E2E6" w14:textId="4E96EEDE" w:rsidR="001D739C" w:rsidRPr="00662938" w:rsidRDefault="001D739C" w:rsidP="000A1C77">
            <w:pPr>
              <w:spacing w:before="80" w:after="80" w:line="240" w:lineRule="auto"/>
              <w:ind w:right="182"/>
              <w:jc w:val="center"/>
              <w:rPr>
                <w:b w:val="0"/>
                <w:bCs w:val="0"/>
                <w:szCs w:val="20"/>
              </w:rPr>
            </w:pPr>
            <w:r w:rsidRPr="00662938">
              <w:rPr>
                <w:color w:val="000000"/>
                <w:szCs w:val="20"/>
              </w:rPr>
              <w:t>0.9</w:t>
            </w:r>
          </w:p>
        </w:tc>
        <w:tc>
          <w:tcPr>
            <w:tcW w:w="1025" w:type="pct"/>
            <w:shd w:val="clear" w:color="auto" w:fill="C9D8E1"/>
            <w:vAlign w:val="bottom"/>
          </w:tcPr>
          <w:p w14:paraId="788464F2" w14:textId="238C6212" w:rsidR="001D739C" w:rsidRPr="00662938" w:rsidRDefault="001D739C" w:rsidP="000A1C77">
            <w:pPr>
              <w:spacing w:before="80" w:after="80" w:line="240" w:lineRule="auto"/>
              <w:ind w:right="-82"/>
              <w:jc w:val="center"/>
              <w:rPr>
                <w:b w:val="0"/>
                <w:bCs w:val="0"/>
                <w:szCs w:val="20"/>
              </w:rPr>
            </w:pPr>
            <w:r w:rsidRPr="000D73C6">
              <w:rPr>
                <w:szCs w:val="20"/>
              </w:rPr>
              <w:t>0.9</w:t>
            </w:r>
          </w:p>
        </w:tc>
      </w:tr>
      <w:tr w:rsidR="001D739C" w:rsidRPr="008D5FF4" w14:paraId="42F2F347" w14:textId="77777777" w:rsidTr="00662938">
        <w:tc>
          <w:tcPr>
            <w:tcW w:w="1432" w:type="pct"/>
          </w:tcPr>
          <w:p w14:paraId="46C9DD94" w14:textId="77777777" w:rsidR="001D739C" w:rsidRPr="008D5FF4" w:rsidRDefault="001D739C" w:rsidP="000A1C77">
            <w:pPr>
              <w:spacing w:before="80" w:after="80" w:line="240" w:lineRule="auto"/>
              <w:ind w:right="182"/>
              <w:rPr>
                <w:rFonts w:eastAsia="Arial"/>
                <w:b w:val="0"/>
                <w:bCs w:val="0"/>
                <w:color w:val="434242"/>
                <w:szCs w:val="20"/>
                <w:lang w:val="en-GB"/>
              </w:rPr>
            </w:pPr>
            <w:r w:rsidRPr="008D5FF4">
              <w:rPr>
                <w:b w:val="0"/>
                <w:bCs w:val="0"/>
                <w:szCs w:val="20"/>
              </w:rPr>
              <w:t>RITES</w:t>
            </w:r>
          </w:p>
        </w:tc>
        <w:tc>
          <w:tcPr>
            <w:tcW w:w="1273" w:type="pct"/>
            <w:vAlign w:val="bottom"/>
          </w:tcPr>
          <w:p w14:paraId="768407D3" w14:textId="7C4303D2" w:rsidR="001D739C" w:rsidRPr="00662938" w:rsidRDefault="001D739C" w:rsidP="000A1C77">
            <w:pPr>
              <w:spacing w:before="80" w:after="80" w:line="240" w:lineRule="auto"/>
              <w:ind w:right="182"/>
              <w:jc w:val="center"/>
              <w:rPr>
                <w:b w:val="0"/>
                <w:bCs w:val="0"/>
                <w:szCs w:val="20"/>
              </w:rPr>
            </w:pPr>
            <w:r w:rsidRPr="00662938">
              <w:rPr>
                <w:color w:val="000000"/>
                <w:szCs w:val="20"/>
              </w:rPr>
              <w:t>0.5</w:t>
            </w:r>
          </w:p>
        </w:tc>
        <w:tc>
          <w:tcPr>
            <w:tcW w:w="1270" w:type="pct"/>
            <w:vAlign w:val="bottom"/>
          </w:tcPr>
          <w:p w14:paraId="422D104E" w14:textId="57A16C7D" w:rsidR="001D739C" w:rsidRPr="00662938" w:rsidRDefault="001D739C" w:rsidP="000A1C77">
            <w:pPr>
              <w:spacing w:before="80" w:after="80" w:line="240" w:lineRule="auto"/>
              <w:ind w:right="182"/>
              <w:jc w:val="center"/>
              <w:rPr>
                <w:b w:val="0"/>
                <w:bCs w:val="0"/>
                <w:szCs w:val="20"/>
              </w:rPr>
            </w:pPr>
            <w:r w:rsidRPr="00662938">
              <w:rPr>
                <w:color w:val="000000"/>
                <w:szCs w:val="20"/>
              </w:rPr>
              <w:t>0.4</w:t>
            </w:r>
          </w:p>
        </w:tc>
        <w:tc>
          <w:tcPr>
            <w:tcW w:w="1025" w:type="pct"/>
            <w:vAlign w:val="bottom"/>
          </w:tcPr>
          <w:p w14:paraId="55D762B7" w14:textId="6903A3D6" w:rsidR="001D739C" w:rsidRPr="00662938" w:rsidRDefault="001D739C" w:rsidP="000A1C77">
            <w:pPr>
              <w:spacing w:before="80" w:after="80" w:line="240" w:lineRule="auto"/>
              <w:ind w:right="-82"/>
              <w:jc w:val="center"/>
              <w:rPr>
                <w:b w:val="0"/>
                <w:bCs w:val="0"/>
                <w:szCs w:val="20"/>
              </w:rPr>
            </w:pPr>
            <w:r w:rsidRPr="000D73C6">
              <w:rPr>
                <w:szCs w:val="20"/>
              </w:rPr>
              <w:t>0.4</w:t>
            </w:r>
          </w:p>
        </w:tc>
      </w:tr>
      <w:tr w:rsidR="001D739C" w:rsidRPr="008D5FF4" w14:paraId="7373128C" w14:textId="77777777" w:rsidTr="00662938">
        <w:tc>
          <w:tcPr>
            <w:tcW w:w="1432" w:type="pct"/>
          </w:tcPr>
          <w:p w14:paraId="7D6BBABD" w14:textId="77777777" w:rsidR="001D739C" w:rsidRPr="008D5FF4" w:rsidRDefault="001D739C" w:rsidP="000A1C77">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684ACC07" w14:textId="5AE65757" w:rsidR="001D739C" w:rsidRPr="00662938" w:rsidRDefault="001D739C" w:rsidP="000A1C77">
            <w:pPr>
              <w:spacing w:before="80" w:after="80" w:line="240" w:lineRule="auto"/>
              <w:ind w:right="182"/>
              <w:jc w:val="center"/>
              <w:rPr>
                <w:b w:val="0"/>
                <w:bCs w:val="0"/>
                <w:szCs w:val="20"/>
              </w:rPr>
            </w:pPr>
            <w:r w:rsidRPr="00662938">
              <w:rPr>
                <w:color w:val="000000"/>
                <w:szCs w:val="20"/>
              </w:rPr>
              <w:t>0.8</w:t>
            </w:r>
          </w:p>
        </w:tc>
        <w:tc>
          <w:tcPr>
            <w:tcW w:w="1270" w:type="pct"/>
            <w:vAlign w:val="bottom"/>
          </w:tcPr>
          <w:p w14:paraId="188217D0" w14:textId="23B6B148" w:rsidR="001D739C" w:rsidRPr="00662938" w:rsidRDefault="001D739C" w:rsidP="000A1C77">
            <w:pPr>
              <w:spacing w:before="80" w:after="80" w:line="240" w:lineRule="auto"/>
              <w:ind w:right="182"/>
              <w:jc w:val="center"/>
              <w:rPr>
                <w:b w:val="0"/>
                <w:bCs w:val="0"/>
                <w:szCs w:val="20"/>
              </w:rPr>
            </w:pPr>
            <w:r w:rsidRPr="00662938">
              <w:rPr>
                <w:color w:val="000000"/>
                <w:szCs w:val="20"/>
              </w:rPr>
              <w:t>0.8</w:t>
            </w:r>
          </w:p>
        </w:tc>
        <w:tc>
          <w:tcPr>
            <w:tcW w:w="1025" w:type="pct"/>
            <w:vAlign w:val="bottom"/>
          </w:tcPr>
          <w:p w14:paraId="51D85649" w14:textId="77777777" w:rsidR="001D739C" w:rsidRPr="00662938" w:rsidRDefault="001D739C" w:rsidP="000A1C77">
            <w:pPr>
              <w:spacing w:before="80" w:after="80" w:line="240" w:lineRule="auto"/>
              <w:ind w:right="-82"/>
              <w:jc w:val="center"/>
              <w:rPr>
                <w:b w:val="0"/>
                <w:bCs w:val="0"/>
                <w:szCs w:val="20"/>
              </w:rPr>
            </w:pPr>
            <w:r w:rsidRPr="000D73C6">
              <w:rPr>
                <w:szCs w:val="20"/>
              </w:rPr>
              <w:t>NA</w:t>
            </w:r>
          </w:p>
        </w:tc>
      </w:tr>
      <w:tr w:rsidR="001D739C" w:rsidRPr="008D5FF4" w14:paraId="0BF03B1A" w14:textId="77777777" w:rsidTr="00662938">
        <w:tc>
          <w:tcPr>
            <w:tcW w:w="1432" w:type="pct"/>
          </w:tcPr>
          <w:p w14:paraId="209B7182" w14:textId="77777777" w:rsidR="001D739C" w:rsidRPr="008D5FF4" w:rsidRDefault="001D739C" w:rsidP="000A1C77">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40726DDC" w14:textId="1D2ECF39" w:rsidR="001D739C" w:rsidRPr="00662938" w:rsidRDefault="001D739C" w:rsidP="000A1C77">
            <w:pPr>
              <w:spacing w:before="80" w:after="80" w:line="240" w:lineRule="auto"/>
              <w:ind w:right="182"/>
              <w:jc w:val="center"/>
              <w:rPr>
                <w:b w:val="0"/>
                <w:bCs w:val="0"/>
                <w:szCs w:val="20"/>
              </w:rPr>
            </w:pPr>
            <w:r w:rsidRPr="00662938">
              <w:rPr>
                <w:color w:val="000000"/>
                <w:szCs w:val="20"/>
              </w:rPr>
              <w:t>0.3</w:t>
            </w:r>
          </w:p>
        </w:tc>
        <w:tc>
          <w:tcPr>
            <w:tcW w:w="1270" w:type="pct"/>
            <w:vAlign w:val="bottom"/>
          </w:tcPr>
          <w:p w14:paraId="00ED5CFA" w14:textId="02146F71" w:rsidR="001D739C" w:rsidRPr="00662938" w:rsidRDefault="001D739C" w:rsidP="000A1C77">
            <w:pPr>
              <w:spacing w:before="80" w:after="80" w:line="240" w:lineRule="auto"/>
              <w:ind w:right="182"/>
              <w:jc w:val="center"/>
              <w:rPr>
                <w:b w:val="0"/>
                <w:bCs w:val="0"/>
                <w:szCs w:val="20"/>
              </w:rPr>
            </w:pPr>
            <w:r w:rsidRPr="00662938">
              <w:rPr>
                <w:color w:val="000000"/>
                <w:szCs w:val="20"/>
              </w:rPr>
              <w:t>0.4</w:t>
            </w:r>
          </w:p>
        </w:tc>
        <w:tc>
          <w:tcPr>
            <w:tcW w:w="1025" w:type="pct"/>
            <w:vAlign w:val="bottom"/>
          </w:tcPr>
          <w:p w14:paraId="2D14A44F" w14:textId="77777777" w:rsidR="001D739C" w:rsidRPr="00662938" w:rsidRDefault="001D739C" w:rsidP="000A1C77">
            <w:pPr>
              <w:spacing w:before="80" w:after="80" w:line="240" w:lineRule="auto"/>
              <w:ind w:right="-82"/>
              <w:jc w:val="center"/>
              <w:rPr>
                <w:b w:val="0"/>
                <w:bCs w:val="0"/>
                <w:szCs w:val="20"/>
              </w:rPr>
            </w:pPr>
            <w:r w:rsidRPr="000D73C6">
              <w:rPr>
                <w:szCs w:val="20"/>
              </w:rPr>
              <w:t>NA</w:t>
            </w:r>
          </w:p>
        </w:tc>
      </w:tr>
      <w:tr w:rsidR="001D739C" w:rsidRPr="008D5FF4" w14:paraId="39C78C7C" w14:textId="77777777" w:rsidTr="00662938">
        <w:tc>
          <w:tcPr>
            <w:tcW w:w="1432" w:type="pct"/>
          </w:tcPr>
          <w:p w14:paraId="1A180F9B" w14:textId="77777777" w:rsidR="001D739C" w:rsidRPr="008D5FF4" w:rsidRDefault="001D739C" w:rsidP="000A1C77">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5408F5BA" w14:textId="5CD86B07" w:rsidR="001D739C" w:rsidRPr="00662938" w:rsidRDefault="001D739C" w:rsidP="000A1C77">
            <w:pPr>
              <w:spacing w:before="80" w:after="80" w:line="240" w:lineRule="auto"/>
              <w:ind w:right="182"/>
              <w:jc w:val="center"/>
              <w:rPr>
                <w:b w:val="0"/>
                <w:bCs w:val="0"/>
                <w:szCs w:val="20"/>
              </w:rPr>
            </w:pPr>
            <w:r w:rsidRPr="00662938">
              <w:rPr>
                <w:color w:val="000000"/>
                <w:szCs w:val="20"/>
              </w:rPr>
              <w:t>0.6</w:t>
            </w:r>
          </w:p>
        </w:tc>
        <w:tc>
          <w:tcPr>
            <w:tcW w:w="1270" w:type="pct"/>
            <w:vAlign w:val="bottom"/>
          </w:tcPr>
          <w:p w14:paraId="76C7D455" w14:textId="038A1782" w:rsidR="001D739C" w:rsidRPr="00662938" w:rsidRDefault="001D739C" w:rsidP="000A1C77">
            <w:pPr>
              <w:spacing w:before="80" w:after="80" w:line="240" w:lineRule="auto"/>
              <w:ind w:right="182"/>
              <w:jc w:val="center"/>
              <w:rPr>
                <w:b w:val="0"/>
                <w:bCs w:val="0"/>
                <w:szCs w:val="20"/>
              </w:rPr>
            </w:pPr>
            <w:r w:rsidRPr="00662938">
              <w:rPr>
                <w:color w:val="000000"/>
                <w:szCs w:val="20"/>
              </w:rPr>
              <w:t>0.7</w:t>
            </w:r>
          </w:p>
        </w:tc>
        <w:tc>
          <w:tcPr>
            <w:tcW w:w="1025" w:type="pct"/>
            <w:vAlign w:val="bottom"/>
          </w:tcPr>
          <w:p w14:paraId="6B29B311" w14:textId="77777777" w:rsidR="001D739C" w:rsidRPr="00662938" w:rsidRDefault="001D739C" w:rsidP="000A1C77">
            <w:pPr>
              <w:spacing w:before="80" w:after="80" w:line="240" w:lineRule="auto"/>
              <w:ind w:right="-82"/>
              <w:jc w:val="center"/>
              <w:rPr>
                <w:b w:val="0"/>
                <w:bCs w:val="0"/>
                <w:szCs w:val="20"/>
              </w:rPr>
            </w:pPr>
            <w:r w:rsidRPr="000D73C6">
              <w:rPr>
                <w:szCs w:val="20"/>
              </w:rPr>
              <w:t>NA</w:t>
            </w:r>
          </w:p>
        </w:tc>
      </w:tr>
    </w:tbl>
    <w:p w14:paraId="37654DE2" w14:textId="77777777" w:rsidR="00C8167E" w:rsidRDefault="00C8167E" w:rsidP="00C8167E">
      <w:pPr>
        <w:pStyle w:val="Source"/>
        <w:ind w:right="182"/>
      </w:pPr>
      <w:r w:rsidRPr="00FF440B">
        <w:t xml:space="preserve">Source: </w:t>
      </w:r>
      <w:r w:rsidRPr="00E37ECA">
        <w:t>Company Annual Reports, all years are fiscal,</w:t>
      </w:r>
      <w:r>
        <w:t xml:space="preserve"> </w:t>
      </w:r>
      <w:r w:rsidRPr="00BD2973">
        <w:t>NA- Not Available</w:t>
      </w:r>
    </w:p>
    <w:p w14:paraId="6B12A155" w14:textId="77AFA84C" w:rsidR="000B1E77" w:rsidRDefault="000B1E77" w:rsidP="00C7511A">
      <w:pPr>
        <w:pStyle w:val="Heading30"/>
        <w:ind w:right="182"/>
      </w:pPr>
      <w:r w:rsidRPr="000B1E77">
        <w:t xml:space="preserve">Net </w:t>
      </w:r>
      <w:r>
        <w:t>A</w:t>
      </w:r>
      <w:r w:rsidRPr="000B1E77">
        <w:t xml:space="preserve">sset </w:t>
      </w:r>
      <w:r>
        <w:t>V</w:t>
      </w:r>
      <w:r w:rsidRPr="000B1E77">
        <w:t xml:space="preserve">alue per </w:t>
      </w:r>
      <w:r>
        <w:t>S</w:t>
      </w:r>
      <w:r w:rsidRPr="000B1E77">
        <w:t>hare</w:t>
      </w:r>
    </w:p>
    <w:p w14:paraId="59CF6C6B" w14:textId="03F447D9" w:rsidR="000B1E77" w:rsidRDefault="000B1E77" w:rsidP="000B1E77">
      <w:r w:rsidRPr="000B1E77">
        <w:t>Net asset value per Equity Share</w:t>
      </w:r>
      <w:r w:rsidR="00160C77">
        <w:rPr>
          <w:rStyle w:val="FootnoteReference"/>
        </w:rPr>
        <w:footnoteReference w:id="73"/>
      </w:r>
      <w:r w:rsidRPr="000B1E77">
        <w:t xml:space="preserve"> reflects the intrinsic value of a company's equity, helping in assessing the company's financial health</w:t>
      </w:r>
      <w:r>
        <w:t>.</w:t>
      </w:r>
    </w:p>
    <w:p w14:paraId="513252D5" w14:textId="7FE7BA58" w:rsidR="000B1E77" w:rsidRDefault="000B1E77" w:rsidP="000B1E77">
      <w:pPr>
        <w:pStyle w:val="Caption"/>
        <w:ind w:right="182"/>
      </w:pPr>
      <w:bookmarkStart w:id="6622" w:name="_Toc198731477"/>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16</w:t>
      </w:r>
      <w:r w:rsidRPr="000174A7">
        <w:fldChar w:fldCharType="end"/>
      </w:r>
      <w:r>
        <w:t xml:space="preserve"> </w:t>
      </w:r>
      <w:r w:rsidR="00460750" w:rsidRPr="00460750">
        <w:t>Net Asset Value per Share</w:t>
      </w:r>
      <w:bookmarkEnd w:id="6622"/>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7172BF" w:rsidRPr="008D5FF4" w14:paraId="3D4E6777" w14:textId="77777777" w:rsidTr="00662938">
        <w:trPr>
          <w:tblHeader/>
        </w:trPr>
        <w:tc>
          <w:tcPr>
            <w:tcW w:w="1432" w:type="pct"/>
            <w:shd w:val="clear" w:color="auto" w:fill="156082" w:themeFill="accent1"/>
            <w:vAlign w:val="center"/>
          </w:tcPr>
          <w:p w14:paraId="12A09690" w14:textId="77777777" w:rsidR="007172BF" w:rsidRPr="008D5FF4" w:rsidRDefault="007172BF"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3B9B3594" w14:textId="77777777" w:rsidR="007172BF" w:rsidRPr="008D5FF4" w:rsidRDefault="007172BF"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4C6348AE" w14:textId="77777777" w:rsidR="007172BF" w:rsidRPr="008D5FF4" w:rsidRDefault="007172BF"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17E813DB" w14:textId="77777777" w:rsidR="007172BF" w:rsidRPr="008D5FF4" w:rsidRDefault="007172BF" w:rsidP="007A575F">
            <w:pPr>
              <w:spacing w:before="80" w:after="80" w:line="240" w:lineRule="auto"/>
              <w:ind w:right="-82"/>
              <w:jc w:val="center"/>
              <w:rPr>
                <w:color w:val="FFFFFF"/>
                <w:szCs w:val="20"/>
                <w:lang w:val="en-GB"/>
              </w:rPr>
            </w:pPr>
            <w:r>
              <w:rPr>
                <w:color w:val="FFFFFF"/>
                <w:szCs w:val="20"/>
                <w:lang w:val="en-GB"/>
              </w:rPr>
              <w:t>2025</w:t>
            </w:r>
          </w:p>
        </w:tc>
      </w:tr>
      <w:tr w:rsidR="007172BF" w:rsidRPr="008D5FF4" w14:paraId="061B2CD4" w14:textId="77777777" w:rsidTr="00662938">
        <w:tc>
          <w:tcPr>
            <w:tcW w:w="1432" w:type="pct"/>
            <w:shd w:val="clear" w:color="auto" w:fill="C9D8E1"/>
          </w:tcPr>
          <w:p w14:paraId="03E40ED6" w14:textId="77777777" w:rsidR="007172BF" w:rsidRPr="008D5FF4" w:rsidRDefault="007172BF" w:rsidP="00460750">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2D0CA432" w14:textId="334E7C76" w:rsidR="007172BF" w:rsidRPr="00662938" w:rsidRDefault="007172BF" w:rsidP="00460750">
            <w:pPr>
              <w:spacing w:before="80" w:after="80" w:line="240" w:lineRule="auto"/>
              <w:ind w:right="182"/>
              <w:jc w:val="center"/>
              <w:rPr>
                <w:b w:val="0"/>
                <w:bCs w:val="0"/>
                <w:szCs w:val="20"/>
              </w:rPr>
            </w:pPr>
            <w:r w:rsidRPr="00662938">
              <w:rPr>
                <w:color w:val="000000"/>
                <w:szCs w:val="20"/>
              </w:rPr>
              <w:t>17.1</w:t>
            </w:r>
          </w:p>
        </w:tc>
        <w:tc>
          <w:tcPr>
            <w:tcW w:w="1270" w:type="pct"/>
            <w:shd w:val="clear" w:color="auto" w:fill="C9D8E1"/>
            <w:vAlign w:val="bottom"/>
          </w:tcPr>
          <w:p w14:paraId="5903DB71" w14:textId="3AC8DEDE" w:rsidR="007172BF" w:rsidRPr="00662938" w:rsidRDefault="007172BF" w:rsidP="00460750">
            <w:pPr>
              <w:spacing w:before="80" w:after="80" w:line="240" w:lineRule="auto"/>
              <w:ind w:right="182"/>
              <w:jc w:val="center"/>
              <w:rPr>
                <w:b w:val="0"/>
                <w:bCs w:val="0"/>
                <w:szCs w:val="20"/>
              </w:rPr>
            </w:pPr>
            <w:r w:rsidRPr="00662938">
              <w:rPr>
                <w:color w:val="000000"/>
                <w:szCs w:val="20"/>
              </w:rPr>
              <w:t>22.3</w:t>
            </w:r>
          </w:p>
        </w:tc>
        <w:tc>
          <w:tcPr>
            <w:tcW w:w="1025" w:type="pct"/>
            <w:shd w:val="clear" w:color="auto" w:fill="C9D8E1"/>
            <w:vAlign w:val="bottom"/>
          </w:tcPr>
          <w:p w14:paraId="0406709F" w14:textId="7F264C36" w:rsidR="007172BF" w:rsidRPr="00662938" w:rsidRDefault="007172BF" w:rsidP="00460750">
            <w:pPr>
              <w:spacing w:before="80" w:after="80" w:line="240" w:lineRule="auto"/>
              <w:ind w:right="-82"/>
              <w:jc w:val="center"/>
              <w:rPr>
                <w:b w:val="0"/>
                <w:bCs w:val="0"/>
                <w:szCs w:val="20"/>
              </w:rPr>
            </w:pPr>
            <w:r w:rsidRPr="000D73C6">
              <w:rPr>
                <w:szCs w:val="20"/>
              </w:rPr>
              <w:t>28.6</w:t>
            </w:r>
          </w:p>
        </w:tc>
      </w:tr>
      <w:tr w:rsidR="007172BF" w:rsidRPr="008D5FF4" w14:paraId="188833E4" w14:textId="77777777" w:rsidTr="00662938">
        <w:tc>
          <w:tcPr>
            <w:tcW w:w="1432" w:type="pct"/>
          </w:tcPr>
          <w:p w14:paraId="5B9362CF" w14:textId="5FAB2FDD" w:rsidR="007172BF" w:rsidRPr="008D5FF4" w:rsidRDefault="007172BF" w:rsidP="00A220DC">
            <w:pPr>
              <w:spacing w:before="80" w:after="80" w:line="240" w:lineRule="auto"/>
              <w:ind w:right="182"/>
              <w:rPr>
                <w:rFonts w:eastAsia="Arial"/>
                <w:b w:val="0"/>
                <w:bCs w:val="0"/>
                <w:color w:val="434242"/>
                <w:szCs w:val="20"/>
                <w:lang w:val="en-GB"/>
              </w:rPr>
            </w:pPr>
            <w:r w:rsidRPr="008D5FF4">
              <w:rPr>
                <w:b w:val="0"/>
                <w:bCs w:val="0"/>
                <w:szCs w:val="20"/>
              </w:rPr>
              <w:t>RITES</w:t>
            </w:r>
            <w:r>
              <w:rPr>
                <w:b w:val="0"/>
                <w:bCs w:val="0"/>
                <w:szCs w:val="20"/>
              </w:rPr>
              <w:t>*</w:t>
            </w:r>
          </w:p>
        </w:tc>
        <w:tc>
          <w:tcPr>
            <w:tcW w:w="1273" w:type="pct"/>
            <w:vAlign w:val="bottom"/>
          </w:tcPr>
          <w:p w14:paraId="3A0E907C" w14:textId="27D11CB8" w:rsidR="007172BF" w:rsidRPr="00662938" w:rsidRDefault="007172BF" w:rsidP="00A220DC">
            <w:pPr>
              <w:spacing w:before="80" w:after="80" w:line="240" w:lineRule="auto"/>
              <w:ind w:right="182"/>
              <w:jc w:val="center"/>
              <w:rPr>
                <w:b w:val="0"/>
                <w:bCs w:val="0"/>
                <w:szCs w:val="20"/>
              </w:rPr>
            </w:pPr>
            <w:r>
              <w:rPr>
                <w:color w:val="000000"/>
                <w:szCs w:val="20"/>
              </w:rPr>
              <w:t>56.6</w:t>
            </w:r>
          </w:p>
        </w:tc>
        <w:tc>
          <w:tcPr>
            <w:tcW w:w="1270" w:type="pct"/>
            <w:vAlign w:val="bottom"/>
          </w:tcPr>
          <w:p w14:paraId="5BC9A7BB" w14:textId="1C4798D6" w:rsidR="007172BF" w:rsidRPr="00662938" w:rsidRDefault="007172BF" w:rsidP="00A220DC">
            <w:pPr>
              <w:spacing w:before="80" w:after="80" w:line="240" w:lineRule="auto"/>
              <w:ind w:right="182"/>
              <w:jc w:val="center"/>
              <w:rPr>
                <w:b w:val="0"/>
                <w:bCs w:val="0"/>
                <w:szCs w:val="20"/>
              </w:rPr>
            </w:pPr>
            <w:r>
              <w:rPr>
                <w:color w:val="000000"/>
                <w:szCs w:val="20"/>
              </w:rPr>
              <w:t>56.6</w:t>
            </w:r>
          </w:p>
        </w:tc>
        <w:tc>
          <w:tcPr>
            <w:tcW w:w="1025" w:type="pct"/>
            <w:vAlign w:val="bottom"/>
          </w:tcPr>
          <w:p w14:paraId="6234A419" w14:textId="01BF02FE" w:rsidR="007172BF" w:rsidRPr="00662938" w:rsidRDefault="007172BF" w:rsidP="00A220DC">
            <w:pPr>
              <w:spacing w:before="80" w:after="80" w:line="240" w:lineRule="auto"/>
              <w:ind w:right="-82"/>
              <w:jc w:val="center"/>
              <w:rPr>
                <w:b w:val="0"/>
                <w:bCs w:val="0"/>
                <w:szCs w:val="20"/>
              </w:rPr>
            </w:pPr>
            <w:r>
              <w:rPr>
                <w:szCs w:val="20"/>
              </w:rPr>
              <w:t>57.2</w:t>
            </w:r>
          </w:p>
        </w:tc>
      </w:tr>
      <w:tr w:rsidR="007172BF" w:rsidRPr="008D5FF4" w14:paraId="4D61A00B" w14:textId="77777777" w:rsidTr="00662938">
        <w:tc>
          <w:tcPr>
            <w:tcW w:w="1432" w:type="pct"/>
          </w:tcPr>
          <w:p w14:paraId="3C3B7F61" w14:textId="77777777" w:rsidR="007172BF" w:rsidRPr="008D5FF4" w:rsidRDefault="007172BF" w:rsidP="00A220DC">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55F929C9" w14:textId="3AF1CDBD" w:rsidR="007172BF" w:rsidRPr="00662938" w:rsidRDefault="007172BF" w:rsidP="00A220DC">
            <w:pPr>
              <w:spacing w:before="80" w:after="80" w:line="240" w:lineRule="auto"/>
              <w:ind w:right="182"/>
              <w:jc w:val="center"/>
              <w:rPr>
                <w:b w:val="0"/>
                <w:bCs w:val="0"/>
                <w:szCs w:val="20"/>
              </w:rPr>
            </w:pPr>
            <w:r w:rsidRPr="00662938">
              <w:rPr>
                <w:color w:val="000000"/>
                <w:szCs w:val="20"/>
              </w:rPr>
              <w:t>34.9</w:t>
            </w:r>
          </w:p>
        </w:tc>
        <w:tc>
          <w:tcPr>
            <w:tcW w:w="1270" w:type="pct"/>
            <w:vAlign w:val="bottom"/>
          </w:tcPr>
          <w:p w14:paraId="52C4F9A8" w14:textId="55CA05EB" w:rsidR="007172BF" w:rsidRPr="00662938" w:rsidRDefault="007172BF" w:rsidP="00A220DC">
            <w:pPr>
              <w:spacing w:before="80" w:after="80" w:line="240" w:lineRule="auto"/>
              <w:ind w:right="182"/>
              <w:jc w:val="center"/>
              <w:rPr>
                <w:b w:val="0"/>
                <w:bCs w:val="0"/>
                <w:szCs w:val="20"/>
              </w:rPr>
            </w:pPr>
            <w:r w:rsidRPr="00662938">
              <w:rPr>
                <w:color w:val="000000"/>
                <w:szCs w:val="20"/>
              </w:rPr>
              <w:t>40.1</w:t>
            </w:r>
          </w:p>
        </w:tc>
        <w:tc>
          <w:tcPr>
            <w:tcW w:w="1025" w:type="pct"/>
            <w:vAlign w:val="bottom"/>
          </w:tcPr>
          <w:p w14:paraId="69AA829D" w14:textId="77777777" w:rsidR="007172BF" w:rsidRPr="00662938" w:rsidRDefault="007172BF" w:rsidP="00A220DC">
            <w:pPr>
              <w:spacing w:before="80" w:after="80" w:line="240" w:lineRule="auto"/>
              <w:ind w:right="-82"/>
              <w:jc w:val="center"/>
              <w:rPr>
                <w:b w:val="0"/>
                <w:bCs w:val="0"/>
                <w:szCs w:val="20"/>
              </w:rPr>
            </w:pPr>
            <w:r w:rsidRPr="000D73C6">
              <w:rPr>
                <w:szCs w:val="20"/>
              </w:rPr>
              <w:t>NA</w:t>
            </w:r>
          </w:p>
        </w:tc>
      </w:tr>
      <w:tr w:rsidR="007172BF" w:rsidRPr="008D5FF4" w14:paraId="7C041B59" w14:textId="77777777" w:rsidTr="00662938">
        <w:tc>
          <w:tcPr>
            <w:tcW w:w="1432" w:type="pct"/>
          </w:tcPr>
          <w:p w14:paraId="3545AC20" w14:textId="77777777" w:rsidR="007172BF" w:rsidRPr="008D5FF4" w:rsidRDefault="007172BF" w:rsidP="00A220DC">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5644DEEC" w14:textId="79C4ABBB" w:rsidR="007172BF" w:rsidRPr="00662938" w:rsidRDefault="007172BF" w:rsidP="00A220DC">
            <w:pPr>
              <w:spacing w:before="80" w:after="80" w:line="240" w:lineRule="auto"/>
              <w:ind w:right="182"/>
              <w:jc w:val="center"/>
              <w:rPr>
                <w:b w:val="0"/>
                <w:bCs w:val="0"/>
                <w:szCs w:val="20"/>
              </w:rPr>
            </w:pPr>
            <w:r w:rsidRPr="00662938">
              <w:rPr>
                <w:color w:val="000000"/>
                <w:szCs w:val="20"/>
              </w:rPr>
              <w:t>5542.3</w:t>
            </w:r>
          </w:p>
        </w:tc>
        <w:tc>
          <w:tcPr>
            <w:tcW w:w="1270" w:type="pct"/>
            <w:vAlign w:val="bottom"/>
          </w:tcPr>
          <w:p w14:paraId="2B28F2C8" w14:textId="6F6D2527" w:rsidR="007172BF" w:rsidRPr="00662938" w:rsidRDefault="007172BF" w:rsidP="00A220DC">
            <w:pPr>
              <w:spacing w:before="80" w:after="80" w:line="240" w:lineRule="auto"/>
              <w:ind w:right="182"/>
              <w:jc w:val="center"/>
              <w:rPr>
                <w:b w:val="0"/>
                <w:bCs w:val="0"/>
                <w:szCs w:val="20"/>
              </w:rPr>
            </w:pPr>
            <w:r w:rsidRPr="00662938">
              <w:rPr>
                <w:color w:val="000000"/>
                <w:szCs w:val="20"/>
              </w:rPr>
              <w:t>6161.1</w:t>
            </w:r>
          </w:p>
        </w:tc>
        <w:tc>
          <w:tcPr>
            <w:tcW w:w="1025" w:type="pct"/>
            <w:vAlign w:val="bottom"/>
          </w:tcPr>
          <w:p w14:paraId="5CF69D79" w14:textId="77777777" w:rsidR="007172BF" w:rsidRPr="00662938" w:rsidRDefault="007172BF" w:rsidP="00A220DC">
            <w:pPr>
              <w:spacing w:before="80" w:after="80" w:line="240" w:lineRule="auto"/>
              <w:ind w:right="-82"/>
              <w:jc w:val="center"/>
              <w:rPr>
                <w:b w:val="0"/>
                <w:bCs w:val="0"/>
                <w:szCs w:val="20"/>
              </w:rPr>
            </w:pPr>
            <w:r w:rsidRPr="000D73C6">
              <w:rPr>
                <w:szCs w:val="20"/>
              </w:rPr>
              <w:t>NA</w:t>
            </w:r>
          </w:p>
        </w:tc>
      </w:tr>
      <w:tr w:rsidR="007172BF" w:rsidRPr="008D5FF4" w14:paraId="4FD8DA05" w14:textId="77777777" w:rsidTr="00662938">
        <w:tc>
          <w:tcPr>
            <w:tcW w:w="1432" w:type="pct"/>
          </w:tcPr>
          <w:p w14:paraId="449A10DB" w14:textId="77777777" w:rsidR="007172BF" w:rsidRPr="008D5FF4" w:rsidRDefault="007172BF" w:rsidP="00A220DC">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52CB30E8" w14:textId="66AB4DA7" w:rsidR="007172BF" w:rsidRPr="00662938" w:rsidRDefault="007172BF" w:rsidP="00A220DC">
            <w:pPr>
              <w:spacing w:before="80" w:after="80" w:line="240" w:lineRule="auto"/>
              <w:ind w:right="182"/>
              <w:jc w:val="center"/>
              <w:rPr>
                <w:b w:val="0"/>
                <w:bCs w:val="0"/>
                <w:szCs w:val="20"/>
              </w:rPr>
            </w:pPr>
            <w:r w:rsidRPr="00662938">
              <w:rPr>
                <w:color w:val="000000"/>
                <w:szCs w:val="20"/>
              </w:rPr>
              <w:t>98.3</w:t>
            </w:r>
          </w:p>
        </w:tc>
        <w:tc>
          <w:tcPr>
            <w:tcW w:w="1270" w:type="pct"/>
            <w:vAlign w:val="bottom"/>
          </w:tcPr>
          <w:p w14:paraId="58200607" w14:textId="20B4484B" w:rsidR="007172BF" w:rsidRPr="00662938" w:rsidRDefault="007172BF" w:rsidP="00A220DC">
            <w:pPr>
              <w:spacing w:before="80" w:after="80" w:line="240" w:lineRule="auto"/>
              <w:ind w:right="182"/>
              <w:jc w:val="center"/>
              <w:rPr>
                <w:b w:val="0"/>
                <w:bCs w:val="0"/>
                <w:szCs w:val="20"/>
              </w:rPr>
            </w:pPr>
            <w:r w:rsidRPr="00662938">
              <w:rPr>
                <w:color w:val="000000"/>
                <w:szCs w:val="20"/>
              </w:rPr>
              <w:t>109.6</w:t>
            </w:r>
          </w:p>
        </w:tc>
        <w:tc>
          <w:tcPr>
            <w:tcW w:w="1025" w:type="pct"/>
            <w:vAlign w:val="bottom"/>
          </w:tcPr>
          <w:p w14:paraId="5F941AE6" w14:textId="77777777" w:rsidR="007172BF" w:rsidRPr="00662938" w:rsidRDefault="007172BF" w:rsidP="00A220DC">
            <w:pPr>
              <w:spacing w:before="80" w:after="80" w:line="240" w:lineRule="auto"/>
              <w:ind w:right="-82"/>
              <w:jc w:val="center"/>
              <w:rPr>
                <w:b w:val="0"/>
                <w:bCs w:val="0"/>
                <w:szCs w:val="20"/>
              </w:rPr>
            </w:pPr>
            <w:r w:rsidRPr="000D73C6">
              <w:rPr>
                <w:szCs w:val="20"/>
              </w:rPr>
              <w:t>NA</w:t>
            </w:r>
          </w:p>
        </w:tc>
      </w:tr>
    </w:tbl>
    <w:p w14:paraId="4D30E44E" w14:textId="77777777" w:rsidR="000B1E77" w:rsidRDefault="000B1E77" w:rsidP="00662938">
      <w:pPr>
        <w:pStyle w:val="Source"/>
        <w:spacing w:after="0"/>
        <w:ind w:right="187"/>
      </w:pPr>
      <w:r w:rsidRPr="00FF440B">
        <w:t xml:space="preserve">Source: </w:t>
      </w:r>
      <w:r w:rsidRPr="00E37ECA">
        <w:t>Company Annual Reports, all years are fiscal,</w:t>
      </w:r>
      <w:r>
        <w:t xml:space="preserve"> </w:t>
      </w:r>
      <w:r w:rsidRPr="00BD2973">
        <w:t>NA- Not Available</w:t>
      </w:r>
    </w:p>
    <w:p w14:paraId="7D8AB191" w14:textId="44394F97" w:rsidR="00602059" w:rsidRDefault="00602059" w:rsidP="00662938">
      <w:pPr>
        <w:pStyle w:val="Source"/>
        <w:spacing w:before="0"/>
        <w:ind w:right="187"/>
      </w:pPr>
      <w:r>
        <w:t>*</w:t>
      </w:r>
      <w:r w:rsidR="006F1D7E" w:rsidRPr="006F1D7E">
        <w:t xml:space="preserve"> </w:t>
      </w:r>
      <w:r w:rsidR="006F1D7E" w:rsidRPr="00A777E4">
        <w:t>RITES Ltd. announced a 1:1 bonus share issue, meaning shareholders received one bonus share for every one share they held as of the record date. The ex-date for the bonus issue was September 20, 2024</w:t>
      </w:r>
      <w:r w:rsidR="006F1D7E">
        <w:t>, hence the Net Asset value per Share has been adjusted accordingly.</w:t>
      </w:r>
    </w:p>
    <w:p w14:paraId="61A86F9D" w14:textId="2FEF11F6" w:rsidR="000B1E77" w:rsidRDefault="00BC097A" w:rsidP="00C7511A">
      <w:pPr>
        <w:pStyle w:val="Heading30"/>
        <w:ind w:right="182"/>
      </w:pPr>
      <w:r w:rsidRPr="00BC097A">
        <w:t>Earning</w:t>
      </w:r>
      <w:r w:rsidR="006E663F">
        <w:t>s</w:t>
      </w:r>
      <w:r w:rsidRPr="00BC097A">
        <w:t xml:space="preserve"> per </w:t>
      </w:r>
      <w:r w:rsidR="00B65B9E">
        <w:t>S</w:t>
      </w:r>
      <w:r w:rsidRPr="00BC097A">
        <w:t>hare (EPS)</w:t>
      </w:r>
    </w:p>
    <w:p w14:paraId="29D8F1C8" w14:textId="67D8244F" w:rsidR="000B1E77" w:rsidRDefault="00362E0F" w:rsidP="000B1E77">
      <w:r w:rsidRPr="00362E0F">
        <w:t>EPS indicates the company's profitability by showing how much money a business makes for each share.</w:t>
      </w:r>
    </w:p>
    <w:p w14:paraId="68F3C4EF" w14:textId="4E105333" w:rsidR="00362E0F" w:rsidRDefault="00362E0F" w:rsidP="00362E0F">
      <w:pPr>
        <w:pStyle w:val="Caption"/>
        <w:ind w:right="182"/>
      </w:pPr>
      <w:bookmarkStart w:id="6623" w:name="_Toc198731478"/>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17</w:t>
      </w:r>
      <w:r w:rsidRPr="000174A7">
        <w:fldChar w:fldCharType="end"/>
      </w:r>
      <w:r>
        <w:t xml:space="preserve"> </w:t>
      </w:r>
      <w:r w:rsidRPr="00362E0F">
        <w:t xml:space="preserve">Earning per </w:t>
      </w:r>
      <w:r w:rsidR="00B65B9E">
        <w:t>S</w:t>
      </w:r>
      <w:r w:rsidRPr="00362E0F">
        <w:t>hare (EPS</w:t>
      </w:r>
      <w:r w:rsidR="008517CF">
        <w:t xml:space="preserve"> – Basic &amp; Diluted</w:t>
      </w:r>
      <w:r w:rsidRPr="00362E0F">
        <w:t>)</w:t>
      </w:r>
      <w:bookmarkEnd w:id="6623"/>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3015"/>
        <w:gridCol w:w="2681"/>
        <w:gridCol w:w="2675"/>
        <w:gridCol w:w="2159"/>
      </w:tblGrid>
      <w:tr w:rsidR="007172BF" w:rsidRPr="008D5FF4" w14:paraId="445F2E92" w14:textId="77777777" w:rsidTr="00662938">
        <w:trPr>
          <w:tblHeader/>
        </w:trPr>
        <w:tc>
          <w:tcPr>
            <w:tcW w:w="1432" w:type="pct"/>
            <w:shd w:val="clear" w:color="auto" w:fill="156082" w:themeFill="accent1"/>
            <w:vAlign w:val="center"/>
          </w:tcPr>
          <w:p w14:paraId="6AD6ECF9" w14:textId="77777777" w:rsidR="007172BF" w:rsidRPr="008D5FF4" w:rsidRDefault="007172BF" w:rsidP="007A575F">
            <w:pPr>
              <w:spacing w:before="80" w:after="80" w:line="240" w:lineRule="auto"/>
              <w:ind w:right="182"/>
              <w:rPr>
                <w:color w:val="FFFFFF"/>
                <w:szCs w:val="20"/>
                <w:lang w:val="en-GB"/>
              </w:rPr>
            </w:pPr>
            <w:r w:rsidRPr="008D5FF4">
              <w:rPr>
                <w:color w:val="FFFFFF"/>
                <w:szCs w:val="20"/>
                <w:lang w:val="en-GB"/>
              </w:rPr>
              <w:t>Company</w:t>
            </w:r>
          </w:p>
        </w:tc>
        <w:tc>
          <w:tcPr>
            <w:tcW w:w="1273" w:type="pct"/>
            <w:shd w:val="clear" w:color="auto" w:fill="156082" w:themeFill="accent1"/>
            <w:vAlign w:val="center"/>
          </w:tcPr>
          <w:p w14:paraId="47DD96DB" w14:textId="77777777" w:rsidR="007172BF" w:rsidRPr="008D5FF4" w:rsidRDefault="007172BF" w:rsidP="007A575F">
            <w:pPr>
              <w:spacing w:before="80" w:after="80" w:line="240" w:lineRule="auto"/>
              <w:ind w:right="182"/>
              <w:jc w:val="center"/>
              <w:rPr>
                <w:color w:val="FFFFFF"/>
                <w:szCs w:val="20"/>
                <w:lang w:val="en-GB"/>
              </w:rPr>
            </w:pPr>
            <w:r w:rsidRPr="008D5FF4">
              <w:rPr>
                <w:color w:val="FFFFFF"/>
                <w:szCs w:val="20"/>
                <w:lang w:val="en-GB"/>
              </w:rPr>
              <w:t>2023</w:t>
            </w:r>
          </w:p>
        </w:tc>
        <w:tc>
          <w:tcPr>
            <w:tcW w:w="1270" w:type="pct"/>
            <w:shd w:val="clear" w:color="auto" w:fill="156082" w:themeFill="accent1"/>
            <w:vAlign w:val="center"/>
          </w:tcPr>
          <w:p w14:paraId="1AF12BB9" w14:textId="77777777" w:rsidR="007172BF" w:rsidRPr="008D5FF4" w:rsidRDefault="007172BF" w:rsidP="007A575F">
            <w:pPr>
              <w:spacing w:before="80" w:after="80" w:line="240" w:lineRule="auto"/>
              <w:ind w:right="182"/>
              <w:jc w:val="center"/>
              <w:rPr>
                <w:color w:val="FFFFFF"/>
                <w:szCs w:val="20"/>
                <w:lang w:val="en-GB"/>
              </w:rPr>
            </w:pPr>
            <w:r w:rsidRPr="008D5FF4">
              <w:rPr>
                <w:color w:val="FFFFFF"/>
                <w:szCs w:val="20"/>
                <w:lang w:val="en-GB"/>
              </w:rPr>
              <w:t>2024</w:t>
            </w:r>
          </w:p>
        </w:tc>
        <w:tc>
          <w:tcPr>
            <w:tcW w:w="1025" w:type="pct"/>
            <w:shd w:val="clear" w:color="auto" w:fill="156082" w:themeFill="accent1"/>
          </w:tcPr>
          <w:p w14:paraId="31271BB8" w14:textId="77777777" w:rsidR="007172BF" w:rsidRPr="008D5FF4" w:rsidRDefault="007172BF" w:rsidP="007A575F">
            <w:pPr>
              <w:spacing w:before="80" w:after="80" w:line="240" w:lineRule="auto"/>
              <w:ind w:right="-82"/>
              <w:jc w:val="center"/>
              <w:rPr>
                <w:color w:val="FFFFFF"/>
                <w:szCs w:val="20"/>
                <w:lang w:val="en-GB"/>
              </w:rPr>
            </w:pPr>
            <w:r>
              <w:rPr>
                <w:color w:val="FFFFFF"/>
                <w:szCs w:val="20"/>
                <w:lang w:val="en-GB"/>
              </w:rPr>
              <w:t>2025</w:t>
            </w:r>
          </w:p>
        </w:tc>
      </w:tr>
      <w:tr w:rsidR="007172BF" w:rsidRPr="008D5FF4" w14:paraId="7FE748C0" w14:textId="77777777" w:rsidTr="00662938">
        <w:tc>
          <w:tcPr>
            <w:tcW w:w="1432" w:type="pct"/>
            <w:shd w:val="clear" w:color="auto" w:fill="C9D8E1"/>
          </w:tcPr>
          <w:p w14:paraId="128A70E2" w14:textId="77777777" w:rsidR="007172BF" w:rsidRPr="008D5FF4" w:rsidRDefault="007172BF" w:rsidP="008517CF">
            <w:pPr>
              <w:spacing w:before="80" w:after="80" w:line="240" w:lineRule="auto"/>
              <w:ind w:right="182"/>
              <w:rPr>
                <w:rFonts w:eastAsia="Arial"/>
                <w:color w:val="434242"/>
                <w:szCs w:val="20"/>
                <w:lang w:val="en-GB"/>
              </w:rPr>
            </w:pPr>
            <w:r>
              <w:rPr>
                <w:rFonts w:eastAsia="Arial"/>
                <w:color w:val="434242"/>
                <w:szCs w:val="20"/>
                <w:lang w:val="en-GB"/>
              </w:rPr>
              <w:t>CMPDIL</w:t>
            </w:r>
          </w:p>
        </w:tc>
        <w:tc>
          <w:tcPr>
            <w:tcW w:w="1273" w:type="pct"/>
            <w:shd w:val="clear" w:color="auto" w:fill="C9D8E1"/>
            <w:vAlign w:val="bottom"/>
          </w:tcPr>
          <w:p w14:paraId="1B64FD64" w14:textId="62AE24A4" w:rsidR="007172BF" w:rsidRPr="00662938" w:rsidRDefault="007172BF" w:rsidP="008517CF">
            <w:pPr>
              <w:spacing w:before="80" w:after="80" w:line="240" w:lineRule="auto"/>
              <w:ind w:right="182"/>
              <w:jc w:val="center"/>
              <w:rPr>
                <w:b w:val="0"/>
                <w:bCs w:val="0"/>
                <w:szCs w:val="20"/>
              </w:rPr>
            </w:pPr>
            <w:r w:rsidRPr="00662938">
              <w:rPr>
                <w:color w:val="000000"/>
                <w:szCs w:val="20"/>
              </w:rPr>
              <w:t>4.2</w:t>
            </w:r>
          </w:p>
        </w:tc>
        <w:tc>
          <w:tcPr>
            <w:tcW w:w="1270" w:type="pct"/>
            <w:shd w:val="clear" w:color="auto" w:fill="C9D8E1"/>
            <w:vAlign w:val="bottom"/>
          </w:tcPr>
          <w:p w14:paraId="0C59B162" w14:textId="6E17AD32" w:rsidR="007172BF" w:rsidRPr="00662938" w:rsidRDefault="007172BF" w:rsidP="008517CF">
            <w:pPr>
              <w:spacing w:before="80" w:after="80" w:line="240" w:lineRule="auto"/>
              <w:ind w:right="182"/>
              <w:jc w:val="center"/>
              <w:rPr>
                <w:b w:val="0"/>
                <w:bCs w:val="0"/>
                <w:szCs w:val="20"/>
              </w:rPr>
            </w:pPr>
            <w:r w:rsidRPr="00662938">
              <w:rPr>
                <w:color w:val="000000"/>
                <w:szCs w:val="20"/>
              </w:rPr>
              <w:t>7.0</w:t>
            </w:r>
          </w:p>
        </w:tc>
        <w:tc>
          <w:tcPr>
            <w:tcW w:w="1025" w:type="pct"/>
            <w:shd w:val="clear" w:color="auto" w:fill="C9D8E1"/>
            <w:vAlign w:val="bottom"/>
          </w:tcPr>
          <w:p w14:paraId="67F6BE16" w14:textId="30E662B3" w:rsidR="007172BF" w:rsidRPr="00662938" w:rsidRDefault="007172BF" w:rsidP="008517CF">
            <w:pPr>
              <w:spacing w:before="80" w:after="80" w:line="240" w:lineRule="auto"/>
              <w:ind w:right="-82"/>
              <w:jc w:val="center"/>
              <w:rPr>
                <w:b w:val="0"/>
                <w:bCs w:val="0"/>
                <w:szCs w:val="20"/>
              </w:rPr>
            </w:pPr>
            <w:r w:rsidRPr="000D73C6">
              <w:rPr>
                <w:szCs w:val="20"/>
              </w:rPr>
              <w:t>9.3</w:t>
            </w:r>
          </w:p>
        </w:tc>
      </w:tr>
      <w:tr w:rsidR="007172BF" w:rsidRPr="008D5FF4" w14:paraId="2F888B58" w14:textId="77777777" w:rsidTr="00662938">
        <w:tc>
          <w:tcPr>
            <w:tcW w:w="1432" w:type="pct"/>
          </w:tcPr>
          <w:p w14:paraId="66DEEA21" w14:textId="1BB68647" w:rsidR="007172BF" w:rsidRPr="008D5FF4" w:rsidRDefault="007172BF" w:rsidP="007B3292">
            <w:pPr>
              <w:spacing w:before="80" w:after="80" w:line="240" w:lineRule="auto"/>
              <w:ind w:right="182"/>
              <w:rPr>
                <w:rFonts w:eastAsia="Arial"/>
                <w:b w:val="0"/>
                <w:bCs w:val="0"/>
                <w:color w:val="434242"/>
                <w:szCs w:val="20"/>
                <w:lang w:val="en-GB"/>
              </w:rPr>
            </w:pPr>
            <w:r w:rsidRPr="008D5FF4">
              <w:rPr>
                <w:b w:val="0"/>
                <w:bCs w:val="0"/>
                <w:szCs w:val="20"/>
              </w:rPr>
              <w:t>RITES</w:t>
            </w:r>
            <w:r>
              <w:rPr>
                <w:b w:val="0"/>
                <w:bCs w:val="0"/>
                <w:szCs w:val="20"/>
              </w:rPr>
              <w:t>*</w:t>
            </w:r>
          </w:p>
        </w:tc>
        <w:tc>
          <w:tcPr>
            <w:tcW w:w="1273" w:type="pct"/>
            <w:vAlign w:val="bottom"/>
          </w:tcPr>
          <w:p w14:paraId="1486D716" w14:textId="24808F78" w:rsidR="007172BF" w:rsidRPr="00662938" w:rsidRDefault="007172BF" w:rsidP="007B3292">
            <w:pPr>
              <w:spacing w:before="80" w:after="80" w:line="240" w:lineRule="auto"/>
              <w:ind w:right="182"/>
              <w:jc w:val="center"/>
              <w:rPr>
                <w:b w:val="0"/>
                <w:bCs w:val="0"/>
                <w:szCs w:val="20"/>
              </w:rPr>
            </w:pPr>
            <w:r>
              <w:rPr>
                <w:color w:val="000000"/>
                <w:szCs w:val="20"/>
              </w:rPr>
              <w:t>11</w:t>
            </w:r>
            <w:r w:rsidR="00AF7ADE">
              <w:rPr>
                <w:color w:val="000000"/>
                <w:szCs w:val="20"/>
              </w:rPr>
              <w:t>.</w:t>
            </w:r>
            <w:r w:rsidR="005C06C4">
              <w:rPr>
                <w:color w:val="000000"/>
                <w:szCs w:val="20"/>
              </w:rPr>
              <w:t>3</w:t>
            </w:r>
          </w:p>
        </w:tc>
        <w:tc>
          <w:tcPr>
            <w:tcW w:w="1270" w:type="pct"/>
            <w:vAlign w:val="bottom"/>
          </w:tcPr>
          <w:p w14:paraId="13F61BAB" w14:textId="48AF2752" w:rsidR="007172BF" w:rsidRPr="00662938" w:rsidRDefault="00DC6E3F" w:rsidP="007B3292">
            <w:pPr>
              <w:spacing w:before="80" w:after="80" w:line="240" w:lineRule="auto"/>
              <w:ind w:right="182"/>
              <w:jc w:val="center"/>
              <w:rPr>
                <w:b w:val="0"/>
                <w:bCs w:val="0"/>
                <w:szCs w:val="20"/>
              </w:rPr>
            </w:pPr>
            <w:r>
              <w:rPr>
                <w:color w:val="000000"/>
                <w:szCs w:val="20"/>
              </w:rPr>
              <w:t>9.</w:t>
            </w:r>
            <w:r w:rsidR="00B44E95">
              <w:rPr>
                <w:color w:val="000000"/>
                <w:szCs w:val="20"/>
              </w:rPr>
              <w:t>5</w:t>
            </w:r>
          </w:p>
        </w:tc>
        <w:tc>
          <w:tcPr>
            <w:tcW w:w="1025" w:type="pct"/>
            <w:vAlign w:val="bottom"/>
          </w:tcPr>
          <w:p w14:paraId="63903D32" w14:textId="21952F9A" w:rsidR="007172BF" w:rsidRPr="00662938" w:rsidRDefault="00A122E6" w:rsidP="007B3292">
            <w:pPr>
              <w:spacing w:before="80" w:after="80" w:line="240" w:lineRule="auto"/>
              <w:ind w:right="-82"/>
              <w:jc w:val="center"/>
              <w:rPr>
                <w:b w:val="0"/>
                <w:bCs w:val="0"/>
                <w:szCs w:val="20"/>
              </w:rPr>
            </w:pPr>
            <w:r>
              <w:rPr>
                <w:szCs w:val="20"/>
              </w:rPr>
              <w:t>8.0</w:t>
            </w:r>
          </w:p>
        </w:tc>
      </w:tr>
      <w:tr w:rsidR="007172BF" w:rsidRPr="008D5FF4" w14:paraId="1A299E28" w14:textId="77777777" w:rsidTr="00662938">
        <w:tc>
          <w:tcPr>
            <w:tcW w:w="1432" w:type="pct"/>
          </w:tcPr>
          <w:p w14:paraId="24568331" w14:textId="77777777" w:rsidR="007172BF" w:rsidRPr="008D5FF4" w:rsidRDefault="007172BF" w:rsidP="007B3292">
            <w:pPr>
              <w:spacing w:before="80" w:after="80" w:line="240" w:lineRule="auto"/>
              <w:ind w:right="182"/>
              <w:rPr>
                <w:rFonts w:eastAsia="Arial"/>
                <w:b w:val="0"/>
                <w:bCs w:val="0"/>
                <w:color w:val="434242"/>
                <w:szCs w:val="20"/>
                <w:lang w:val="en-GB"/>
              </w:rPr>
            </w:pPr>
            <w:r w:rsidRPr="008D5FF4">
              <w:rPr>
                <w:b w:val="0"/>
                <w:bCs w:val="0"/>
                <w:szCs w:val="20"/>
              </w:rPr>
              <w:t>EIL</w:t>
            </w:r>
          </w:p>
        </w:tc>
        <w:tc>
          <w:tcPr>
            <w:tcW w:w="1273" w:type="pct"/>
            <w:vAlign w:val="bottom"/>
          </w:tcPr>
          <w:p w14:paraId="14463006" w14:textId="4EE73A2A" w:rsidR="007172BF" w:rsidRPr="00662938" w:rsidRDefault="00CF4771" w:rsidP="007B3292">
            <w:pPr>
              <w:spacing w:before="80" w:after="80" w:line="240" w:lineRule="auto"/>
              <w:ind w:right="182"/>
              <w:jc w:val="center"/>
              <w:rPr>
                <w:b w:val="0"/>
                <w:bCs w:val="0"/>
                <w:szCs w:val="20"/>
              </w:rPr>
            </w:pPr>
            <w:r>
              <w:rPr>
                <w:szCs w:val="20"/>
              </w:rPr>
              <w:t>6.</w:t>
            </w:r>
            <w:r w:rsidR="00E10BB4">
              <w:rPr>
                <w:szCs w:val="20"/>
              </w:rPr>
              <w:t>2</w:t>
            </w:r>
          </w:p>
        </w:tc>
        <w:tc>
          <w:tcPr>
            <w:tcW w:w="1270" w:type="pct"/>
            <w:vAlign w:val="bottom"/>
          </w:tcPr>
          <w:p w14:paraId="63AD06A8" w14:textId="647B09B6" w:rsidR="007172BF" w:rsidRPr="00662938" w:rsidRDefault="007168D1" w:rsidP="007B3292">
            <w:pPr>
              <w:spacing w:before="80" w:after="80" w:line="240" w:lineRule="auto"/>
              <w:ind w:right="182"/>
              <w:jc w:val="center"/>
              <w:rPr>
                <w:b w:val="0"/>
                <w:bCs w:val="0"/>
                <w:szCs w:val="20"/>
              </w:rPr>
            </w:pPr>
            <w:r>
              <w:rPr>
                <w:szCs w:val="20"/>
              </w:rPr>
              <w:t>7.9</w:t>
            </w:r>
          </w:p>
        </w:tc>
        <w:tc>
          <w:tcPr>
            <w:tcW w:w="1025" w:type="pct"/>
            <w:vAlign w:val="bottom"/>
          </w:tcPr>
          <w:p w14:paraId="7FE548DF" w14:textId="77777777" w:rsidR="007172BF" w:rsidRPr="00662938" w:rsidRDefault="007172BF" w:rsidP="007B3292">
            <w:pPr>
              <w:spacing w:before="80" w:after="80" w:line="240" w:lineRule="auto"/>
              <w:ind w:right="-82"/>
              <w:jc w:val="center"/>
              <w:rPr>
                <w:b w:val="0"/>
                <w:bCs w:val="0"/>
                <w:szCs w:val="20"/>
              </w:rPr>
            </w:pPr>
            <w:r w:rsidRPr="000D73C6">
              <w:rPr>
                <w:szCs w:val="20"/>
              </w:rPr>
              <w:t>NA</w:t>
            </w:r>
          </w:p>
        </w:tc>
      </w:tr>
      <w:tr w:rsidR="007172BF" w:rsidRPr="008D5FF4" w14:paraId="7D907D6B" w14:textId="77777777" w:rsidTr="00662938">
        <w:tc>
          <w:tcPr>
            <w:tcW w:w="1432" w:type="pct"/>
          </w:tcPr>
          <w:p w14:paraId="49A523D8" w14:textId="77777777" w:rsidR="007172BF" w:rsidRPr="008D5FF4" w:rsidRDefault="007172BF" w:rsidP="007B3292">
            <w:pPr>
              <w:spacing w:before="80" w:after="80" w:line="240" w:lineRule="auto"/>
              <w:ind w:right="182"/>
              <w:rPr>
                <w:rFonts w:eastAsia="Arial"/>
                <w:b w:val="0"/>
                <w:bCs w:val="0"/>
                <w:color w:val="434242"/>
                <w:szCs w:val="20"/>
                <w:lang w:val="en-GB"/>
              </w:rPr>
            </w:pPr>
            <w:r w:rsidRPr="008D5FF4">
              <w:rPr>
                <w:b w:val="0"/>
                <w:bCs w:val="0"/>
                <w:szCs w:val="20"/>
              </w:rPr>
              <w:t>MECL</w:t>
            </w:r>
          </w:p>
        </w:tc>
        <w:tc>
          <w:tcPr>
            <w:tcW w:w="1273" w:type="pct"/>
            <w:vAlign w:val="bottom"/>
          </w:tcPr>
          <w:p w14:paraId="754AA2A1" w14:textId="66BFA7AF" w:rsidR="007172BF" w:rsidRPr="00662938" w:rsidRDefault="00645875" w:rsidP="007B3292">
            <w:pPr>
              <w:spacing w:before="80" w:after="80" w:line="240" w:lineRule="auto"/>
              <w:ind w:right="182"/>
              <w:jc w:val="center"/>
              <w:rPr>
                <w:b w:val="0"/>
                <w:bCs w:val="0"/>
                <w:szCs w:val="20"/>
              </w:rPr>
            </w:pPr>
            <w:r>
              <w:rPr>
                <w:szCs w:val="20"/>
              </w:rPr>
              <w:t>11</w:t>
            </w:r>
            <w:r w:rsidR="00A47E91">
              <w:rPr>
                <w:szCs w:val="20"/>
              </w:rPr>
              <w:t>7.5</w:t>
            </w:r>
          </w:p>
        </w:tc>
        <w:tc>
          <w:tcPr>
            <w:tcW w:w="1270" w:type="pct"/>
            <w:vAlign w:val="bottom"/>
          </w:tcPr>
          <w:p w14:paraId="4B4DF213" w14:textId="0EC4728D" w:rsidR="007172BF" w:rsidRPr="00662938" w:rsidRDefault="00645875" w:rsidP="007B3292">
            <w:pPr>
              <w:spacing w:before="80" w:after="80" w:line="240" w:lineRule="auto"/>
              <w:ind w:right="182"/>
              <w:jc w:val="center"/>
              <w:rPr>
                <w:b w:val="0"/>
                <w:bCs w:val="0"/>
                <w:szCs w:val="20"/>
              </w:rPr>
            </w:pPr>
            <w:r>
              <w:rPr>
                <w:szCs w:val="20"/>
              </w:rPr>
              <w:t>6</w:t>
            </w:r>
            <w:r w:rsidR="00A47E91">
              <w:rPr>
                <w:szCs w:val="20"/>
              </w:rPr>
              <w:t>69.2</w:t>
            </w:r>
          </w:p>
        </w:tc>
        <w:tc>
          <w:tcPr>
            <w:tcW w:w="1025" w:type="pct"/>
            <w:vAlign w:val="bottom"/>
          </w:tcPr>
          <w:p w14:paraId="084C98D9" w14:textId="77777777" w:rsidR="007172BF" w:rsidRPr="00662938" w:rsidRDefault="007172BF" w:rsidP="007B3292">
            <w:pPr>
              <w:spacing w:before="80" w:after="80" w:line="240" w:lineRule="auto"/>
              <w:ind w:right="-82"/>
              <w:jc w:val="center"/>
              <w:rPr>
                <w:b w:val="0"/>
                <w:bCs w:val="0"/>
                <w:szCs w:val="20"/>
              </w:rPr>
            </w:pPr>
            <w:r w:rsidRPr="000D73C6">
              <w:rPr>
                <w:szCs w:val="20"/>
              </w:rPr>
              <w:t>NA</w:t>
            </w:r>
          </w:p>
        </w:tc>
      </w:tr>
      <w:tr w:rsidR="007172BF" w:rsidRPr="008D5FF4" w14:paraId="03B0E4E3" w14:textId="77777777" w:rsidTr="00662938">
        <w:tc>
          <w:tcPr>
            <w:tcW w:w="1432" w:type="pct"/>
          </w:tcPr>
          <w:p w14:paraId="2B2861BE" w14:textId="77777777" w:rsidR="007172BF" w:rsidRPr="008D5FF4" w:rsidRDefault="007172BF" w:rsidP="007B3292">
            <w:pPr>
              <w:spacing w:before="80" w:after="80" w:line="240" w:lineRule="auto"/>
              <w:ind w:right="-82"/>
              <w:rPr>
                <w:rFonts w:eastAsia="Arial"/>
                <w:b w:val="0"/>
                <w:bCs w:val="0"/>
                <w:color w:val="434242"/>
                <w:szCs w:val="20"/>
                <w:lang w:val="en-GB"/>
              </w:rPr>
            </w:pPr>
            <w:r w:rsidRPr="008D5FF4">
              <w:rPr>
                <w:b w:val="0"/>
                <w:bCs w:val="0"/>
                <w:szCs w:val="20"/>
              </w:rPr>
              <w:t>MECON</w:t>
            </w:r>
          </w:p>
        </w:tc>
        <w:tc>
          <w:tcPr>
            <w:tcW w:w="1273" w:type="pct"/>
            <w:vAlign w:val="bottom"/>
          </w:tcPr>
          <w:p w14:paraId="1473FEF9" w14:textId="7F1B6733" w:rsidR="007172BF" w:rsidRPr="00662938" w:rsidRDefault="007172BF" w:rsidP="007B3292">
            <w:pPr>
              <w:spacing w:before="80" w:after="80" w:line="240" w:lineRule="auto"/>
              <w:ind w:right="182"/>
              <w:jc w:val="center"/>
              <w:rPr>
                <w:b w:val="0"/>
                <w:bCs w:val="0"/>
                <w:szCs w:val="20"/>
              </w:rPr>
            </w:pPr>
            <w:r w:rsidRPr="00662938">
              <w:rPr>
                <w:color w:val="000000"/>
                <w:szCs w:val="20"/>
              </w:rPr>
              <w:t>7.7</w:t>
            </w:r>
          </w:p>
        </w:tc>
        <w:tc>
          <w:tcPr>
            <w:tcW w:w="1270" w:type="pct"/>
            <w:vAlign w:val="bottom"/>
          </w:tcPr>
          <w:p w14:paraId="4109625C" w14:textId="6494B366" w:rsidR="007172BF" w:rsidRPr="00662938" w:rsidRDefault="007172BF" w:rsidP="007B3292">
            <w:pPr>
              <w:spacing w:before="80" w:after="80" w:line="240" w:lineRule="auto"/>
              <w:ind w:right="182"/>
              <w:jc w:val="center"/>
              <w:rPr>
                <w:b w:val="0"/>
                <w:bCs w:val="0"/>
                <w:szCs w:val="20"/>
              </w:rPr>
            </w:pPr>
            <w:r w:rsidRPr="00662938">
              <w:rPr>
                <w:color w:val="000000"/>
                <w:szCs w:val="20"/>
              </w:rPr>
              <w:t>6.1</w:t>
            </w:r>
          </w:p>
        </w:tc>
        <w:tc>
          <w:tcPr>
            <w:tcW w:w="1025" w:type="pct"/>
            <w:vAlign w:val="bottom"/>
          </w:tcPr>
          <w:p w14:paraId="200F3D57" w14:textId="77777777" w:rsidR="007172BF" w:rsidRPr="00662938" w:rsidRDefault="007172BF" w:rsidP="007B3292">
            <w:pPr>
              <w:spacing w:before="80" w:after="80" w:line="240" w:lineRule="auto"/>
              <w:ind w:right="-82"/>
              <w:jc w:val="center"/>
              <w:rPr>
                <w:b w:val="0"/>
                <w:bCs w:val="0"/>
                <w:szCs w:val="20"/>
              </w:rPr>
            </w:pPr>
            <w:r w:rsidRPr="000D73C6">
              <w:rPr>
                <w:szCs w:val="20"/>
              </w:rPr>
              <w:t>NA</w:t>
            </w:r>
          </w:p>
        </w:tc>
      </w:tr>
    </w:tbl>
    <w:p w14:paraId="117A478A" w14:textId="28EE2B43" w:rsidR="00C7511A" w:rsidRPr="00D87FBD" w:rsidRDefault="00362E0F" w:rsidP="00662938">
      <w:pPr>
        <w:pStyle w:val="Source"/>
        <w:spacing w:before="0" w:after="0"/>
      </w:pPr>
      <w:r w:rsidRPr="00FF440B">
        <w:t xml:space="preserve">Source: </w:t>
      </w:r>
      <w:r w:rsidRPr="00E37ECA">
        <w:t>Company Annual Reports, all years are fiscal,</w:t>
      </w:r>
      <w:r>
        <w:t xml:space="preserve"> </w:t>
      </w:r>
      <w:r w:rsidRPr="00BD2973">
        <w:t>NA- Not Available</w:t>
      </w:r>
      <w:r w:rsidR="00A67148">
        <w:t>*</w:t>
      </w:r>
      <w:r w:rsidR="00403A92" w:rsidRPr="00403A92">
        <w:t xml:space="preserve"> </w:t>
      </w:r>
      <w:r w:rsidR="00403A92" w:rsidRPr="00A777E4">
        <w:t>RITES Ltd. announced a 1:1 bonus share issue, meaning shareholders received one bonus share for every one share they held as of the record date. The ex-date for the bonus issue was September 20, 2024</w:t>
      </w:r>
      <w:r w:rsidR="00403A92">
        <w:t>, hence the Earnings per Share has been adjusted accordingly.</w:t>
      </w:r>
    </w:p>
    <w:p w14:paraId="1B172558" w14:textId="77FFFBB1" w:rsidR="00C7511A" w:rsidRDefault="00C7511A" w:rsidP="00DD5D62">
      <w:pPr>
        <w:pStyle w:val="Heading2"/>
        <w:ind w:right="182"/>
      </w:pPr>
      <w:bookmarkStart w:id="6624" w:name="_Toc198731267"/>
      <w:r w:rsidRPr="006F53BC">
        <w:t>Operational benchmarking</w:t>
      </w:r>
      <w:bookmarkEnd w:id="6624"/>
      <w:r w:rsidRPr="006F53BC">
        <w:t xml:space="preserve">  </w:t>
      </w:r>
    </w:p>
    <w:p w14:paraId="62005AE3" w14:textId="77777777" w:rsidR="00C7511A" w:rsidRDefault="00C7511A" w:rsidP="00C7511A">
      <w:pPr>
        <w:pStyle w:val="Heading30"/>
        <w:ind w:right="182"/>
      </w:pPr>
      <w:r>
        <w:t>Exploration Activities</w:t>
      </w:r>
    </w:p>
    <w:p w14:paraId="271A2776" w14:textId="6645AF9D" w:rsidR="00C10779" w:rsidRPr="00362EB2" w:rsidRDefault="00C10779" w:rsidP="00C10779">
      <w:r w:rsidRPr="00DD5D62">
        <w:t>CMPDIL possesses a range of equipment to enhance the efficiency and performance of drilling in challenging geological conditions. Its inventory includes hydrostatic drills, geophysical loggers, seismographs, gravimeters, seismic vibrator, magnetometers, Ground-Penetrating Radar (“GPR”), spectral enhancement, Res2DINV, Res3DINV, RADAN, and resistivity imaging systems. These advanced tools enable CMPDIL to implement specific techniques that maximize drilling performance and ensure successful exploration outcomes.</w:t>
      </w:r>
      <w:r>
        <w:t xml:space="preserve"> </w:t>
      </w:r>
      <w:r w:rsidRPr="00C10779">
        <w:t>CMPDIL's infrastructure is complemented by its laboratory facilities, including chemical and petrography laboratories, for the characterization of coal and other minerals. The organization utilizes sophisticated software such as Minex and Vulcan for resource modeling of coal and ore, AutoCAD and ArcGIS for geospatial data management, Paradigm, Geosoft, and wellCAD for geophysical analysis, and MODFLOW for hydrogeological modeling. These tools, combined with CMPDIL's baseline data generation capabilities, ensure comprehensive and accurate resource evaluation.</w:t>
      </w:r>
      <w:r w:rsidR="007F5D9F">
        <w:t xml:space="preserve"> CMPDIL's exploration division collaborates closely with the remote sensing and survey department. Through advanced technologies and data analysis, these departments work together to provide a comprehensive approach to coal exploration. The organization's proven track record is a result of its focus on delivering tangible results </w:t>
      </w:r>
      <w:r w:rsidR="007F5D9F" w:rsidRPr="00362EB2">
        <w:t>and efficiently managing all stages of projects, from planning to completion, with attention to timelines, budgets, and quality.</w:t>
      </w:r>
      <w:r w:rsidR="00316E36" w:rsidRPr="00362EB2">
        <w:t xml:space="preserve"> </w:t>
      </w:r>
      <w:r w:rsidR="00EA266D" w:rsidRPr="00362EB2">
        <w:t>Overall,</w:t>
      </w:r>
      <w:r w:rsidR="00E855C5" w:rsidRPr="00362EB2">
        <w:t xml:space="preserve"> it can be highlighted that CMPDIL has one of the largest </w:t>
      </w:r>
      <w:r w:rsidR="00721229" w:rsidRPr="00362EB2">
        <w:t>infrastructure</w:t>
      </w:r>
      <w:r w:rsidR="00E855C5" w:rsidRPr="00362EB2">
        <w:t xml:space="preserve"> for coal exploration in India. </w:t>
      </w:r>
      <w:r w:rsidR="007F5D9F" w:rsidRPr="00362EB2">
        <w:t xml:space="preserve">By utilizing </w:t>
      </w:r>
      <w:r w:rsidR="00EA266D" w:rsidRPr="00362EB2">
        <w:t xml:space="preserve">such infrastructure in terms of </w:t>
      </w:r>
      <w:r w:rsidR="007F5D9F" w:rsidRPr="00362EB2">
        <w:t>advanced tools, technology, and facilities, CMPDIL has become the preferred expert consultant for companies engaged in the mining business. This enables CMPDIL to provide differentiated, high-quality services to its clients.</w:t>
      </w:r>
    </w:p>
    <w:p w14:paraId="099E3C30" w14:textId="358E8995" w:rsidR="00C576A2" w:rsidRPr="00C10779" w:rsidRDefault="00C576A2" w:rsidP="00C10779">
      <w:r w:rsidRPr="00362EB2">
        <w:t xml:space="preserve">In the </w:t>
      </w:r>
      <w:r w:rsidR="00A57071" w:rsidRPr="00362EB2">
        <w:t xml:space="preserve">fiscal 2025, </w:t>
      </w:r>
      <w:r w:rsidRPr="00362EB2">
        <w:t xml:space="preserve">CMPDIL undertook extensive exploratory drilling across </w:t>
      </w:r>
      <w:r w:rsidR="00180530" w:rsidRPr="00362EB2">
        <w:t>136</w:t>
      </w:r>
      <w:r w:rsidR="00180530">
        <w:t xml:space="preserve"> </w:t>
      </w:r>
      <w:r w:rsidRPr="00C576A2">
        <w:t xml:space="preserve">blocks/mines in </w:t>
      </w:r>
      <w:r w:rsidR="00680D1C">
        <w:t>29</w:t>
      </w:r>
      <w:r w:rsidRPr="00C576A2">
        <w:t xml:space="preserve"> coalfields</w:t>
      </w:r>
      <w:r w:rsidR="00680D1C">
        <w:t xml:space="preserve">, 3 lignite fields (2 state i.e., Tamil Nadu and Rajasthan) and </w:t>
      </w:r>
      <w:r w:rsidR="009F19BF">
        <w:t>0</w:t>
      </w:r>
      <w:r w:rsidR="00680D1C">
        <w:t xml:space="preserve">1 </w:t>
      </w:r>
      <w:r w:rsidR="00F32A41">
        <w:t>non- coal fi</w:t>
      </w:r>
      <w:r w:rsidR="00C15EC1">
        <w:t>el</w:t>
      </w:r>
      <w:r w:rsidR="00F32A41">
        <w:t xml:space="preserve">d </w:t>
      </w:r>
      <w:r w:rsidR="0055074A">
        <w:t xml:space="preserve">spread across </w:t>
      </w:r>
      <w:r w:rsidR="003A7992">
        <w:t xml:space="preserve">12 </w:t>
      </w:r>
      <w:r w:rsidRPr="00C576A2">
        <w:t xml:space="preserve">states. The coal exploration included </w:t>
      </w:r>
      <w:r w:rsidR="00F32A41">
        <w:t xml:space="preserve">43 non- CIL blocks, </w:t>
      </w:r>
      <w:r w:rsidRPr="00C576A2">
        <w:t>4</w:t>
      </w:r>
      <w:r w:rsidR="003A7992">
        <w:t>5</w:t>
      </w:r>
      <w:r w:rsidRPr="00C576A2">
        <w:t xml:space="preserve"> CIL blocks/mines, </w:t>
      </w:r>
      <w:r w:rsidR="005167F2">
        <w:t>3</w:t>
      </w:r>
      <w:r w:rsidR="00A24913">
        <w:t>1</w:t>
      </w:r>
      <w:r w:rsidRPr="00C576A2">
        <w:t xml:space="preserve"> promotional blocks, </w:t>
      </w:r>
      <w:r w:rsidR="00A24913">
        <w:t>4</w:t>
      </w:r>
      <w:r w:rsidRPr="00C576A2">
        <w:t xml:space="preserve"> NMET-funded blocks</w:t>
      </w:r>
      <w:r w:rsidR="00C2656D">
        <w:t xml:space="preserve"> and 8 blocks of private entities</w:t>
      </w:r>
      <w:r w:rsidRPr="00C576A2">
        <w:t>.</w:t>
      </w:r>
      <w:r w:rsidR="009F19BF">
        <w:t xml:space="preserve"> </w:t>
      </w:r>
      <w:r w:rsidR="00221648">
        <w:t>Further, lignite exploration included 02 non</w:t>
      </w:r>
      <w:r w:rsidR="000F4482">
        <w:t xml:space="preserve">- </w:t>
      </w:r>
      <w:r w:rsidR="00221648">
        <w:t xml:space="preserve">CIL blocks and 02 promotional blocks. </w:t>
      </w:r>
      <w:r w:rsidR="009F19BF">
        <w:t xml:space="preserve">CMPDIL has carried out exploration in 01 bauxite block through NMET funding the state of Jharkhand. </w:t>
      </w:r>
      <w:r w:rsidR="00792E8D">
        <w:t xml:space="preserve">Additionally, production support drilling was undertaken in 6 other CIL mines. </w:t>
      </w:r>
      <w:r w:rsidRPr="00C576A2">
        <w:t>CMPDIL has successfully executed several key projects for various domestic and international clients. Notable projects include the reformation and optimization of operations for the turnaround of the Benga Coal Project in Mozambique, the detailed project report for the Zambeze coking coal project, and conceptual and feasibility reports for Banai and Bhalumuda coal blocks.</w:t>
      </w:r>
      <w:r w:rsidR="00542EC0">
        <w:t xml:space="preserve"> </w:t>
      </w:r>
      <w:r w:rsidRPr="00C576A2">
        <w:t>Between 2021-2023, CMPDIL delivered 33 first mile connectivity projects under the Atma Nirbhar Bharat Abhiyaan, with a total mechanized coal handling capacity of 382.5 metric tonnes per year. Additionally, CMPDIL conducted scientific sand replenishment studies for four rivers in Bihar, 25 districts in Uttar Pradesh, and various rivers in Rajasthan. These projects demonstrate CMPDIL's capabilities and expertise in providing comprehensive services to its clients in the mining sector.</w:t>
      </w:r>
    </w:p>
    <w:p w14:paraId="42AB9FF7" w14:textId="1D92C4ED" w:rsidR="00C7511A" w:rsidRPr="000B67FB" w:rsidRDefault="00C7511A" w:rsidP="00C7511A">
      <w:pPr>
        <w:pStyle w:val="Heading40"/>
      </w:pPr>
      <w:r>
        <w:t>Drilling meterage</w:t>
      </w:r>
    </w:p>
    <w:p w14:paraId="005EE7F5" w14:textId="74F5BE88" w:rsidR="00560421" w:rsidRDefault="00C7511A" w:rsidP="00C7511A">
      <w:pPr>
        <w:ind w:right="182"/>
      </w:pPr>
      <w:r>
        <w:t>MECL,</w:t>
      </w:r>
      <w:r w:rsidRPr="0083310B">
        <w:t xml:space="preserve"> State Governments</w:t>
      </w:r>
      <w:r>
        <w:t xml:space="preserve">, </w:t>
      </w:r>
      <w:r w:rsidR="00DB59CD">
        <w:t>CMPDIL</w:t>
      </w:r>
      <w:r w:rsidRPr="0083310B">
        <w:t xml:space="preserve"> and other contractual agencies of </w:t>
      </w:r>
      <w:r w:rsidR="00DB59CD">
        <w:t>CMPDIL</w:t>
      </w:r>
      <w:r w:rsidRPr="0083310B">
        <w:t xml:space="preserve"> conducted Promotional Exploration under the Ministry of Coal’s Plan scheme of “Promotional Exploration for Coal &amp; Lignite”.</w:t>
      </w:r>
      <w:r>
        <w:t xml:space="preserve"> </w:t>
      </w:r>
      <w:r w:rsidR="00DB59CD">
        <w:t>CMPDIL</w:t>
      </w:r>
      <w:r w:rsidRPr="00BC019A">
        <w:t xml:space="preserve"> has maintained a consistent level of drilling for CIL blocks</w:t>
      </w:r>
      <w:r>
        <w:t>.</w:t>
      </w:r>
      <w:r w:rsidRPr="0083310B">
        <w:t> </w:t>
      </w:r>
      <w:r w:rsidR="00DB59CD">
        <w:t>CMPDIL</w:t>
      </w:r>
      <w:r w:rsidRPr="00BC019A">
        <w:t>'s consistent drilling efforts for CIL blocks underscore its commitment to supporting Coal India Limited's production targets</w:t>
      </w:r>
      <w:r>
        <w:t>.</w:t>
      </w:r>
      <w:r w:rsidR="00542EC0">
        <w:t xml:space="preserve"> </w:t>
      </w:r>
      <w:r>
        <w:t xml:space="preserve">The drilling </w:t>
      </w:r>
      <w:r w:rsidR="000B4DD0">
        <w:t>activities undertaken</w:t>
      </w:r>
      <w:r>
        <w:t xml:space="preserve"> by </w:t>
      </w:r>
      <w:r w:rsidR="00DB59CD">
        <w:t>CMPDIL</w:t>
      </w:r>
      <w:r>
        <w:t xml:space="preserve"> </w:t>
      </w:r>
      <w:r w:rsidR="00187436">
        <w:t xml:space="preserve">departmentally </w:t>
      </w:r>
      <w:r w:rsidR="00D7191D">
        <w:t xml:space="preserve">are increasing </w:t>
      </w:r>
      <w:r w:rsidR="000B4DD0">
        <w:t xml:space="preserve">by CAGR </w:t>
      </w:r>
      <w:r w:rsidR="000C4901">
        <w:t>5</w:t>
      </w:r>
      <w:r w:rsidR="000B4DD0">
        <w:t xml:space="preserve">% </w:t>
      </w:r>
      <w:r w:rsidR="00D7191D">
        <w:t>from fiscal 2023-2025</w:t>
      </w:r>
      <w:r>
        <w:t xml:space="preserve">, </w:t>
      </w:r>
      <w:r w:rsidR="00495787">
        <w:t>similarly, in case of drilling activities undertaken through outsourced agencies ha</w:t>
      </w:r>
      <w:r w:rsidR="00D7191D">
        <w:t xml:space="preserve">ve also increased </w:t>
      </w:r>
      <w:r>
        <w:t xml:space="preserve">by </w:t>
      </w:r>
      <w:r w:rsidR="00495787">
        <w:t xml:space="preserve">CAGR </w:t>
      </w:r>
      <w:r w:rsidR="00D7191D">
        <w:t>44</w:t>
      </w:r>
      <w:r w:rsidR="00495787">
        <w:t xml:space="preserve">% during the similar period. </w:t>
      </w:r>
      <w:r w:rsidR="00560421">
        <w:t>In fiscal 202</w:t>
      </w:r>
      <w:r w:rsidR="00A81193">
        <w:t>3, 2024 and 2025,</w:t>
      </w:r>
      <w:r w:rsidR="00560421">
        <w:t xml:space="preserve"> CMPDIL undertook </w:t>
      </w:r>
      <w:r w:rsidR="002B2BFF">
        <w:t xml:space="preserve">6.85, 8.63 and </w:t>
      </w:r>
      <w:r w:rsidR="00560421">
        <w:t xml:space="preserve">10.12 lakhs meters of </w:t>
      </w:r>
      <w:r w:rsidR="00F13E5C">
        <w:t>e</w:t>
      </w:r>
      <w:r w:rsidR="00560421">
        <w:t>xploratory drilling</w:t>
      </w:r>
      <w:r w:rsidR="00F13E5C">
        <w:t xml:space="preserve"> </w:t>
      </w:r>
      <w:r w:rsidR="002B2BFF">
        <w:t xml:space="preserve">respectively </w:t>
      </w:r>
      <w:r w:rsidR="00C27A57">
        <w:t xml:space="preserve">followed by </w:t>
      </w:r>
      <w:r w:rsidR="00D57FC3">
        <w:t xml:space="preserve">data acquisition of </w:t>
      </w:r>
      <w:r w:rsidR="00F55904">
        <w:t>609, 234.60</w:t>
      </w:r>
      <w:r w:rsidR="00B123BB">
        <w:t xml:space="preserve"> </w:t>
      </w:r>
      <w:r w:rsidR="00F55904">
        <w:t>and 437.95</w:t>
      </w:r>
      <w:r w:rsidR="00B123BB">
        <w:t xml:space="preserve"> </w:t>
      </w:r>
      <w:r w:rsidR="00F55904">
        <w:t>line</w:t>
      </w:r>
      <w:r w:rsidR="00F13E5C">
        <w:t xml:space="preserve"> km </w:t>
      </w:r>
      <w:r w:rsidR="003F7784" w:rsidRPr="003F7784">
        <w:t>through 2D/3D</w:t>
      </w:r>
      <w:r w:rsidR="003F7784">
        <w:t xml:space="preserve"> s</w:t>
      </w:r>
      <w:r w:rsidR="003F7784" w:rsidRPr="003F7784">
        <w:t xml:space="preserve">eismic </w:t>
      </w:r>
      <w:r w:rsidR="003F7784">
        <w:t>s</w:t>
      </w:r>
      <w:r w:rsidR="003F7784" w:rsidRPr="003F7784">
        <w:t>urve</w:t>
      </w:r>
      <w:r w:rsidR="00D57FC3">
        <w:t>y</w:t>
      </w:r>
      <w:r w:rsidR="00C27A57">
        <w:t xml:space="preserve"> respectively</w:t>
      </w:r>
      <w:r w:rsidR="00C272A4">
        <w:t xml:space="preserve"> in the same fiscal years. </w:t>
      </w:r>
    </w:p>
    <w:p w14:paraId="75DB7780" w14:textId="6FAD073F" w:rsidR="00C7511A" w:rsidRDefault="00C7511A" w:rsidP="00C7511A">
      <w:pPr>
        <w:pStyle w:val="Caption"/>
        <w:ind w:right="182"/>
      </w:pPr>
      <w:bookmarkStart w:id="6625" w:name="_Toc198731521"/>
      <w:r w:rsidRPr="00EF4B0B">
        <w:t xml:space="preserve">Figure </w:t>
      </w:r>
      <w:r w:rsidRPr="00EF4B0B">
        <w:fldChar w:fldCharType="begin"/>
      </w:r>
      <w:r w:rsidRPr="00EF4B0B">
        <w:instrText xml:space="preserve"> STYLEREF 1 \s </w:instrText>
      </w:r>
      <w:r w:rsidRPr="00EF4B0B">
        <w:fldChar w:fldCharType="separate"/>
      </w:r>
      <w:r w:rsidR="002142B9">
        <w:rPr>
          <w:noProof/>
        </w:rPr>
        <w:t>4</w:t>
      </w:r>
      <w:r w:rsidRPr="00EF4B0B">
        <w:fldChar w:fldCharType="end"/>
      </w:r>
      <w:r w:rsidRPr="00EF4B0B">
        <w:t>.</w:t>
      </w:r>
      <w:r w:rsidRPr="00EF4B0B">
        <w:fldChar w:fldCharType="begin"/>
      </w:r>
      <w:r w:rsidRPr="00EF4B0B">
        <w:instrText xml:space="preserve"> SEQ Figure \* ARABIC \s 1 </w:instrText>
      </w:r>
      <w:r w:rsidRPr="00EF4B0B">
        <w:fldChar w:fldCharType="separate"/>
      </w:r>
      <w:r w:rsidR="002142B9">
        <w:rPr>
          <w:noProof/>
        </w:rPr>
        <w:t>4</w:t>
      </w:r>
      <w:r w:rsidRPr="00EF4B0B">
        <w:fldChar w:fldCharType="end"/>
      </w:r>
      <w:r w:rsidRPr="00EF4B0B">
        <w:t>:</w:t>
      </w:r>
      <w:r>
        <w:t xml:space="preserve"> </w:t>
      </w:r>
      <w:r w:rsidRPr="00447FF5">
        <w:t xml:space="preserve">Details of drilling by </w:t>
      </w:r>
      <w:r w:rsidR="00DB59CD" w:rsidRPr="00447FF5">
        <w:t>CMPDIL</w:t>
      </w:r>
      <w:r w:rsidRPr="00447FF5">
        <w:t xml:space="preserve"> in Lakh Meters</w:t>
      </w:r>
      <w:r w:rsidR="00A262B6" w:rsidRPr="00447FF5">
        <w:t xml:space="preserve"> |</w:t>
      </w:r>
      <w:r w:rsidR="008F384B" w:rsidRPr="00447FF5">
        <w:t xml:space="preserve"> Details of drilling in by MECL in Lakh Meters</w:t>
      </w:r>
      <w:bookmarkEnd w:id="6625"/>
    </w:p>
    <w:p w14:paraId="2250CD5A" w14:textId="6BEF305E" w:rsidR="00A262B6" w:rsidRDefault="002C264C" w:rsidP="00662938">
      <w:pPr>
        <w:pStyle w:val="Source"/>
        <w:spacing w:before="0" w:after="40" w:line="240" w:lineRule="auto"/>
      </w:pPr>
      <w:r w:rsidRPr="00D0636A">
        <w:rPr>
          <w:noProof/>
        </w:rPr>
        <w:drawing>
          <wp:anchor distT="0" distB="0" distL="114300" distR="114300" simplePos="0" relativeHeight="251658253" behindDoc="1" locked="0" layoutInCell="1" allowOverlap="1" wp14:anchorId="4C41B524" wp14:editId="09FEA7AF">
            <wp:simplePos x="0" y="0"/>
            <wp:positionH relativeFrom="column">
              <wp:posOffset>3372498</wp:posOffset>
            </wp:positionH>
            <wp:positionV relativeFrom="paragraph">
              <wp:posOffset>18415</wp:posOffset>
            </wp:positionV>
            <wp:extent cx="3200400" cy="1938655"/>
            <wp:effectExtent l="0" t="0" r="0" b="4445"/>
            <wp:wrapNone/>
            <wp:docPr id="2077806016" name="Chart 1">
              <a:extLst xmlns:a="http://schemas.openxmlformats.org/drawingml/2006/main">
                <a:ext uri="{FF2B5EF4-FFF2-40B4-BE49-F238E27FC236}">
                  <a16:creationId xmlns:a16="http://schemas.microsoft.com/office/drawing/2014/main" id="{FD358C17-5322-1529-D940-6C5E17CC2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C7511A" w:rsidRPr="002C3190">
        <w:rPr>
          <w:noProof/>
          <w:lang w:eastAsia="en-IN"/>
        </w:rPr>
        <w:drawing>
          <wp:inline distT="0" distB="0" distL="0" distR="0" wp14:anchorId="4DAA2EEB" wp14:editId="1AD07E77">
            <wp:extent cx="3277235" cy="1955409"/>
            <wp:effectExtent l="0" t="0" r="18415" b="6985"/>
            <wp:docPr id="336584738" name="Chart 1">
              <a:extLst xmlns:a="http://schemas.openxmlformats.org/drawingml/2006/main">
                <a:ext uri="{FF2B5EF4-FFF2-40B4-BE49-F238E27FC236}">
                  <a16:creationId xmlns:a16="http://schemas.microsoft.com/office/drawing/2014/main" id="{1273CC5A-262E-02CA-C46B-432788AC6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84547E" w14:textId="49182D82" w:rsidR="00C7511A" w:rsidRDefault="00C7511A" w:rsidP="00662938">
      <w:pPr>
        <w:pStyle w:val="Source"/>
        <w:spacing w:before="0" w:after="0" w:line="240" w:lineRule="auto"/>
      </w:pPr>
      <w:r>
        <w:t xml:space="preserve">Source: </w:t>
      </w:r>
      <w:r w:rsidR="00DB59CD">
        <w:t>CMPDIL</w:t>
      </w:r>
      <w:r w:rsidR="00D816B0">
        <w:t>,</w:t>
      </w:r>
      <w:r w:rsidR="008F384B">
        <w:t>, MECL annual report</w:t>
      </w:r>
      <w:r w:rsidR="00E74EFA">
        <w:t>; Annual Report of Ministry of Mines</w:t>
      </w:r>
    </w:p>
    <w:p w14:paraId="23B88E37" w14:textId="09383919" w:rsidR="00E74EFA" w:rsidRDefault="00E74EFA" w:rsidP="00662938">
      <w:pPr>
        <w:pStyle w:val="Source"/>
        <w:spacing w:before="0" w:line="360" w:lineRule="auto"/>
      </w:pPr>
      <w:r>
        <w:t>*Up to December 2024</w:t>
      </w:r>
    </w:p>
    <w:p w14:paraId="16ABE46E" w14:textId="2F5F5BF8" w:rsidR="002776F5" w:rsidRDefault="00F117C9" w:rsidP="002776F5">
      <w:pPr>
        <w:rPr>
          <w:szCs w:val="20"/>
        </w:rPr>
      </w:pPr>
      <w:r>
        <w:t xml:space="preserve">The meterage of drilling by MECL has </w:t>
      </w:r>
      <w:r w:rsidR="002D7BA3">
        <w:t xml:space="preserve">increased </w:t>
      </w:r>
      <w:r>
        <w:t>from fiscal 20</w:t>
      </w:r>
      <w:r w:rsidR="00F95FB1">
        <w:t>2</w:t>
      </w:r>
      <w:r w:rsidR="002D7BA3">
        <w:t>3</w:t>
      </w:r>
      <w:r>
        <w:t xml:space="preserve"> when it was </w:t>
      </w:r>
      <w:r w:rsidR="00496652">
        <w:t>2.36</w:t>
      </w:r>
      <w:r>
        <w:t xml:space="preserve"> </w:t>
      </w:r>
      <w:r w:rsidR="00AC2691">
        <w:t xml:space="preserve">lakhs </w:t>
      </w:r>
      <w:r>
        <w:t>m to 3</w:t>
      </w:r>
      <w:r w:rsidR="00AC2691">
        <w:t>.</w:t>
      </w:r>
      <w:r>
        <w:t>4</w:t>
      </w:r>
      <w:r w:rsidR="00AC2691">
        <w:t>9 lakhs</w:t>
      </w:r>
      <w:r>
        <w:t xml:space="preserve"> m in fiscal 2024</w:t>
      </w:r>
      <w:r w:rsidR="00902266">
        <w:t xml:space="preserve"> </w:t>
      </w:r>
      <w:r w:rsidR="00430D17">
        <w:t>and</w:t>
      </w:r>
      <w:r w:rsidR="00902266">
        <w:t xml:space="preserve"> 3.11 lakhs m in fiscal 2025 (up to December 2024)</w:t>
      </w:r>
      <w:r>
        <w:t xml:space="preserve">. This </w:t>
      </w:r>
      <w:r w:rsidR="00496652">
        <w:t>increase</w:t>
      </w:r>
      <w:r>
        <w:t xml:space="preserve"> was also reflected in MECL’s revenue and MECL’s PAT, which </w:t>
      </w:r>
      <w:r w:rsidR="00496652">
        <w:t>grew</w:t>
      </w:r>
      <w:r>
        <w:t xml:space="preserve"> from Rs. </w:t>
      </w:r>
      <w:r w:rsidR="004F717D">
        <w:rPr>
          <w:szCs w:val="20"/>
        </w:rPr>
        <w:t>2,122</w:t>
      </w:r>
      <w:r>
        <w:rPr>
          <w:szCs w:val="20"/>
        </w:rPr>
        <w:t xml:space="preserve"> million in fiscal 202</w:t>
      </w:r>
      <w:r w:rsidR="004F717D">
        <w:rPr>
          <w:szCs w:val="20"/>
        </w:rPr>
        <w:t>3</w:t>
      </w:r>
      <w:r>
        <w:rPr>
          <w:szCs w:val="20"/>
        </w:rPr>
        <w:t xml:space="preserve"> to Rs. 3</w:t>
      </w:r>
      <w:r w:rsidR="004F717D">
        <w:rPr>
          <w:szCs w:val="20"/>
        </w:rPr>
        <w:t>,</w:t>
      </w:r>
      <w:r>
        <w:rPr>
          <w:szCs w:val="20"/>
        </w:rPr>
        <w:t>160 million fiscal 2024 and from Rs. 14</w:t>
      </w:r>
      <w:r w:rsidR="004F717D">
        <w:rPr>
          <w:szCs w:val="20"/>
        </w:rPr>
        <w:t>0</w:t>
      </w:r>
      <w:r>
        <w:rPr>
          <w:szCs w:val="20"/>
        </w:rPr>
        <w:t xml:space="preserve"> in fiscal 202</w:t>
      </w:r>
      <w:r w:rsidR="004F717D">
        <w:rPr>
          <w:szCs w:val="20"/>
        </w:rPr>
        <w:t>3</w:t>
      </w:r>
      <w:r>
        <w:rPr>
          <w:szCs w:val="20"/>
        </w:rPr>
        <w:t xml:space="preserve"> to Rs. 8</w:t>
      </w:r>
      <w:r w:rsidR="004F717D">
        <w:rPr>
          <w:szCs w:val="20"/>
        </w:rPr>
        <w:t>00</w:t>
      </w:r>
      <w:r>
        <w:rPr>
          <w:szCs w:val="20"/>
        </w:rPr>
        <w:t xml:space="preserve"> in fiscal 2024. The share of departmental drilling has been about 92-93%, which increased to about 96% in fiscal 2024.</w:t>
      </w:r>
    </w:p>
    <w:p w14:paraId="1599413A" w14:textId="27E66D0C" w:rsidR="0042671B" w:rsidRDefault="0042671B" w:rsidP="002776F5">
      <w:pPr>
        <w:rPr>
          <w:szCs w:val="20"/>
        </w:rPr>
      </w:pPr>
      <w:r w:rsidRPr="00481153">
        <w:rPr>
          <w:szCs w:val="20"/>
        </w:rPr>
        <w:t>Further, CMPDIL</w:t>
      </w:r>
      <w:r w:rsidR="006B7BA0" w:rsidRPr="00481153">
        <w:rPr>
          <w:szCs w:val="20"/>
        </w:rPr>
        <w:t xml:space="preserve"> has also undertake</w:t>
      </w:r>
      <w:r w:rsidR="00BB78A5" w:rsidRPr="00481153">
        <w:rPr>
          <w:szCs w:val="20"/>
        </w:rPr>
        <w:t>n</w:t>
      </w:r>
      <w:r w:rsidR="006B7BA0" w:rsidRPr="00481153">
        <w:rPr>
          <w:szCs w:val="20"/>
        </w:rPr>
        <w:t xml:space="preserve"> overburden </w:t>
      </w:r>
      <w:r w:rsidR="00BB78A5" w:rsidRPr="00481153">
        <w:rPr>
          <w:szCs w:val="20"/>
        </w:rPr>
        <w:t>measurements</w:t>
      </w:r>
      <w:r w:rsidR="006B7BA0" w:rsidRPr="00481153">
        <w:rPr>
          <w:szCs w:val="20"/>
        </w:rPr>
        <w:t xml:space="preserve"> </w:t>
      </w:r>
      <w:r w:rsidR="0031045E" w:rsidRPr="00481153">
        <w:rPr>
          <w:szCs w:val="20"/>
        </w:rPr>
        <w:t>of 1130 MCu</w:t>
      </w:r>
      <w:r w:rsidR="009A1971" w:rsidRPr="00481153">
        <w:rPr>
          <w:szCs w:val="20"/>
        </w:rPr>
        <w:t>M, 1656 MCuM and 19</w:t>
      </w:r>
      <w:r w:rsidR="00E41492">
        <w:rPr>
          <w:szCs w:val="20"/>
        </w:rPr>
        <w:t>7</w:t>
      </w:r>
      <w:r w:rsidR="00D009C3" w:rsidRPr="00662938">
        <w:rPr>
          <w:szCs w:val="20"/>
        </w:rPr>
        <w:t>5</w:t>
      </w:r>
      <w:r w:rsidR="009A1971" w:rsidRPr="00481153">
        <w:rPr>
          <w:szCs w:val="20"/>
        </w:rPr>
        <w:t xml:space="preserve"> MCuM in fiscal 2023, 2024 and 2025 respectively</w:t>
      </w:r>
      <w:r w:rsidR="00EA131B" w:rsidRPr="00481153">
        <w:rPr>
          <w:szCs w:val="20"/>
        </w:rPr>
        <w:t xml:space="preserve"> and also </w:t>
      </w:r>
      <w:r w:rsidR="00E32571" w:rsidRPr="00481153">
        <w:rPr>
          <w:szCs w:val="20"/>
        </w:rPr>
        <w:t>tested 1</w:t>
      </w:r>
      <w:r w:rsidR="00D009C3" w:rsidRPr="00662938">
        <w:rPr>
          <w:szCs w:val="20"/>
        </w:rPr>
        <w:t>67123</w:t>
      </w:r>
      <w:r w:rsidR="003A1B29" w:rsidRPr="00481153">
        <w:rPr>
          <w:szCs w:val="20"/>
        </w:rPr>
        <w:t xml:space="preserve">, </w:t>
      </w:r>
      <w:r w:rsidR="00E32571" w:rsidRPr="00481153">
        <w:rPr>
          <w:szCs w:val="20"/>
        </w:rPr>
        <w:t>183497</w:t>
      </w:r>
      <w:r w:rsidR="003A1B29" w:rsidRPr="00481153">
        <w:rPr>
          <w:szCs w:val="20"/>
        </w:rPr>
        <w:t xml:space="preserve"> and 2</w:t>
      </w:r>
      <w:r w:rsidR="00D009C3" w:rsidRPr="00662938">
        <w:rPr>
          <w:szCs w:val="20"/>
        </w:rPr>
        <w:t>10603</w:t>
      </w:r>
      <w:r w:rsidR="003A1B29" w:rsidRPr="00481153">
        <w:rPr>
          <w:szCs w:val="20"/>
        </w:rPr>
        <w:t xml:space="preserve"> </w:t>
      </w:r>
      <w:r w:rsidR="00BB78A5" w:rsidRPr="00481153">
        <w:rPr>
          <w:szCs w:val="20"/>
        </w:rPr>
        <w:t xml:space="preserve">number of samples </w:t>
      </w:r>
      <w:r w:rsidR="006712D2" w:rsidRPr="00481153">
        <w:rPr>
          <w:szCs w:val="20"/>
        </w:rPr>
        <w:t xml:space="preserve">(air/ water/ noise) </w:t>
      </w:r>
      <w:r w:rsidR="00BB78A5" w:rsidRPr="00481153">
        <w:rPr>
          <w:szCs w:val="20"/>
        </w:rPr>
        <w:t>in the same fiscal 2023, 2024 and 2025 respectively</w:t>
      </w:r>
      <w:r w:rsidR="006712D2" w:rsidRPr="00481153">
        <w:rPr>
          <w:szCs w:val="20"/>
        </w:rPr>
        <w:t>.</w:t>
      </w:r>
      <w:r w:rsidR="006712D2">
        <w:rPr>
          <w:szCs w:val="20"/>
        </w:rPr>
        <w:t xml:space="preserve"> </w:t>
      </w:r>
      <w:r w:rsidR="00BB78A5">
        <w:rPr>
          <w:szCs w:val="20"/>
        </w:rPr>
        <w:t xml:space="preserve"> </w:t>
      </w:r>
    </w:p>
    <w:p w14:paraId="2F2A5A54" w14:textId="77777777" w:rsidR="00C7511A" w:rsidRDefault="00C7511A" w:rsidP="00C7511A">
      <w:pPr>
        <w:pStyle w:val="Heading40"/>
      </w:pPr>
      <w:r>
        <w:t>Resource Augmentation</w:t>
      </w:r>
    </w:p>
    <w:p w14:paraId="06D8067C" w14:textId="7294BBBC" w:rsidR="00C7511A" w:rsidRPr="00DA4DF5" w:rsidRDefault="00CB5BBE" w:rsidP="00C7511A">
      <w:r w:rsidRPr="00F35432">
        <w:t xml:space="preserve">A comparative analysis of the </w:t>
      </w:r>
      <w:r>
        <w:t xml:space="preserve">coal resources established </w:t>
      </w:r>
      <w:r w:rsidRPr="00F35432">
        <w:t xml:space="preserve">by </w:t>
      </w:r>
      <w:r>
        <w:t>CMPDIL</w:t>
      </w:r>
      <w:r w:rsidRPr="00F35432">
        <w:t xml:space="preserve"> and MECL reveals a notable trend, with </w:t>
      </w:r>
      <w:r>
        <w:t>CMPDIL</w:t>
      </w:r>
      <w:r w:rsidRPr="00F35432">
        <w:t xml:space="preserve"> consistently demonstrating a stronger track record of </w:t>
      </w:r>
      <w:r>
        <w:t xml:space="preserve">coal resource </w:t>
      </w:r>
      <w:r w:rsidRPr="00F35432">
        <w:t>discoveries over the years, underscoring its expertise and capabilities in exploration and mining</w:t>
      </w:r>
      <w:r>
        <w:t xml:space="preserve"> of coal</w:t>
      </w:r>
      <w:r w:rsidRPr="00F35432">
        <w:t>.</w:t>
      </w:r>
      <w:r>
        <w:t xml:space="preserve"> However, in other minerals CMPDIL is undertaking exploration in </w:t>
      </w:r>
      <w:r w:rsidR="00F6653F">
        <w:t>3</w:t>
      </w:r>
      <w:r>
        <w:t xml:space="preserve"> bauxite blocks in </w:t>
      </w:r>
      <w:r w:rsidR="003540CF">
        <w:t>Jharkhand</w:t>
      </w:r>
      <w:r>
        <w:t xml:space="preserve"> funded through NMET.  About </w:t>
      </w:r>
      <w:r w:rsidR="0094159C">
        <w:t xml:space="preserve">approximately </w:t>
      </w:r>
      <w:r>
        <w:t>90% of new resource established by MECL was coal however, overall it was about half of the coal resource established by CMPDIL.</w:t>
      </w:r>
      <w:r w:rsidR="00C7511A">
        <w:t xml:space="preserve"> </w:t>
      </w:r>
    </w:p>
    <w:p w14:paraId="287D7ED7" w14:textId="5E985913" w:rsidR="00C7511A" w:rsidRDefault="00C7511A" w:rsidP="00C7511A">
      <w:pPr>
        <w:pStyle w:val="Caption"/>
        <w:ind w:right="182"/>
      </w:pPr>
      <w:bookmarkStart w:id="6626" w:name="_Toc198731479"/>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18</w:t>
      </w:r>
      <w:r w:rsidRPr="000174A7">
        <w:fldChar w:fldCharType="end"/>
      </w:r>
      <w:r w:rsidRPr="002A2397">
        <w:t xml:space="preserve"> </w:t>
      </w:r>
      <w:r w:rsidRPr="00F92851">
        <w:t>Details o</w:t>
      </w:r>
      <w:r w:rsidRPr="00EE0980">
        <w:t xml:space="preserve">f </w:t>
      </w:r>
      <w:r w:rsidR="003F7784">
        <w:t>c</w:t>
      </w:r>
      <w:r w:rsidRPr="00EE0980">
        <w:t xml:space="preserve">oal </w:t>
      </w:r>
      <w:r w:rsidR="003F7784">
        <w:t>r</w:t>
      </w:r>
      <w:r w:rsidRPr="00EE0980">
        <w:t>esources</w:t>
      </w:r>
      <w:r w:rsidRPr="000601D7">
        <w:t xml:space="preserve"> established by </w:t>
      </w:r>
      <w:r w:rsidR="00DB59CD">
        <w:t>CMPDIL</w:t>
      </w:r>
      <w:r>
        <w:t xml:space="preserve"> in MMT</w:t>
      </w:r>
      <w:bookmarkEnd w:id="6626"/>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2164"/>
        <w:gridCol w:w="2789"/>
        <w:gridCol w:w="2789"/>
        <w:gridCol w:w="2788"/>
      </w:tblGrid>
      <w:tr w:rsidR="00B42CBF" w:rsidRPr="008D5FF4" w14:paraId="289A3ADD" w14:textId="18327D0F" w:rsidTr="00662938">
        <w:trPr>
          <w:tblHeader/>
        </w:trPr>
        <w:tc>
          <w:tcPr>
            <w:tcW w:w="1027" w:type="pct"/>
            <w:shd w:val="clear" w:color="auto" w:fill="156082" w:themeFill="accent1"/>
            <w:vAlign w:val="center"/>
          </w:tcPr>
          <w:p w14:paraId="7177D5FE" w14:textId="77777777" w:rsidR="00B42CBF" w:rsidRPr="008D5FF4" w:rsidRDefault="00B42CBF" w:rsidP="002F7E18">
            <w:pPr>
              <w:spacing w:before="80" w:after="80" w:line="240" w:lineRule="auto"/>
              <w:ind w:right="182"/>
              <w:rPr>
                <w:color w:val="FFFFFF"/>
                <w:szCs w:val="20"/>
                <w:lang w:val="en-GB"/>
              </w:rPr>
            </w:pPr>
            <w:r w:rsidRPr="008D5FF4">
              <w:rPr>
                <w:color w:val="FFFFFF"/>
                <w:szCs w:val="20"/>
                <w:lang w:val="en-GB"/>
              </w:rPr>
              <w:t>Mineral</w:t>
            </w:r>
          </w:p>
        </w:tc>
        <w:tc>
          <w:tcPr>
            <w:tcW w:w="1324" w:type="pct"/>
            <w:shd w:val="clear" w:color="auto" w:fill="156082" w:themeFill="accent1"/>
            <w:vAlign w:val="center"/>
          </w:tcPr>
          <w:p w14:paraId="75F819AC" w14:textId="77777777" w:rsidR="00B42CBF" w:rsidRPr="008D5FF4" w:rsidRDefault="00B42CBF" w:rsidP="002F7E18">
            <w:pPr>
              <w:spacing w:before="80" w:after="80" w:line="240" w:lineRule="auto"/>
              <w:ind w:right="182"/>
              <w:jc w:val="center"/>
              <w:rPr>
                <w:color w:val="FFFFFF"/>
                <w:szCs w:val="20"/>
                <w:lang w:val="en-GB"/>
              </w:rPr>
            </w:pPr>
            <w:r w:rsidRPr="008D5FF4">
              <w:rPr>
                <w:color w:val="FFFFFF"/>
                <w:szCs w:val="20"/>
                <w:lang w:val="en-GB"/>
              </w:rPr>
              <w:t>2023</w:t>
            </w:r>
          </w:p>
        </w:tc>
        <w:tc>
          <w:tcPr>
            <w:tcW w:w="1324" w:type="pct"/>
            <w:shd w:val="clear" w:color="auto" w:fill="156082" w:themeFill="accent1"/>
            <w:vAlign w:val="center"/>
          </w:tcPr>
          <w:p w14:paraId="49FDCC7A" w14:textId="77777777" w:rsidR="00B42CBF" w:rsidRPr="008D5FF4" w:rsidRDefault="00B42CBF" w:rsidP="002F7E18">
            <w:pPr>
              <w:spacing w:before="80" w:after="80" w:line="240" w:lineRule="auto"/>
              <w:ind w:right="182"/>
              <w:jc w:val="center"/>
              <w:rPr>
                <w:color w:val="FFFFFF"/>
                <w:szCs w:val="20"/>
                <w:lang w:val="en-GB"/>
              </w:rPr>
            </w:pPr>
            <w:r w:rsidRPr="008D5FF4">
              <w:rPr>
                <w:color w:val="FFFFFF"/>
                <w:szCs w:val="20"/>
                <w:lang w:val="en-GB"/>
              </w:rPr>
              <w:t>2024</w:t>
            </w:r>
          </w:p>
        </w:tc>
        <w:tc>
          <w:tcPr>
            <w:tcW w:w="1324" w:type="pct"/>
            <w:shd w:val="clear" w:color="auto" w:fill="156082" w:themeFill="accent1"/>
          </w:tcPr>
          <w:p w14:paraId="63F45854" w14:textId="083A8A59" w:rsidR="00B42CBF" w:rsidRPr="008D5FF4" w:rsidRDefault="00B42CBF" w:rsidP="002F7E18">
            <w:pPr>
              <w:spacing w:before="80" w:after="80" w:line="240" w:lineRule="auto"/>
              <w:ind w:right="182"/>
              <w:jc w:val="center"/>
              <w:rPr>
                <w:color w:val="FFFFFF"/>
                <w:szCs w:val="20"/>
                <w:lang w:val="en-GB"/>
              </w:rPr>
            </w:pPr>
            <w:r>
              <w:rPr>
                <w:color w:val="FFFFFF"/>
                <w:szCs w:val="20"/>
                <w:lang w:val="en-GB"/>
              </w:rPr>
              <w:t>2025</w:t>
            </w:r>
          </w:p>
        </w:tc>
      </w:tr>
      <w:tr w:rsidR="00B42CBF" w:rsidRPr="008D5FF4" w14:paraId="0694353B" w14:textId="73CC257E" w:rsidTr="00662938">
        <w:tc>
          <w:tcPr>
            <w:tcW w:w="1027" w:type="pct"/>
            <w:shd w:val="clear" w:color="auto" w:fill="C9D8E1"/>
          </w:tcPr>
          <w:p w14:paraId="3FD10242" w14:textId="77777777" w:rsidR="00B42CBF" w:rsidRPr="008D5FF4" w:rsidRDefault="00B42CBF" w:rsidP="002F7E18">
            <w:pPr>
              <w:spacing w:before="80" w:after="80" w:line="240" w:lineRule="auto"/>
              <w:ind w:right="182"/>
              <w:rPr>
                <w:rFonts w:eastAsia="Arial"/>
                <w:color w:val="434242"/>
                <w:szCs w:val="20"/>
                <w:lang w:val="en-GB"/>
              </w:rPr>
            </w:pPr>
            <w:r w:rsidRPr="008D5FF4">
              <w:t>Coal</w:t>
            </w:r>
          </w:p>
        </w:tc>
        <w:tc>
          <w:tcPr>
            <w:tcW w:w="1324" w:type="pct"/>
            <w:shd w:val="clear" w:color="auto" w:fill="C9D8E1"/>
          </w:tcPr>
          <w:p w14:paraId="71181D13" w14:textId="3235BDB7" w:rsidR="00B42CBF" w:rsidRPr="00662938" w:rsidRDefault="00B42CBF" w:rsidP="002F7E18">
            <w:pPr>
              <w:spacing w:before="80" w:after="80" w:line="240" w:lineRule="auto"/>
              <w:ind w:right="182"/>
              <w:jc w:val="center"/>
              <w:rPr>
                <w:b w:val="0"/>
                <w:bCs w:val="0"/>
                <w:szCs w:val="20"/>
              </w:rPr>
            </w:pPr>
            <w:r w:rsidRPr="00B16995">
              <w:t>17</w:t>
            </w:r>
            <w:r>
              <w:t>,</w:t>
            </w:r>
            <w:r w:rsidRPr="00B16995">
              <w:t>900</w:t>
            </w:r>
          </w:p>
        </w:tc>
        <w:tc>
          <w:tcPr>
            <w:tcW w:w="1324" w:type="pct"/>
            <w:shd w:val="clear" w:color="auto" w:fill="C9D8E1"/>
          </w:tcPr>
          <w:p w14:paraId="45206374" w14:textId="229D18D8" w:rsidR="00B42CBF" w:rsidRPr="00662938" w:rsidRDefault="00B42CBF" w:rsidP="002F7E18">
            <w:pPr>
              <w:spacing w:before="80" w:after="80" w:line="240" w:lineRule="auto"/>
              <w:ind w:right="182"/>
              <w:jc w:val="center"/>
              <w:rPr>
                <w:b w:val="0"/>
                <w:bCs w:val="0"/>
                <w:szCs w:val="20"/>
              </w:rPr>
            </w:pPr>
            <w:r w:rsidRPr="00B16995">
              <w:t>23</w:t>
            </w:r>
            <w:r>
              <w:t>,</w:t>
            </w:r>
            <w:r w:rsidRPr="00B16995">
              <w:t>000</w:t>
            </w:r>
          </w:p>
        </w:tc>
        <w:tc>
          <w:tcPr>
            <w:tcW w:w="1324" w:type="pct"/>
            <w:shd w:val="clear" w:color="auto" w:fill="C9D8E1"/>
          </w:tcPr>
          <w:p w14:paraId="79C75479" w14:textId="7D14844D" w:rsidR="00B42CBF" w:rsidRPr="00B16995" w:rsidRDefault="00B42CBF" w:rsidP="002F7E18">
            <w:pPr>
              <w:spacing w:before="80" w:after="80" w:line="240" w:lineRule="auto"/>
              <w:ind w:right="182"/>
              <w:jc w:val="center"/>
            </w:pPr>
            <w:r>
              <w:t>1</w:t>
            </w:r>
            <w:r w:rsidR="00AC07BB">
              <w:t>4,975</w:t>
            </w:r>
          </w:p>
        </w:tc>
      </w:tr>
    </w:tbl>
    <w:p w14:paraId="7ECAD4F9" w14:textId="70D54A5B" w:rsidR="00C7511A" w:rsidRPr="000601D7" w:rsidRDefault="00C7511A" w:rsidP="00C7511A">
      <w:pPr>
        <w:pStyle w:val="Source"/>
      </w:pPr>
      <w:r w:rsidRPr="00FF440B">
        <w:t>Source:</w:t>
      </w:r>
      <w:r>
        <w:t xml:space="preserve"> </w:t>
      </w:r>
      <w:r w:rsidR="00DB59CD">
        <w:t>CMPDIL</w:t>
      </w:r>
      <w:r>
        <w:t xml:space="preserve"> </w:t>
      </w:r>
      <w:r w:rsidRPr="005E100B">
        <w:t>Annual Reports</w:t>
      </w:r>
      <w:r>
        <w:t>, all years are fiscal year</w:t>
      </w:r>
    </w:p>
    <w:p w14:paraId="46594BAB" w14:textId="7F2EBEC7" w:rsidR="00C7511A" w:rsidRDefault="00C7511A" w:rsidP="00C7511A">
      <w:pPr>
        <w:pStyle w:val="Caption"/>
        <w:ind w:right="182"/>
      </w:pPr>
      <w:bookmarkStart w:id="6627" w:name="_Toc198731480"/>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19</w:t>
      </w:r>
      <w:r w:rsidRPr="000174A7">
        <w:fldChar w:fldCharType="end"/>
      </w:r>
      <w:r w:rsidRPr="002A2397">
        <w:t xml:space="preserve"> </w:t>
      </w:r>
      <w:r w:rsidRPr="000601D7">
        <w:t xml:space="preserve">Mineral </w:t>
      </w:r>
      <w:r w:rsidR="00F67CE7">
        <w:t>w</w:t>
      </w:r>
      <w:r w:rsidRPr="000601D7">
        <w:t xml:space="preserve">ise </w:t>
      </w:r>
      <w:r w:rsidR="00F67CE7">
        <w:t>d</w:t>
      </w:r>
      <w:r w:rsidRPr="000601D7">
        <w:t xml:space="preserve">etails of </w:t>
      </w:r>
      <w:r w:rsidR="00F67CE7">
        <w:t>r</w:t>
      </w:r>
      <w:r w:rsidRPr="000601D7">
        <w:t>esources established by MECL</w:t>
      </w:r>
      <w:r>
        <w:t xml:space="preserve"> in MMT</w:t>
      </w:r>
      <w:bookmarkEnd w:id="6627"/>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2645"/>
        <w:gridCol w:w="2856"/>
        <w:gridCol w:w="2521"/>
        <w:gridCol w:w="2508"/>
      </w:tblGrid>
      <w:tr w:rsidR="00B42CBF" w:rsidRPr="008D5FF4" w14:paraId="50336AF6" w14:textId="4E00E018" w:rsidTr="00662938">
        <w:trPr>
          <w:tblHeader/>
        </w:trPr>
        <w:tc>
          <w:tcPr>
            <w:tcW w:w="1256" w:type="pct"/>
            <w:shd w:val="clear" w:color="auto" w:fill="156082" w:themeFill="accent1"/>
            <w:vAlign w:val="center"/>
          </w:tcPr>
          <w:p w14:paraId="4A01C754" w14:textId="77777777" w:rsidR="00B42CBF" w:rsidRPr="008D5FF4" w:rsidRDefault="00B42CBF" w:rsidP="009A364A">
            <w:pPr>
              <w:spacing w:before="80" w:after="80" w:line="240" w:lineRule="auto"/>
              <w:ind w:right="182"/>
              <w:rPr>
                <w:color w:val="FFFFFF"/>
                <w:szCs w:val="20"/>
                <w:lang w:val="en-GB"/>
              </w:rPr>
            </w:pPr>
            <w:r w:rsidRPr="008D5FF4">
              <w:rPr>
                <w:color w:val="FFFFFF"/>
                <w:szCs w:val="20"/>
                <w:lang w:val="en-GB"/>
              </w:rPr>
              <w:t>Mineral</w:t>
            </w:r>
          </w:p>
        </w:tc>
        <w:tc>
          <w:tcPr>
            <w:tcW w:w="1356" w:type="pct"/>
            <w:shd w:val="clear" w:color="auto" w:fill="156082" w:themeFill="accent1"/>
            <w:vAlign w:val="center"/>
          </w:tcPr>
          <w:p w14:paraId="6DF54894" w14:textId="77777777" w:rsidR="00B42CBF" w:rsidRPr="008D5FF4" w:rsidRDefault="00B42CBF" w:rsidP="009A364A">
            <w:pPr>
              <w:spacing w:before="80" w:after="80" w:line="240" w:lineRule="auto"/>
              <w:ind w:right="182"/>
              <w:jc w:val="center"/>
              <w:rPr>
                <w:color w:val="FFFFFF"/>
                <w:szCs w:val="20"/>
                <w:lang w:val="en-GB"/>
              </w:rPr>
            </w:pPr>
            <w:r w:rsidRPr="008D5FF4">
              <w:rPr>
                <w:color w:val="FFFFFF"/>
                <w:szCs w:val="20"/>
                <w:lang w:val="en-GB"/>
              </w:rPr>
              <w:t>2023</w:t>
            </w:r>
          </w:p>
        </w:tc>
        <w:tc>
          <w:tcPr>
            <w:tcW w:w="1197" w:type="pct"/>
            <w:shd w:val="clear" w:color="auto" w:fill="156082" w:themeFill="accent1"/>
          </w:tcPr>
          <w:p w14:paraId="75EE476E" w14:textId="77777777" w:rsidR="00B42CBF" w:rsidRPr="008D5FF4" w:rsidRDefault="00B42CBF" w:rsidP="009A364A">
            <w:pPr>
              <w:spacing w:before="80" w:after="80" w:line="240" w:lineRule="auto"/>
              <w:ind w:right="182"/>
              <w:jc w:val="center"/>
              <w:rPr>
                <w:color w:val="FFFFFF"/>
                <w:szCs w:val="20"/>
                <w:lang w:val="en-GB"/>
              </w:rPr>
            </w:pPr>
            <w:r>
              <w:rPr>
                <w:color w:val="FFFFFF"/>
                <w:szCs w:val="20"/>
                <w:lang w:val="en-GB"/>
              </w:rPr>
              <w:t>2024</w:t>
            </w:r>
          </w:p>
        </w:tc>
        <w:tc>
          <w:tcPr>
            <w:tcW w:w="1192" w:type="pct"/>
            <w:shd w:val="clear" w:color="auto" w:fill="156082" w:themeFill="accent1"/>
          </w:tcPr>
          <w:p w14:paraId="12A1D15D" w14:textId="0AE9E15C" w:rsidR="00B42CBF" w:rsidRDefault="00B42CBF" w:rsidP="009A364A">
            <w:pPr>
              <w:spacing w:before="80" w:after="80" w:line="240" w:lineRule="auto"/>
              <w:ind w:right="182"/>
              <w:jc w:val="center"/>
              <w:rPr>
                <w:color w:val="FFFFFF"/>
                <w:szCs w:val="20"/>
                <w:lang w:val="en-GB"/>
              </w:rPr>
            </w:pPr>
            <w:r>
              <w:rPr>
                <w:color w:val="FFFFFF"/>
                <w:szCs w:val="20"/>
                <w:lang w:val="en-GB"/>
              </w:rPr>
              <w:t>2025</w:t>
            </w:r>
          </w:p>
        </w:tc>
      </w:tr>
      <w:tr w:rsidR="00B42CBF" w:rsidRPr="008D5FF4" w14:paraId="2951C5E7" w14:textId="2AEE0D27" w:rsidTr="00662938">
        <w:trPr>
          <w:trHeight w:val="288"/>
        </w:trPr>
        <w:tc>
          <w:tcPr>
            <w:tcW w:w="1256" w:type="pct"/>
            <w:shd w:val="clear" w:color="auto" w:fill="C9D8E1"/>
            <w:vAlign w:val="center"/>
          </w:tcPr>
          <w:p w14:paraId="4E1CC5C0" w14:textId="77777777" w:rsidR="00B42CBF" w:rsidRPr="008D5FF4" w:rsidRDefault="00B42CBF" w:rsidP="00662938">
            <w:pPr>
              <w:spacing w:before="0" w:after="0" w:line="240" w:lineRule="auto"/>
              <w:ind w:right="187"/>
              <w:jc w:val="left"/>
              <w:rPr>
                <w:rFonts w:eastAsia="Arial"/>
                <w:color w:val="434242"/>
                <w:szCs w:val="20"/>
                <w:lang w:val="en-GB"/>
              </w:rPr>
            </w:pPr>
            <w:r w:rsidRPr="008D5FF4">
              <w:t>Coal</w:t>
            </w:r>
          </w:p>
        </w:tc>
        <w:tc>
          <w:tcPr>
            <w:tcW w:w="1356" w:type="pct"/>
            <w:shd w:val="clear" w:color="auto" w:fill="C9D8E1"/>
            <w:vAlign w:val="center"/>
          </w:tcPr>
          <w:p w14:paraId="291869C7" w14:textId="2A5F8B24" w:rsidR="00B42CBF" w:rsidRPr="00662938" w:rsidRDefault="00B42CBF" w:rsidP="00662938">
            <w:pPr>
              <w:spacing w:before="0" w:after="0" w:line="240" w:lineRule="auto"/>
              <w:ind w:right="187"/>
              <w:jc w:val="center"/>
              <w:rPr>
                <w:b w:val="0"/>
                <w:bCs w:val="0"/>
                <w:szCs w:val="20"/>
              </w:rPr>
            </w:pPr>
            <w:r w:rsidRPr="003D5A71">
              <w:t>7</w:t>
            </w:r>
            <w:r>
              <w:t>,</w:t>
            </w:r>
            <w:r w:rsidRPr="003D5A71">
              <w:t>032</w:t>
            </w:r>
          </w:p>
        </w:tc>
        <w:tc>
          <w:tcPr>
            <w:tcW w:w="1197" w:type="pct"/>
            <w:shd w:val="clear" w:color="auto" w:fill="C9D8E1"/>
            <w:vAlign w:val="center"/>
          </w:tcPr>
          <w:p w14:paraId="289EBABB" w14:textId="27D4D6A6" w:rsidR="00B42CBF" w:rsidRPr="00662938" w:rsidRDefault="00B42CBF" w:rsidP="00662938">
            <w:pPr>
              <w:spacing w:before="0" w:after="0" w:line="240" w:lineRule="auto"/>
              <w:ind w:right="187"/>
              <w:jc w:val="center"/>
              <w:rPr>
                <w:b w:val="0"/>
                <w:bCs w:val="0"/>
              </w:rPr>
            </w:pPr>
            <w:r w:rsidRPr="003D5A71">
              <w:t>9</w:t>
            </w:r>
            <w:r>
              <w:t>,</w:t>
            </w:r>
            <w:r w:rsidRPr="003D5A71">
              <w:t>220</w:t>
            </w:r>
          </w:p>
        </w:tc>
        <w:tc>
          <w:tcPr>
            <w:tcW w:w="1192" w:type="pct"/>
            <w:shd w:val="clear" w:color="auto" w:fill="C9D8E1"/>
            <w:vAlign w:val="center"/>
          </w:tcPr>
          <w:p w14:paraId="097B488B" w14:textId="5253ED24"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697F1B11" w14:textId="4EB5C55E" w:rsidTr="00662938">
        <w:trPr>
          <w:trHeight w:val="288"/>
        </w:trPr>
        <w:tc>
          <w:tcPr>
            <w:tcW w:w="1256" w:type="pct"/>
            <w:vAlign w:val="center"/>
          </w:tcPr>
          <w:p w14:paraId="610D2D42" w14:textId="77777777" w:rsidR="00B42CBF" w:rsidRPr="008D5FF4" w:rsidRDefault="00B42CBF" w:rsidP="00662938">
            <w:pPr>
              <w:spacing w:before="0" w:after="0" w:line="240" w:lineRule="auto"/>
              <w:ind w:right="187"/>
              <w:jc w:val="left"/>
              <w:rPr>
                <w:rFonts w:eastAsia="Arial"/>
                <w:b w:val="0"/>
                <w:bCs w:val="0"/>
                <w:color w:val="434242"/>
                <w:szCs w:val="20"/>
                <w:lang w:val="en-GB"/>
              </w:rPr>
            </w:pPr>
            <w:r w:rsidRPr="008D5FF4">
              <w:t>Lignite</w:t>
            </w:r>
          </w:p>
        </w:tc>
        <w:tc>
          <w:tcPr>
            <w:tcW w:w="1356" w:type="pct"/>
            <w:vAlign w:val="center"/>
          </w:tcPr>
          <w:p w14:paraId="314746CA" w14:textId="77777777" w:rsidR="00B42CBF" w:rsidRPr="00B16995" w:rsidRDefault="00B42CBF" w:rsidP="00662938">
            <w:pPr>
              <w:spacing w:before="0" w:after="0" w:line="240" w:lineRule="auto"/>
              <w:ind w:right="187"/>
              <w:jc w:val="center"/>
              <w:rPr>
                <w:b w:val="0"/>
                <w:bCs w:val="0"/>
                <w:szCs w:val="20"/>
              </w:rPr>
            </w:pPr>
            <w:r w:rsidRPr="00B16995">
              <w:rPr>
                <w:b w:val="0"/>
                <w:bCs w:val="0"/>
              </w:rPr>
              <w:t>225</w:t>
            </w:r>
          </w:p>
        </w:tc>
        <w:tc>
          <w:tcPr>
            <w:tcW w:w="1197" w:type="pct"/>
            <w:vAlign w:val="center"/>
          </w:tcPr>
          <w:p w14:paraId="167389EE" w14:textId="77777777" w:rsidR="00B42CBF" w:rsidRPr="00DF67F3" w:rsidRDefault="00B42CBF" w:rsidP="00662938">
            <w:pPr>
              <w:spacing w:before="0" w:after="0" w:line="240" w:lineRule="auto"/>
              <w:ind w:right="187"/>
              <w:jc w:val="center"/>
              <w:rPr>
                <w:b w:val="0"/>
                <w:bCs w:val="0"/>
              </w:rPr>
            </w:pPr>
            <w:r w:rsidRPr="003D5A71">
              <w:t>815</w:t>
            </w:r>
          </w:p>
        </w:tc>
        <w:tc>
          <w:tcPr>
            <w:tcW w:w="1192" w:type="pct"/>
            <w:vAlign w:val="center"/>
          </w:tcPr>
          <w:p w14:paraId="2E617B98" w14:textId="16357DC4"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5BB82E2B" w14:textId="29EADA05" w:rsidTr="00662938">
        <w:trPr>
          <w:trHeight w:val="288"/>
        </w:trPr>
        <w:tc>
          <w:tcPr>
            <w:tcW w:w="1256" w:type="pct"/>
            <w:vAlign w:val="center"/>
          </w:tcPr>
          <w:p w14:paraId="4C3E5070" w14:textId="77777777" w:rsidR="00B42CBF" w:rsidRPr="008D5FF4" w:rsidRDefault="00B42CBF" w:rsidP="00662938">
            <w:pPr>
              <w:spacing w:before="0" w:after="0" w:line="240" w:lineRule="auto"/>
              <w:ind w:right="187"/>
              <w:jc w:val="left"/>
              <w:rPr>
                <w:szCs w:val="20"/>
              </w:rPr>
            </w:pPr>
            <w:r w:rsidRPr="008D5FF4">
              <w:t>Iron Ore</w:t>
            </w:r>
          </w:p>
        </w:tc>
        <w:tc>
          <w:tcPr>
            <w:tcW w:w="1356" w:type="pct"/>
            <w:vAlign w:val="center"/>
          </w:tcPr>
          <w:p w14:paraId="62E61C04" w14:textId="77777777" w:rsidR="00B42CBF" w:rsidRPr="00B16995" w:rsidRDefault="00B42CBF" w:rsidP="00662938">
            <w:pPr>
              <w:spacing w:before="0" w:after="0" w:line="240" w:lineRule="auto"/>
              <w:ind w:right="187"/>
              <w:jc w:val="center"/>
              <w:rPr>
                <w:b w:val="0"/>
                <w:bCs w:val="0"/>
              </w:rPr>
            </w:pPr>
            <w:r w:rsidRPr="00B16995">
              <w:rPr>
                <w:b w:val="0"/>
                <w:bCs w:val="0"/>
              </w:rPr>
              <w:t>297</w:t>
            </w:r>
          </w:p>
        </w:tc>
        <w:tc>
          <w:tcPr>
            <w:tcW w:w="1197" w:type="pct"/>
            <w:vAlign w:val="center"/>
          </w:tcPr>
          <w:p w14:paraId="30CDA177" w14:textId="77777777" w:rsidR="00B42CBF" w:rsidRPr="00DF67F3" w:rsidRDefault="00B42CBF" w:rsidP="00662938">
            <w:pPr>
              <w:spacing w:before="0" w:after="0" w:line="240" w:lineRule="auto"/>
              <w:ind w:right="187"/>
              <w:jc w:val="center"/>
              <w:rPr>
                <w:b w:val="0"/>
                <w:bCs w:val="0"/>
              </w:rPr>
            </w:pPr>
            <w:r w:rsidRPr="003D5A71">
              <w:t>188</w:t>
            </w:r>
          </w:p>
        </w:tc>
        <w:tc>
          <w:tcPr>
            <w:tcW w:w="1192" w:type="pct"/>
            <w:vAlign w:val="center"/>
          </w:tcPr>
          <w:p w14:paraId="31BAB58E" w14:textId="698306F3"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565C42CE" w14:textId="2C760A11" w:rsidTr="00662938">
        <w:trPr>
          <w:trHeight w:val="288"/>
        </w:trPr>
        <w:tc>
          <w:tcPr>
            <w:tcW w:w="1256" w:type="pct"/>
            <w:vAlign w:val="center"/>
          </w:tcPr>
          <w:p w14:paraId="43CFFC97" w14:textId="77777777" w:rsidR="00B42CBF" w:rsidRPr="008D5FF4" w:rsidRDefault="00B42CBF" w:rsidP="00662938">
            <w:pPr>
              <w:spacing w:before="0" w:after="0" w:line="240" w:lineRule="auto"/>
              <w:ind w:right="187"/>
              <w:jc w:val="left"/>
              <w:rPr>
                <w:szCs w:val="20"/>
              </w:rPr>
            </w:pPr>
            <w:r w:rsidRPr="008D5FF4">
              <w:t>Limestone</w:t>
            </w:r>
          </w:p>
        </w:tc>
        <w:tc>
          <w:tcPr>
            <w:tcW w:w="1356" w:type="pct"/>
            <w:vAlign w:val="center"/>
          </w:tcPr>
          <w:p w14:paraId="78A54B0C" w14:textId="77777777" w:rsidR="00B42CBF" w:rsidRPr="00B16995" w:rsidRDefault="00B42CBF" w:rsidP="00662938">
            <w:pPr>
              <w:spacing w:before="0" w:after="0" w:line="240" w:lineRule="auto"/>
              <w:ind w:right="187"/>
              <w:jc w:val="center"/>
              <w:rPr>
                <w:b w:val="0"/>
                <w:bCs w:val="0"/>
              </w:rPr>
            </w:pPr>
            <w:r w:rsidRPr="00B16995">
              <w:rPr>
                <w:b w:val="0"/>
                <w:bCs w:val="0"/>
              </w:rPr>
              <w:t>30</w:t>
            </w:r>
          </w:p>
        </w:tc>
        <w:tc>
          <w:tcPr>
            <w:tcW w:w="1197" w:type="pct"/>
            <w:vAlign w:val="center"/>
          </w:tcPr>
          <w:p w14:paraId="783CFA53" w14:textId="6B385580" w:rsidR="00B42CBF" w:rsidRPr="00DF67F3" w:rsidRDefault="00B42CBF" w:rsidP="00662938">
            <w:pPr>
              <w:spacing w:before="0" w:after="0" w:line="240" w:lineRule="auto"/>
              <w:ind w:right="187"/>
              <w:jc w:val="center"/>
              <w:rPr>
                <w:b w:val="0"/>
                <w:bCs w:val="0"/>
              </w:rPr>
            </w:pPr>
            <w:r w:rsidRPr="003D5A71">
              <w:t>3</w:t>
            </w:r>
            <w:r>
              <w:t>,</w:t>
            </w:r>
            <w:r w:rsidRPr="003D5A71">
              <w:t>959</w:t>
            </w:r>
          </w:p>
        </w:tc>
        <w:tc>
          <w:tcPr>
            <w:tcW w:w="1192" w:type="pct"/>
            <w:vAlign w:val="center"/>
          </w:tcPr>
          <w:p w14:paraId="476CFD13" w14:textId="5AC6EA46"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65F16182" w14:textId="5357C613" w:rsidTr="00662938">
        <w:trPr>
          <w:trHeight w:val="288"/>
        </w:trPr>
        <w:tc>
          <w:tcPr>
            <w:tcW w:w="1256" w:type="pct"/>
            <w:vAlign w:val="center"/>
          </w:tcPr>
          <w:p w14:paraId="2C7BAE08" w14:textId="77777777" w:rsidR="00B42CBF" w:rsidRPr="008D5FF4" w:rsidRDefault="00B42CBF" w:rsidP="00662938">
            <w:pPr>
              <w:spacing w:before="0" w:after="0" w:line="240" w:lineRule="auto"/>
              <w:ind w:right="187"/>
              <w:jc w:val="left"/>
              <w:rPr>
                <w:szCs w:val="20"/>
              </w:rPr>
            </w:pPr>
            <w:r w:rsidRPr="008D5FF4">
              <w:t>Potash</w:t>
            </w:r>
          </w:p>
        </w:tc>
        <w:tc>
          <w:tcPr>
            <w:tcW w:w="1356" w:type="pct"/>
            <w:vAlign w:val="center"/>
          </w:tcPr>
          <w:p w14:paraId="7F60A00E" w14:textId="77777777" w:rsidR="00B42CBF" w:rsidRPr="00B16995" w:rsidRDefault="00B42CBF" w:rsidP="00662938">
            <w:pPr>
              <w:spacing w:before="0" w:after="0" w:line="240" w:lineRule="auto"/>
              <w:ind w:right="187"/>
              <w:jc w:val="center"/>
              <w:rPr>
                <w:b w:val="0"/>
                <w:bCs w:val="0"/>
              </w:rPr>
            </w:pPr>
            <w:r w:rsidRPr="00B16995">
              <w:rPr>
                <w:b w:val="0"/>
                <w:bCs w:val="0"/>
              </w:rPr>
              <w:t>143</w:t>
            </w:r>
          </w:p>
        </w:tc>
        <w:tc>
          <w:tcPr>
            <w:tcW w:w="1197" w:type="pct"/>
            <w:vAlign w:val="center"/>
          </w:tcPr>
          <w:p w14:paraId="38E9370B" w14:textId="77777777" w:rsidR="00B42CBF" w:rsidRPr="00DF67F3" w:rsidRDefault="00B42CBF" w:rsidP="00662938">
            <w:pPr>
              <w:spacing w:before="0" w:after="0" w:line="240" w:lineRule="auto"/>
              <w:ind w:right="187"/>
              <w:jc w:val="center"/>
              <w:rPr>
                <w:b w:val="0"/>
                <w:bCs w:val="0"/>
              </w:rPr>
            </w:pPr>
            <w:r w:rsidRPr="003D5A71">
              <w:t>84</w:t>
            </w:r>
          </w:p>
        </w:tc>
        <w:tc>
          <w:tcPr>
            <w:tcW w:w="1192" w:type="pct"/>
            <w:vAlign w:val="center"/>
          </w:tcPr>
          <w:p w14:paraId="6956A216" w14:textId="23065FBD"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5895D252" w14:textId="326A72F6" w:rsidTr="00662938">
        <w:trPr>
          <w:trHeight w:val="288"/>
        </w:trPr>
        <w:tc>
          <w:tcPr>
            <w:tcW w:w="1256" w:type="pct"/>
            <w:vAlign w:val="center"/>
          </w:tcPr>
          <w:p w14:paraId="7836A120" w14:textId="77777777" w:rsidR="00B42CBF" w:rsidRPr="008D5FF4" w:rsidRDefault="00B42CBF" w:rsidP="00662938">
            <w:pPr>
              <w:spacing w:before="0" w:after="0" w:line="240" w:lineRule="auto"/>
              <w:ind w:right="187"/>
              <w:jc w:val="left"/>
              <w:rPr>
                <w:szCs w:val="20"/>
              </w:rPr>
            </w:pPr>
            <w:r w:rsidRPr="008D5FF4">
              <w:t>Bauxite</w:t>
            </w:r>
          </w:p>
        </w:tc>
        <w:tc>
          <w:tcPr>
            <w:tcW w:w="1356" w:type="pct"/>
            <w:vAlign w:val="center"/>
          </w:tcPr>
          <w:p w14:paraId="3ED5E8A3" w14:textId="77777777" w:rsidR="00B42CBF" w:rsidRPr="00B16995" w:rsidRDefault="00B42CBF" w:rsidP="00662938">
            <w:pPr>
              <w:spacing w:before="0" w:after="0" w:line="240" w:lineRule="auto"/>
              <w:ind w:right="187"/>
              <w:jc w:val="center"/>
              <w:rPr>
                <w:b w:val="0"/>
                <w:bCs w:val="0"/>
              </w:rPr>
            </w:pPr>
            <w:r w:rsidRPr="00B16995">
              <w:rPr>
                <w:b w:val="0"/>
                <w:bCs w:val="0"/>
              </w:rPr>
              <w:t>0</w:t>
            </w:r>
          </w:p>
        </w:tc>
        <w:tc>
          <w:tcPr>
            <w:tcW w:w="1197" w:type="pct"/>
            <w:vAlign w:val="center"/>
          </w:tcPr>
          <w:p w14:paraId="2F4A8324" w14:textId="77777777" w:rsidR="00B42CBF" w:rsidRPr="00DF67F3" w:rsidRDefault="00B42CBF" w:rsidP="00662938">
            <w:pPr>
              <w:spacing w:before="0" w:after="0" w:line="240" w:lineRule="auto"/>
              <w:ind w:right="187"/>
              <w:jc w:val="center"/>
              <w:rPr>
                <w:b w:val="0"/>
                <w:bCs w:val="0"/>
              </w:rPr>
            </w:pPr>
            <w:r w:rsidRPr="003D5A71">
              <w:t>0</w:t>
            </w:r>
          </w:p>
        </w:tc>
        <w:tc>
          <w:tcPr>
            <w:tcW w:w="1192" w:type="pct"/>
            <w:vAlign w:val="center"/>
          </w:tcPr>
          <w:p w14:paraId="38C92075" w14:textId="256290FE"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60CDD25F" w14:textId="4DC0279B" w:rsidTr="00662938">
        <w:trPr>
          <w:trHeight w:val="288"/>
        </w:trPr>
        <w:tc>
          <w:tcPr>
            <w:tcW w:w="1256" w:type="pct"/>
            <w:vAlign w:val="center"/>
          </w:tcPr>
          <w:p w14:paraId="06B27041" w14:textId="77777777" w:rsidR="00B42CBF" w:rsidRPr="008D5FF4" w:rsidRDefault="00B42CBF" w:rsidP="00662938">
            <w:pPr>
              <w:spacing w:before="0" w:after="0" w:line="240" w:lineRule="auto"/>
              <w:ind w:right="187"/>
              <w:jc w:val="left"/>
              <w:rPr>
                <w:szCs w:val="20"/>
              </w:rPr>
            </w:pPr>
            <w:r w:rsidRPr="008D5FF4">
              <w:t>Manganese</w:t>
            </w:r>
          </w:p>
        </w:tc>
        <w:tc>
          <w:tcPr>
            <w:tcW w:w="1356" w:type="pct"/>
            <w:vAlign w:val="center"/>
          </w:tcPr>
          <w:p w14:paraId="66B9080D" w14:textId="77777777" w:rsidR="00B42CBF" w:rsidRPr="00B16995" w:rsidRDefault="00B42CBF" w:rsidP="00662938">
            <w:pPr>
              <w:spacing w:before="0" w:after="0" w:line="240" w:lineRule="auto"/>
              <w:ind w:right="187"/>
              <w:jc w:val="center"/>
              <w:rPr>
                <w:b w:val="0"/>
                <w:bCs w:val="0"/>
              </w:rPr>
            </w:pPr>
            <w:r w:rsidRPr="00B16995">
              <w:rPr>
                <w:b w:val="0"/>
                <w:bCs w:val="0"/>
              </w:rPr>
              <w:t>0</w:t>
            </w:r>
          </w:p>
        </w:tc>
        <w:tc>
          <w:tcPr>
            <w:tcW w:w="1197" w:type="pct"/>
            <w:vAlign w:val="center"/>
          </w:tcPr>
          <w:p w14:paraId="6376D4C7" w14:textId="77777777" w:rsidR="00B42CBF" w:rsidRPr="00DF67F3" w:rsidRDefault="00B42CBF" w:rsidP="00662938">
            <w:pPr>
              <w:spacing w:before="0" w:after="0" w:line="240" w:lineRule="auto"/>
              <w:ind w:right="187"/>
              <w:jc w:val="center"/>
              <w:rPr>
                <w:b w:val="0"/>
                <w:bCs w:val="0"/>
              </w:rPr>
            </w:pPr>
            <w:r w:rsidRPr="003D5A71">
              <w:t>0</w:t>
            </w:r>
          </w:p>
        </w:tc>
        <w:tc>
          <w:tcPr>
            <w:tcW w:w="1192" w:type="pct"/>
            <w:vAlign w:val="center"/>
          </w:tcPr>
          <w:p w14:paraId="5FBC5447" w14:textId="162DE82E"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4625D00E" w14:textId="3C928086" w:rsidTr="00662938">
        <w:trPr>
          <w:trHeight w:val="288"/>
        </w:trPr>
        <w:tc>
          <w:tcPr>
            <w:tcW w:w="1256" w:type="pct"/>
            <w:vAlign w:val="center"/>
          </w:tcPr>
          <w:p w14:paraId="530C7EEC" w14:textId="77777777" w:rsidR="00B42CBF" w:rsidRPr="008D5FF4" w:rsidRDefault="00B42CBF" w:rsidP="00662938">
            <w:pPr>
              <w:spacing w:before="0" w:after="0" w:line="240" w:lineRule="auto"/>
              <w:ind w:right="187"/>
              <w:jc w:val="left"/>
              <w:rPr>
                <w:szCs w:val="20"/>
              </w:rPr>
            </w:pPr>
            <w:r w:rsidRPr="008D5FF4">
              <w:t>Others</w:t>
            </w:r>
          </w:p>
        </w:tc>
        <w:tc>
          <w:tcPr>
            <w:tcW w:w="1356" w:type="pct"/>
            <w:vAlign w:val="center"/>
          </w:tcPr>
          <w:p w14:paraId="20CA6CBA" w14:textId="77777777" w:rsidR="00B42CBF" w:rsidRPr="00B16995" w:rsidRDefault="00B42CBF" w:rsidP="00662938">
            <w:pPr>
              <w:spacing w:before="0" w:after="0" w:line="240" w:lineRule="auto"/>
              <w:ind w:right="187"/>
              <w:jc w:val="center"/>
              <w:rPr>
                <w:b w:val="0"/>
                <w:bCs w:val="0"/>
              </w:rPr>
            </w:pPr>
            <w:r w:rsidRPr="00B16995">
              <w:rPr>
                <w:b w:val="0"/>
                <w:bCs w:val="0"/>
              </w:rPr>
              <w:t>7</w:t>
            </w:r>
          </w:p>
        </w:tc>
        <w:tc>
          <w:tcPr>
            <w:tcW w:w="1197" w:type="pct"/>
            <w:vAlign w:val="center"/>
          </w:tcPr>
          <w:p w14:paraId="10B9E228" w14:textId="45C8559B" w:rsidR="00B42CBF" w:rsidRPr="00DF67F3" w:rsidRDefault="00B42CBF" w:rsidP="00662938">
            <w:pPr>
              <w:spacing w:before="0" w:after="0" w:line="240" w:lineRule="auto"/>
              <w:ind w:right="187"/>
              <w:jc w:val="center"/>
              <w:rPr>
                <w:b w:val="0"/>
                <w:bCs w:val="0"/>
              </w:rPr>
            </w:pPr>
            <w:r w:rsidRPr="003D5A71">
              <w:t>2</w:t>
            </w:r>
            <w:r>
              <w:t>,</w:t>
            </w:r>
            <w:r w:rsidRPr="003D5A71">
              <w:t>024</w:t>
            </w:r>
          </w:p>
        </w:tc>
        <w:tc>
          <w:tcPr>
            <w:tcW w:w="1192" w:type="pct"/>
            <w:vAlign w:val="center"/>
          </w:tcPr>
          <w:p w14:paraId="5B5964C7" w14:textId="4306813A" w:rsidR="00B42CBF" w:rsidRPr="00662938" w:rsidRDefault="00B42CBF" w:rsidP="00B905FB">
            <w:pPr>
              <w:spacing w:before="0" w:after="0" w:line="240" w:lineRule="auto"/>
              <w:ind w:right="187"/>
              <w:jc w:val="center"/>
              <w:rPr>
                <w:b w:val="0"/>
                <w:bCs w:val="0"/>
              </w:rPr>
            </w:pPr>
            <w:r>
              <w:rPr>
                <w:b w:val="0"/>
                <w:bCs w:val="0"/>
              </w:rPr>
              <w:t>NA</w:t>
            </w:r>
          </w:p>
        </w:tc>
      </w:tr>
      <w:tr w:rsidR="00B42CBF" w:rsidRPr="009A364A" w14:paraId="6D4D016B" w14:textId="242291D7" w:rsidTr="00662938">
        <w:trPr>
          <w:trHeight w:val="288"/>
        </w:trPr>
        <w:tc>
          <w:tcPr>
            <w:tcW w:w="1256" w:type="pct"/>
            <w:vAlign w:val="center"/>
          </w:tcPr>
          <w:p w14:paraId="33AB736A" w14:textId="77777777" w:rsidR="00B42CBF" w:rsidRPr="008D5FF4" w:rsidRDefault="00B42CBF" w:rsidP="00662938">
            <w:pPr>
              <w:spacing w:before="0" w:after="0" w:line="240" w:lineRule="auto"/>
              <w:ind w:right="187"/>
              <w:jc w:val="left"/>
            </w:pPr>
            <w:r w:rsidRPr="008D5FF4">
              <w:t>Total</w:t>
            </w:r>
          </w:p>
        </w:tc>
        <w:tc>
          <w:tcPr>
            <w:tcW w:w="1356" w:type="pct"/>
            <w:vAlign w:val="center"/>
          </w:tcPr>
          <w:p w14:paraId="011967CF" w14:textId="03216BDB" w:rsidR="00B42CBF" w:rsidRPr="00662938" w:rsidRDefault="00B42CBF" w:rsidP="00662938">
            <w:pPr>
              <w:spacing w:before="0" w:after="0" w:line="240" w:lineRule="auto"/>
              <w:ind w:right="187"/>
              <w:jc w:val="center"/>
            </w:pPr>
            <w:r w:rsidRPr="00453AEE">
              <w:t>7</w:t>
            </w:r>
            <w:r>
              <w:t>,</w:t>
            </w:r>
            <w:r w:rsidRPr="00453AEE">
              <w:t>734</w:t>
            </w:r>
          </w:p>
        </w:tc>
        <w:tc>
          <w:tcPr>
            <w:tcW w:w="1197" w:type="pct"/>
            <w:vAlign w:val="center"/>
          </w:tcPr>
          <w:p w14:paraId="46B01CC8" w14:textId="16C48810" w:rsidR="00B42CBF" w:rsidRPr="00662938" w:rsidRDefault="00B42CBF" w:rsidP="00662938">
            <w:pPr>
              <w:spacing w:before="0" w:after="0" w:line="240" w:lineRule="auto"/>
              <w:ind w:right="187"/>
              <w:jc w:val="center"/>
            </w:pPr>
            <w:r w:rsidRPr="00453AEE">
              <w:t>16</w:t>
            </w:r>
            <w:r>
              <w:t>,</w:t>
            </w:r>
            <w:r w:rsidRPr="00453AEE">
              <w:t>290</w:t>
            </w:r>
          </w:p>
        </w:tc>
        <w:tc>
          <w:tcPr>
            <w:tcW w:w="1192" w:type="pct"/>
            <w:vAlign w:val="center"/>
          </w:tcPr>
          <w:p w14:paraId="5D41AE4F" w14:textId="4FF131A9" w:rsidR="00B42CBF" w:rsidRPr="00453AEE" w:rsidRDefault="00B42CBF" w:rsidP="00B905FB">
            <w:pPr>
              <w:spacing w:before="0" w:after="0" w:line="240" w:lineRule="auto"/>
              <w:ind w:right="187"/>
              <w:jc w:val="center"/>
            </w:pPr>
            <w:r w:rsidRPr="00453AEE">
              <w:t>NA</w:t>
            </w:r>
          </w:p>
        </w:tc>
      </w:tr>
    </w:tbl>
    <w:p w14:paraId="08B12FBF" w14:textId="77777777" w:rsidR="00C7511A" w:rsidRPr="00C676A0" w:rsidRDefault="00C7511A" w:rsidP="00C7511A">
      <w:pPr>
        <w:pStyle w:val="Source"/>
        <w:ind w:right="182"/>
      </w:pPr>
      <w:r w:rsidRPr="00FF440B">
        <w:t xml:space="preserve">Source: </w:t>
      </w:r>
      <w:r>
        <w:t xml:space="preserve">MECL </w:t>
      </w:r>
      <w:r w:rsidRPr="005E100B">
        <w:t>Annual Reports</w:t>
      </w:r>
      <w:r>
        <w:t>, all years are fiscal years</w:t>
      </w:r>
    </w:p>
    <w:p w14:paraId="10816E55" w14:textId="77777777" w:rsidR="00C7511A" w:rsidRDefault="00C7511A" w:rsidP="00C7511A">
      <w:pPr>
        <w:pStyle w:val="Heading40"/>
      </w:pPr>
      <w:r>
        <w:t>Borehole Geophysics</w:t>
      </w:r>
    </w:p>
    <w:p w14:paraId="50727258" w14:textId="65DC4BDA" w:rsidR="00C7511A" w:rsidRDefault="00CB6C43" w:rsidP="00C7511A">
      <w:r>
        <w:t xml:space="preserve">CMPDIL and MECL </w:t>
      </w:r>
      <w:r w:rsidR="00FA5C4F">
        <w:t>have</w:t>
      </w:r>
      <w:r>
        <w:t xml:space="preserve"> also undertaken geophysical logging</w:t>
      </w:r>
      <w:r w:rsidR="00FA5C4F">
        <w:t xml:space="preserve">. </w:t>
      </w:r>
      <w:r>
        <w:t xml:space="preserve">In fiscal 2023 and 2024, CMPDIL has undertaken geophysical logging achieving 2.01 and 1.71 lakhs meters in comparison MECL has achieved </w:t>
      </w:r>
      <w:r w:rsidR="00AF55CF">
        <w:t xml:space="preserve">1.05 and </w:t>
      </w:r>
      <w:r>
        <w:t xml:space="preserve">2.31 lakhs meters </w:t>
      </w:r>
      <w:r w:rsidR="00AF55CF">
        <w:t xml:space="preserve">respectively. </w:t>
      </w:r>
      <w:r w:rsidR="00F810EB">
        <w:t xml:space="preserve">In fiscal 2025 CMPDIL </w:t>
      </w:r>
      <w:r w:rsidR="00FA5C4F">
        <w:t>achieved</w:t>
      </w:r>
      <w:r w:rsidR="00F810EB">
        <w:t xml:space="preserve"> geophysical logging of 2.11 lakhs meters</w:t>
      </w:r>
      <w:r w:rsidR="00B73E04">
        <w:t xml:space="preserve"> which is 22% </w:t>
      </w:r>
      <w:r w:rsidR="00FA5C4F">
        <w:t xml:space="preserve">increase from fiscal 2024. </w:t>
      </w:r>
      <w:r>
        <w:t>This further proves CMPDIL dominance in exploration</w:t>
      </w:r>
      <w:r w:rsidR="00C7511A">
        <w:t xml:space="preserve">. </w:t>
      </w:r>
    </w:p>
    <w:p w14:paraId="51996E0A" w14:textId="74F05C07" w:rsidR="00C7511A" w:rsidRDefault="00C7511A" w:rsidP="00C7511A">
      <w:pPr>
        <w:pStyle w:val="Caption"/>
        <w:ind w:right="182"/>
      </w:pPr>
      <w:bookmarkStart w:id="6628" w:name="_Toc198731522"/>
      <w:r w:rsidRPr="00EF4B0B">
        <w:t xml:space="preserve">Figure </w:t>
      </w:r>
      <w:r w:rsidRPr="00EF4B0B">
        <w:fldChar w:fldCharType="begin"/>
      </w:r>
      <w:r w:rsidRPr="00EF4B0B">
        <w:instrText xml:space="preserve"> STYLEREF 1 \s </w:instrText>
      </w:r>
      <w:r w:rsidRPr="00EF4B0B">
        <w:fldChar w:fldCharType="separate"/>
      </w:r>
      <w:r w:rsidR="002142B9">
        <w:rPr>
          <w:noProof/>
        </w:rPr>
        <w:t>4</w:t>
      </w:r>
      <w:r w:rsidRPr="00EF4B0B">
        <w:fldChar w:fldCharType="end"/>
      </w:r>
      <w:r w:rsidRPr="00EF4B0B">
        <w:t>.</w:t>
      </w:r>
      <w:r w:rsidRPr="00EF4B0B">
        <w:fldChar w:fldCharType="begin"/>
      </w:r>
      <w:r w:rsidRPr="00EF4B0B">
        <w:instrText xml:space="preserve"> SEQ Figure \* ARABIC \s 1 </w:instrText>
      </w:r>
      <w:r w:rsidRPr="00EF4B0B">
        <w:fldChar w:fldCharType="separate"/>
      </w:r>
      <w:r w:rsidR="002142B9">
        <w:rPr>
          <w:noProof/>
        </w:rPr>
        <w:t>5</w:t>
      </w:r>
      <w:r w:rsidRPr="00EF4B0B">
        <w:fldChar w:fldCharType="end"/>
      </w:r>
      <w:r w:rsidRPr="00DF67F3">
        <w:t xml:space="preserve">: Details of geophysical logging carried out by </w:t>
      </w:r>
      <w:r w:rsidR="00DB59CD" w:rsidRPr="00DF67F3">
        <w:t>CMPDIL</w:t>
      </w:r>
      <w:r w:rsidRPr="00DF67F3">
        <w:t xml:space="preserve"> and MECL in Lakh Meters</w:t>
      </w:r>
      <w:bookmarkEnd w:id="6628"/>
    </w:p>
    <w:p w14:paraId="4CFB81E2" w14:textId="059DF178" w:rsidR="00635116" w:rsidRPr="00276677" w:rsidRDefault="00635116" w:rsidP="00662938">
      <w:r w:rsidRPr="007326E0">
        <w:rPr>
          <w:noProof/>
          <w:lang w:eastAsia="en-IN"/>
        </w:rPr>
        <w:drawing>
          <wp:inline distT="0" distB="0" distL="0" distR="0" wp14:anchorId="174545BD" wp14:editId="576FB39C">
            <wp:extent cx="6686550" cy="2110105"/>
            <wp:effectExtent l="0" t="0" r="0" b="4445"/>
            <wp:docPr id="536110765" name="Chart 1">
              <a:extLst xmlns:a="http://schemas.openxmlformats.org/drawingml/2006/main">
                <a:ext uri="{FF2B5EF4-FFF2-40B4-BE49-F238E27FC236}">
                  <a16:creationId xmlns:a16="http://schemas.microsoft.com/office/drawing/2014/main" id="{1273CC5A-262E-02CA-C46B-432788AC6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91373D1" w14:textId="7894C846" w:rsidR="00C7511A" w:rsidRDefault="00C7511A" w:rsidP="00C7511A">
      <w:pPr>
        <w:rPr>
          <w:rFonts w:eastAsiaTheme="minorEastAsia" w:cs="Times New Roman"/>
          <w:i/>
          <w:color w:val="auto"/>
          <w:kern w:val="0"/>
          <w:sz w:val="16"/>
          <w:szCs w:val="22"/>
          <w14:ligatures w14:val="none"/>
        </w:rPr>
      </w:pPr>
      <w:r w:rsidRPr="00F92851">
        <w:rPr>
          <w:rFonts w:eastAsiaTheme="minorEastAsia" w:cs="Times New Roman"/>
          <w:i/>
          <w:color w:val="auto"/>
          <w:kern w:val="0"/>
          <w:sz w:val="16"/>
          <w:szCs w:val="22"/>
          <w14:ligatures w14:val="none"/>
        </w:rPr>
        <w:t>Source Annual Report</w:t>
      </w:r>
      <w:r w:rsidR="00416C7A">
        <w:rPr>
          <w:rFonts w:eastAsiaTheme="minorEastAsia" w:cs="Times New Roman"/>
          <w:i/>
          <w:color w:val="auto"/>
          <w:kern w:val="0"/>
          <w:sz w:val="16"/>
          <w:szCs w:val="22"/>
          <w14:ligatures w14:val="none"/>
        </w:rPr>
        <w:t>; data shared by CMPDIL; Geophysical logging details of MECL for fiscal 2025 is not available</w:t>
      </w:r>
    </w:p>
    <w:p w14:paraId="234B4845" w14:textId="77777777" w:rsidR="00DF67F3" w:rsidRDefault="00DF67F3" w:rsidP="00DF67F3">
      <w:pPr>
        <w:pStyle w:val="Heading30"/>
        <w:numPr>
          <w:ilvl w:val="2"/>
          <w:numId w:val="80"/>
        </w:numPr>
        <w:ind w:right="182"/>
      </w:pPr>
      <w:r>
        <w:t>Manpower strength</w:t>
      </w:r>
    </w:p>
    <w:p w14:paraId="1A204521" w14:textId="45A93446" w:rsidR="00DF67F3" w:rsidRPr="007143D3" w:rsidRDefault="00DF67F3" w:rsidP="00DF67F3">
      <w:pPr>
        <w:ind w:right="182"/>
      </w:pPr>
      <w:r w:rsidRPr="007143D3">
        <w:t xml:space="preserve">The number of employees in </w:t>
      </w:r>
      <w:r>
        <w:t>CMPDIL</w:t>
      </w:r>
      <w:r w:rsidRPr="007143D3">
        <w:t xml:space="preserve">, EIL, MECL, MECON, and RITES, has been declining over the past </w:t>
      </w:r>
      <w:r w:rsidR="00DE5B41">
        <w:t>three</w:t>
      </w:r>
      <w:r w:rsidRPr="007143D3">
        <w:t xml:space="preserve"> years</w:t>
      </w:r>
      <w:r>
        <w:t>. CMPDIL</w:t>
      </w:r>
      <w:r w:rsidRPr="00060BE3">
        <w:t xml:space="preserve">'s employee count has decreased from </w:t>
      </w:r>
      <w:r w:rsidR="00B905FB">
        <w:t>28</w:t>
      </w:r>
      <w:r w:rsidR="00817612">
        <w:t>63</w:t>
      </w:r>
      <w:r w:rsidRPr="00060BE3">
        <w:t xml:space="preserve"> in 202</w:t>
      </w:r>
      <w:r w:rsidR="00817612">
        <w:t>3</w:t>
      </w:r>
      <w:r w:rsidRPr="00060BE3">
        <w:t xml:space="preserve"> to 2</w:t>
      </w:r>
      <w:r w:rsidR="003E6665">
        <w:t>721</w:t>
      </w:r>
      <w:r w:rsidRPr="00060BE3">
        <w:t xml:space="preserve"> in 202</w:t>
      </w:r>
      <w:r w:rsidR="003E6665">
        <w:t>5</w:t>
      </w:r>
      <w:r w:rsidRPr="00060BE3">
        <w:t xml:space="preserve">, representing a </w:t>
      </w:r>
      <w:r w:rsidR="000A08B5">
        <w:t>5</w:t>
      </w:r>
      <w:r w:rsidRPr="00060BE3">
        <w:t xml:space="preserve">% decline. </w:t>
      </w:r>
      <w:r w:rsidR="007E618C" w:rsidRPr="00060BE3">
        <w:t xml:space="preserve">RITES' employee count has </w:t>
      </w:r>
      <w:r w:rsidR="007E618C">
        <w:t>increased</w:t>
      </w:r>
      <w:r w:rsidR="007E618C" w:rsidRPr="00060BE3">
        <w:t xml:space="preserve"> from </w:t>
      </w:r>
      <w:r w:rsidR="007E618C">
        <w:t>2562</w:t>
      </w:r>
      <w:r w:rsidR="007E618C" w:rsidRPr="00060BE3">
        <w:t xml:space="preserve"> in 202</w:t>
      </w:r>
      <w:r w:rsidR="007E618C">
        <w:t>3</w:t>
      </w:r>
      <w:r w:rsidR="007E618C" w:rsidRPr="00060BE3">
        <w:t xml:space="preserve"> to 2</w:t>
      </w:r>
      <w:r w:rsidR="007E618C">
        <w:t>728</w:t>
      </w:r>
      <w:r w:rsidR="007E618C" w:rsidRPr="00060BE3">
        <w:t xml:space="preserve"> in 2024, a</w:t>
      </w:r>
      <w:r w:rsidR="00991247">
        <w:t xml:space="preserve"> 6</w:t>
      </w:r>
      <w:r w:rsidR="007E618C" w:rsidRPr="00060BE3">
        <w:t xml:space="preserve">% </w:t>
      </w:r>
      <w:r w:rsidR="00991247">
        <w:t>in</w:t>
      </w:r>
      <w:r w:rsidR="007E618C" w:rsidRPr="00060BE3">
        <w:t>crease.</w:t>
      </w:r>
      <w:r w:rsidR="007E618C">
        <w:t xml:space="preserve"> </w:t>
      </w:r>
      <w:r w:rsidRPr="00060BE3">
        <w:t xml:space="preserve">EIL's employee count has </w:t>
      </w:r>
      <w:r w:rsidR="00991247">
        <w:t xml:space="preserve">remained stable </w:t>
      </w:r>
      <w:r w:rsidRPr="00060BE3">
        <w:t>from 2</w:t>
      </w:r>
      <w:r w:rsidR="00991247">
        <w:t>656</w:t>
      </w:r>
      <w:r w:rsidRPr="00060BE3">
        <w:t xml:space="preserve"> in 202</w:t>
      </w:r>
      <w:r w:rsidR="00991247">
        <w:t>3</w:t>
      </w:r>
      <w:r w:rsidRPr="00060BE3">
        <w:t xml:space="preserve"> to 2658 in 2024. MECL's employee count has declined from </w:t>
      </w:r>
      <w:r w:rsidR="00991247">
        <w:t>869</w:t>
      </w:r>
      <w:r w:rsidRPr="00060BE3">
        <w:t xml:space="preserve"> in 202</w:t>
      </w:r>
      <w:r w:rsidR="00991247">
        <w:t>3</w:t>
      </w:r>
      <w:r w:rsidRPr="00060BE3">
        <w:t xml:space="preserve"> to 8</w:t>
      </w:r>
      <w:r>
        <w:t>40</w:t>
      </w:r>
      <w:r w:rsidRPr="00060BE3">
        <w:t xml:space="preserve"> in 202</w:t>
      </w:r>
      <w:r w:rsidR="00991247">
        <w:t>4</w:t>
      </w:r>
      <w:r w:rsidRPr="00060BE3">
        <w:t xml:space="preserve">, a </w:t>
      </w:r>
      <w:r w:rsidR="00C119AD">
        <w:t>3</w:t>
      </w:r>
      <w:r w:rsidRPr="00060BE3">
        <w:t>% decrease. MECON's employee count has decreased from 1</w:t>
      </w:r>
      <w:r w:rsidR="00C119AD">
        <w:t>066</w:t>
      </w:r>
      <w:r w:rsidRPr="00060BE3">
        <w:t xml:space="preserve"> in 202</w:t>
      </w:r>
      <w:r w:rsidR="00C119AD">
        <w:t>3</w:t>
      </w:r>
      <w:r w:rsidRPr="00060BE3">
        <w:t xml:space="preserve"> to 1012 in 2024, a </w:t>
      </w:r>
      <w:r w:rsidR="00C119AD">
        <w:t>5</w:t>
      </w:r>
      <w:r w:rsidRPr="00060BE3">
        <w:t xml:space="preserve">% decline. </w:t>
      </w:r>
    </w:p>
    <w:p w14:paraId="6308B018" w14:textId="12F2DE18" w:rsidR="00DF67F3" w:rsidRDefault="00DF67F3" w:rsidP="00DF67F3">
      <w:pPr>
        <w:pStyle w:val="Caption"/>
        <w:ind w:right="182"/>
      </w:pPr>
      <w:bookmarkStart w:id="6629" w:name="_Toc198656049"/>
      <w:bookmarkStart w:id="6630" w:name="_Toc198731481"/>
      <w:r w:rsidRPr="0034631A">
        <w:t xml:space="preserve">Table </w:t>
      </w:r>
      <w:r w:rsidRPr="0034631A">
        <w:fldChar w:fldCharType="begin"/>
      </w:r>
      <w:r w:rsidRPr="0034631A">
        <w:instrText xml:space="preserve"> STYLEREF 1 \s </w:instrText>
      </w:r>
      <w:r w:rsidRPr="0034631A">
        <w:fldChar w:fldCharType="separate"/>
      </w:r>
      <w:r w:rsidR="002142B9">
        <w:rPr>
          <w:noProof/>
        </w:rPr>
        <w:t>4</w:t>
      </w:r>
      <w:r w:rsidRPr="0034631A">
        <w:fldChar w:fldCharType="end"/>
      </w:r>
      <w:r w:rsidRPr="0034631A">
        <w:t>.</w:t>
      </w:r>
      <w:r w:rsidRPr="0034631A">
        <w:fldChar w:fldCharType="begin"/>
      </w:r>
      <w:r w:rsidRPr="0034631A">
        <w:instrText xml:space="preserve"> SEQ Table \* ARABIC \s 1 </w:instrText>
      </w:r>
      <w:r w:rsidRPr="0034631A">
        <w:fldChar w:fldCharType="separate"/>
      </w:r>
      <w:r w:rsidR="002142B9">
        <w:rPr>
          <w:noProof/>
        </w:rPr>
        <w:t>20</w:t>
      </w:r>
      <w:r w:rsidRPr="0034631A">
        <w:fldChar w:fldCharType="end"/>
      </w:r>
      <w:r w:rsidRPr="0034631A">
        <w:t xml:space="preserve"> </w:t>
      </w:r>
      <w:r w:rsidRPr="00DC6A90">
        <w:t>Manpower in terms of number of employees</w:t>
      </w:r>
      <w:bookmarkEnd w:id="6629"/>
      <w:bookmarkEnd w:id="6630"/>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2634"/>
        <w:gridCol w:w="2633"/>
        <w:gridCol w:w="2633"/>
        <w:gridCol w:w="2630"/>
      </w:tblGrid>
      <w:tr w:rsidR="00B905FB" w:rsidRPr="00585A80" w14:paraId="3B1F728B" w14:textId="77777777" w:rsidTr="00662938">
        <w:trPr>
          <w:tblHeader/>
        </w:trPr>
        <w:tc>
          <w:tcPr>
            <w:tcW w:w="1251" w:type="pct"/>
            <w:shd w:val="clear" w:color="auto" w:fill="156082" w:themeFill="accent1"/>
            <w:vAlign w:val="center"/>
          </w:tcPr>
          <w:p w14:paraId="5F586FE5" w14:textId="77777777" w:rsidR="00B905FB" w:rsidRPr="00585A80" w:rsidRDefault="00B905FB" w:rsidP="00DC6A90">
            <w:pPr>
              <w:spacing w:before="80" w:after="80" w:line="240" w:lineRule="auto"/>
              <w:ind w:right="182"/>
              <w:rPr>
                <w:color w:val="FFFFFF"/>
                <w:szCs w:val="20"/>
                <w:lang w:val="en-GB"/>
              </w:rPr>
            </w:pPr>
            <w:r w:rsidRPr="00585A80">
              <w:rPr>
                <w:color w:val="FFFFFF"/>
                <w:szCs w:val="20"/>
                <w:lang w:val="en-GB"/>
              </w:rPr>
              <w:t>Company</w:t>
            </w:r>
          </w:p>
        </w:tc>
        <w:tc>
          <w:tcPr>
            <w:tcW w:w="1250" w:type="pct"/>
            <w:shd w:val="clear" w:color="auto" w:fill="156082" w:themeFill="accent1"/>
            <w:vAlign w:val="center"/>
          </w:tcPr>
          <w:p w14:paraId="245A0E47" w14:textId="77777777" w:rsidR="00B905FB" w:rsidRPr="00585A80" w:rsidRDefault="00B905FB" w:rsidP="00DC6A90">
            <w:pPr>
              <w:spacing w:before="80" w:after="80" w:line="240" w:lineRule="auto"/>
              <w:ind w:right="182"/>
              <w:jc w:val="center"/>
              <w:rPr>
                <w:color w:val="FFFFFF"/>
                <w:szCs w:val="20"/>
                <w:lang w:val="en-GB"/>
              </w:rPr>
            </w:pPr>
            <w:r w:rsidRPr="00585A80">
              <w:rPr>
                <w:color w:val="FFFFFF"/>
                <w:szCs w:val="20"/>
                <w:lang w:val="en-GB"/>
              </w:rPr>
              <w:t>2023</w:t>
            </w:r>
          </w:p>
        </w:tc>
        <w:tc>
          <w:tcPr>
            <w:tcW w:w="1250" w:type="pct"/>
            <w:shd w:val="clear" w:color="auto" w:fill="156082" w:themeFill="accent1"/>
            <w:vAlign w:val="center"/>
          </w:tcPr>
          <w:p w14:paraId="2DE27C8E" w14:textId="77777777" w:rsidR="00B905FB" w:rsidRPr="00585A80" w:rsidRDefault="00B905FB" w:rsidP="00DC6A90">
            <w:pPr>
              <w:spacing w:before="80" w:after="80" w:line="240" w:lineRule="auto"/>
              <w:ind w:right="182"/>
              <w:jc w:val="center"/>
              <w:rPr>
                <w:color w:val="FFFFFF"/>
                <w:szCs w:val="20"/>
                <w:lang w:val="en-GB"/>
              </w:rPr>
            </w:pPr>
            <w:r w:rsidRPr="00585A80">
              <w:rPr>
                <w:color w:val="FFFFFF"/>
                <w:szCs w:val="20"/>
                <w:lang w:val="en-GB"/>
              </w:rPr>
              <w:t>2024</w:t>
            </w:r>
          </w:p>
        </w:tc>
        <w:tc>
          <w:tcPr>
            <w:tcW w:w="1249" w:type="pct"/>
            <w:shd w:val="clear" w:color="auto" w:fill="156082" w:themeFill="accent1"/>
          </w:tcPr>
          <w:p w14:paraId="64D1275B" w14:textId="77777777" w:rsidR="00B905FB" w:rsidRPr="00585A80" w:rsidRDefault="00B905FB" w:rsidP="00DC6A90">
            <w:pPr>
              <w:spacing w:before="80" w:after="80" w:line="240" w:lineRule="auto"/>
              <w:ind w:right="182"/>
              <w:jc w:val="center"/>
              <w:rPr>
                <w:color w:val="FFFFFF"/>
                <w:szCs w:val="20"/>
                <w:lang w:val="en-GB"/>
              </w:rPr>
            </w:pPr>
            <w:r>
              <w:rPr>
                <w:color w:val="FFFFFF"/>
                <w:szCs w:val="20"/>
                <w:lang w:val="en-GB"/>
              </w:rPr>
              <w:t>2025</w:t>
            </w:r>
          </w:p>
        </w:tc>
      </w:tr>
      <w:tr w:rsidR="00B905FB" w:rsidRPr="00585A80" w14:paraId="0D206844" w14:textId="77777777" w:rsidTr="00662938">
        <w:tc>
          <w:tcPr>
            <w:tcW w:w="1251" w:type="pct"/>
            <w:shd w:val="clear" w:color="auto" w:fill="C9D8E1"/>
          </w:tcPr>
          <w:p w14:paraId="0DA62F51" w14:textId="77777777" w:rsidR="00B905FB" w:rsidRPr="00585A80" w:rsidRDefault="00B905FB" w:rsidP="00DC6A90">
            <w:pPr>
              <w:spacing w:before="80" w:after="80" w:line="240" w:lineRule="auto"/>
              <w:ind w:right="182"/>
              <w:rPr>
                <w:rFonts w:eastAsia="Arial"/>
                <w:color w:val="434242"/>
                <w:szCs w:val="20"/>
                <w:lang w:val="en-GB"/>
              </w:rPr>
            </w:pPr>
            <w:r>
              <w:rPr>
                <w:rFonts w:eastAsia="Arial"/>
                <w:color w:val="434242"/>
                <w:szCs w:val="20"/>
                <w:lang w:val="en-GB"/>
              </w:rPr>
              <w:t>CMPDIL</w:t>
            </w:r>
          </w:p>
        </w:tc>
        <w:tc>
          <w:tcPr>
            <w:tcW w:w="1250" w:type="pct"/>
            <w:shd w:val="clear" w:color="auto" w:fill="C9D8E1"/>
          </w:tcPr>
          <w:p w14:paraId="7D393B60" w14:textId="5D54C7C5" w:rsidR="00B905FB" w:rsidRPr="00585A80" w:rsidRDefault="00B905FB" w:rsidP="00DC6A90">
            <w:pPr>
              <w:spacing w:before="80" w:after="80" w:line="240" w:lineRule="auto"/>
              <w:ind w:right="182"/>
              <w:jc w:val="center"/>
              <w:rPr>
                <w:szCs w:val="20"/>
              </w:rPr>
            </w:pPr>
            <w:r w:rsidRPr="00585A80">
              <w:t>28</w:t>
            </w:r>
            <w:r w:rsidR="006033FB">
              <w:t>63</w:t>
            </w:r>
          </w:p>
        </w:tc>
        <w:tc>
          <w:tcPr>
            <w:tcW w:w="1250" w:type="pct"/>
            <w:shd w:val="clear" w:color="auto" w:fill="C9D8E1"/>
          </w:tcPr>
          <w:p w14:paraId="17A7D394" w14:textId="02AA8D5E" w:rsidR="00B905FB" w:rsidRPr="00585A80" w:rsidRDefault="006033FB" w:rsidP="00DC6A90">
            <w:pPr>
              <w:spacing w:before="80" w:after="80" w:line="240" w:lineRule="auto"/>
              <w:ind w:right="182"/>
              <w:jc w:val="center"/>
              <w:rPr>
                <w:szCs w:val="20"/>
              </w:rPr>
            </w:pPr>
            <w:r>
              <w:t>2764</w:t>
            </w:r>
          </w:p>
        </w:tc>
        <w:tc>
          <w:tcPr>
            <w:tcW w:w="1249" w:type="pct"/>
            <w:shd w:val="clear" w:color="auto" w:fill="C9D8E1"/>
          </w:tcPr>
          <w:p w14:paraId="1C6C986E" w14:textId="1FA1095E" w:rsidR="00B905FB" w:rsidRPr="00585A80" w:rsidRDefault="00817612" w:rsidP="00DC6A90">
            <w:pPr>
              <w:spacing w:before="80" w:after="80" w:line="240" w:lineRule="auto"/>
              <w:ind w:right="182"/>
              <w:jc w:val="center"/>
            </w:pPr>
            <w:r>
              <w:t>2721</w:t>
            </w:r>
          </w:p>
        </w:tc>
      </w:tr>
      <w:tr w:rsidR="00B905FB" w:rsidRPr="00585A80" w14:paraId="18A031A4" w14:textId="77777777" w:rsidTr="00662938">
        <w:tc>
          <w:tcPr>
            <w:tcW w:w="1251" w:type="pct"/>
          </w:tcPr>
          <w:p w14:paraId="2F4CA3F0" w14:textId="77777777" w:rsidR="00B905FB" w:rsidRPr="00585A80" w:rsidRDefault="00B905FB" w:rsidP="00DC6A90">
            <w:pPr>
              <w:spacing w:before="80" w:after="80" w:line="240" w:lineRule="auto"/>
              <w:ind w:right="182"/>
              <w:rPr>
                <w:szCs w:val="20"/>
              </w:rPr>
            </w:pPr>
            <w:r w:rsidRPr="00585A80">
              <w:rPr>
                <w:b w:val="0"/>
                <w:bCs w:val="0"/>
                <w:szCs w:val="20"/>
              </w:rPr>
              <w:t>RITES</w:t>
            </w:r>
          </w:p>
        </w:tc>
        <w:tc>
          <w:tcPr>
            <w:tcW w:w="1250" w:type="pct"/>
          </w:tcPr>
          <w:p w14:paraId="2AD6D7AA" w14:textId="77777777" w:rsidR="00B905FB" w:rsidRPr="00585A80" w:rsidRDefault="00B905FB" w:rsidP="00DC6A90">
            <w:pPr>
              <w:spacing w:before="80" w:after="80" w:line="240" w:lineRule="auto"/>
              <w:ind w:right="182"/>
              <w:jc w:val="center"/>
              <w:rPr>
                <w:b w:val="0"/>
                <w:bCs w:val="0"/>
                <w:szCs w:val="20"/>
              </w:rPr>
            </w:pPr>
            <w:r w:rsidRPr="00585A80">
              <w:rPr>
                <w:b w:val="0"/>
                <w:bCs w:val="0"/>
              </w:rPr>
              <w:t>2</w:t>
            </w:r>
            <w:r>
              <w:rPr>
                <w:b w:val="0"/>
                <w:bCs w:val="0"/>
              </w:rPr>
              <w:t>562</w:t>
            </w:r>
          </w:p>
        </w:tc>
        <w:tc>
          <w:tcPr>
            <w:tcW w:w="1250" w:type="pct"/>
          </w:tcPr>
          <w:p w14:paraId="0F1C63E3" w14:textId="77777777" w:rsidR="00B905FB" w:rsidRPr="00585A80" w:rsidRDefault="00B905FB" w:rsidP="00DC6A90">
            <w:pPr>
              <w:spacing w:before="80" w:after="80" w:line="240" w:lineRule="auto"/>
              <w:ind w:right="182"/>
              <w:jc w:val="center"/>
              <w:rPr>
                <w:b w:val="0"/>
                <w:bCs w:val="0"/>
                <w:szCs w:val="20"/>
              </w:rPr>
            </w:pPr>
            <w:r w:rsidRPr="00585A80">
              <w:rPr>
                <w:b w:val="0"/>
                <w:bCs w:val="0"/>
              </w:rPr>
              <w:t>2</w:t>
            </w:r>
            <w:r>
              <w:rPr>
                <w:b w:val="0"/>
                <w:bCs w:val="0"/>
              </w:rPr>
              <w:t>728</w:t>
            </w:r>
          </w:p>
        </w:tc>
        <w:tc>
          <w:tcPr>
            <w:tcW w:w="1249" w:type="pct"/>
          </w:tcPr>
          <w:p w14:paraId="4F30A7BF" w14:textId="77777777" w:rsidR="00B905FB" w:rsidRPr="00DC6A90" w:rsidRDefault="00B905FB" w:rsidP="00DC6A90">
            <w:pPr>
              <w:spacing w:before="80" w:after="80" w:line="240" w:lineRule="auto"/>
              <w:ind w:right="182"/>
              <w:jc w:val="center"/>
              <w:rPr>
                <w:b w:val="0"/>
                <w:bCs w:val="0"/>
              </w:rPr>
            </w:pPr>
            <w:r w:rsidRPr="000E4185">
              <w:t>NA</w:t>
            </w:r>
          </w:p>
        </w:tc>
      </w:tr>
      <w:tr w:rsidR="00B905FB" w:rsidRPr="00585A80" w14:paraId="30712AB7" w14:textId="77777777" w:rsidTr="00662938">
        <w:tc>
          <w:tcPr>
            <w:tcW w:w="1251" w:type="pct"/>
          </w:tcPr>
          <w:p w14:paraId="549D1F98" w14:textId="77777777" w:rsidR="00B905FB" w:rsidRPr="00585A80" w:rsidRDefault="00B905FB" w:rsidP="00DC6A90">
            <w:pPr>
              <w:spacing w:before="80" w:after="80" w:line="240" w:lineRule="auto"/>
              <w:ind w:right="182"/>
              <w:rPr>
                <w:rFonts w:eastAsia="Arial"/>
                <w:b w:val="0"/>
                <w:bCs w:val="0"/>
                <w:color w:val="434242"/>
                <w:szCs w:val="20"/>
                <w:lang w:val="en-GB"/>
              </w:rPr>
            </w:pPr>
            <w:r w:rsidRPr="00585A80">
              <w:rPr>
                <w:b w:val="0"/>
                <w:bCs w:val="0"/>
                <w:szCs w:val="20"/>
              </w:rPr>
              <w:t>EIL</w:t>
            </w:r>
          </w:p>
        </w:tc>
        <w:tc>
          <w:tcPr>
            <w:tcW w:w="1250" w:type="pct"/>
          </w:tcPr>
          <w:p w14:paraId="3D24DEF4" w14:textId="77777777" w:rsidR="00B905FB" w:rsidRPr="00585A80" w:rsidRDefault="00B905FB" w:rsidP="00DC6A90">
            <w:pPr>
              <w:spacing w:before="80" w:after="80" w:line="240" w:lineRule="auto"/>
              <w:ind w:right="182"/>
              <w:jc w:val="center"/>
              <w:rPr>
                <w:b w:val="0"/>
                <w:bCs w:val="0"/>
                <w:szCs w:val="20"/>
              </w:rPr>
            </w:pPr>
            <w:r w:rsidRPr="00585A80">
              <w:rPr>
                <w:b w:val="0"/>
                <w:bCs w:val="0"/>
              </w:rPr>
              <w:t>2656</w:t>
            </w:r>
          </w:p>
        </w:tc>
        <w:tc>
          <w:tcPr>
            <w:tcW w:w="1250" w:type="pct"/>
          </w:tcPr>
          <w:p w14:paraId="4A8A0D8F" w14:textId="77777777" w:rsidR="00B905FB" w:rsidRPr="00585A80" w:rsidRDefault="00B905FB" w:rsidP="00DC6A90">
            <w:pPr>
              <w:spacing w:before="80" w:after="80" w:line="240" w:lineRule="auto"/>
              <w:ind w:right="182"/>
              <w:jc w:val="center"/>
              <w:rPr>
                <w:b w:val="0"/>
                <w:bCs w:val="0"/>
                <w:szCs w:val="20"/>
              </w:rPr>
            </w:pPr>
            <w:r w:rsidRPr="00585A80">
              <w:rPr>
                <w:b w:val="0"/>
                <w:bCs w:val="0"/>
              </w:rPr>
              <w:t>2658</w:t>
            </w:r>
          </w:p>
        </w:tc>
        <w:tc>
          <w:tcPr>
            <w:tcW w:w="1249" w:type="pct"/>
          </w:tcPr>
          <w:p w14:paraId="2D36F567" w14:textId="77777777" w:rsidR="00B905FB" w:rsidRPr="00DC6A90" w:rsidRDefault="00B905FB" w:rsidP="00DC6A90">
            <w:pPr>
              <w:spacing w:before="80" w:after="80" w:line="240" w:lineRule="auto"/>
              <w:ind w:right="182"/>
              <w:jc w:val="center"/>
              <w:rPr>
                <w:b w:val="0"/>
                <w:bCs w:val="0"/>
              </w:rPr>
            </w:pPr>
            <w:r w:rsidRPr="000E4185">
              <w:t>NA</w:t>
            </w:r>
          </w:p>
        </w:tc>
      </w:tr>
      <w:tr w:rsidR="00B905FB" w:rsidRPr="00585A80" w14:paraId="0CCBCA4A" w14:textId="77777777" w:rsidTr="00662938">
        <w:tc>
          <w:tcPr>
            <w:tcW w:w="1251" w:type="pct"/>
          </w:tcPr>
          <w:p w14:paraId="00806E19" w14:textId="77777777" w:rsidR="00B905FB" w:rsidRPr="00585A80" w:rsidRDefault="00B905FB" w:rsidP="00DC6A90">
            <w:pPr>
              <w:spacing w:before="80" w:after="80" w:line="240" w:lineRule="auto"/>
              <w:ind w:right="182"/>
              <w:rPr>
                <w:rFonts w:eastAsia="Arial"/>
                <w:b w:val="0"/>
                <w:bCs w:val="0"/>
                <w:color w:val="434242"/>
                <w:szCs w:val="20"/>
                <w:lang w:val="en-GB"/>
              </w:rPr>
            </w:pPr>
            <w:r w:rsidRPr="00585A80">
              <w:rPr>
                <w:b w:val="0"/>
                <w:bCs w:val="0"/>
                <w:szCs w:val="20"/>
              </w:rPr>
              <w:t>MECL</w:t>
            </w:r>
          </w:p>
        </w:tc>
        <w:tc>
          <w:tcPr>
            <w:tcW w:w="1250" w:type="pct"/>
          </w:tcPr>
          <w:p w14:paraId="152DF0B6" w14:textId="77777777" w:rsidR="00B905FB" w:rsidRPr="00585A80" w:rsidRDefault="00B905FB" w:rsidP="00DC6A90">
            <w:pPr>
              <w:spacing w:before="80" w:after="80" w:line="240" w:lineRule="auto"/>
              <w:ind w:right="182"/>
              <w:jc w:val="center"/>
              <w:rPr>
                <w:b w:val="0"/>
                <w:bCs w:val="0"/>
                <w:szCs w:val="20"/>
              </w:rPr>
            </w:pPr>
            <w:r w:rsidRPr="00585A80">
              <w:rPr>
                <w:b w:val="0"/>
                <w:bCs w:val="0"/>
              </w:rPr>
              <w:t>869</w:t>
            </w:r>
          </w:p>
        </w:tc>
        <w:tc>
          <w:tcPr>
            <w:tcW w:w="1250" w:type="pct"/>
          </w:tcPr>
          <w:p w14:paraId="1E783117" w14:textId="77777777" w:rsidR="00B905FB" w:rsidRPr="00585A80" w:rsidRDefault="00B905FB" w:rsidP="00DC6A90">
            <w:pPr>
              <w:spacing w:before="80" w:after="80" w:line="240" w:lineRule="auto"/>
              <w:ind w:right="182"/>
              <w:jc w:val="center"/>
              <w:rPr>
                <w:b w:val="0"/>
                <w:bCs w:val="0"/>
                <w:szCs w:val="20"/>
              </w:rPr>
            </w:pPr>
            <w:r>
              <w:rPr>
                <w:b w:val="0"/>
                <w:bCs w:val="0"/>
              </w:rPr>
              <w:t>840</w:t>
            </w:r>
          </w:p>
        </w:tc>
        <w:tc>
          <w:tcPr>
            <w:tcW w:w="1249" w:type="pct"/>
          </w:tcPr>
          <w:p w14:paraId="03FFF0F6" w14:textId="77777777" w:rsidR="00B905FB" w:rsidRPr="00DC6A90" w:rsidRDefault="00B905FB" w:rsidP="00DC6A90">
            <w:pPr>
              <w:spacing w:before="80" w:after="80" w:line="240" w:lineRule="auto"/>
              <w:ind w:right="182"/>
              <w:jc w:val="center"/>
              <w:rPr>
                <w:b w:val="0"/>
                <w:bCs w:val="0"/>
              </w:rPr>
            </w:pPr>
            <w:r w:rsidRPr="000E4185">
              <w:t>NA</w:t>
            </w:r>
          </w:p>
        </w:tc>
      </w:tr>
      <w:tr w:rsidR="00B905FB" w:rsidRPr="00585A80" w14:paraId="541A0250" w14:textId="77777777" w:rsidTr="00662938">
        <w:tc>
          <w:tcPr>
            <w:tcW w:w="1251" w:type="pct"/>
          </w:tcPr>
          <w:p w14:paraId="011C1FDA" w14:textId="77777777" w:rsidR="00B905FB" w:rsidRPr="00585A80" w:rsidRDefault="00B905FB" w:rsidP="00DC6A90">
            <w:pPr>
              <w:spacing w:before="80" w:after="80" w:line="240" w:lineRule="auto"/>
              <w:ind w:right="182"/>
              <w:rPr>
                <w:rFonts w:eastAsia="Arial"/>
                <w:b w:val="0"/>
                <w:bCs w:val="0"/>
                <w:color w:val="434242"/>
                <w:szCs w:val="20"/>
                <w:lang w:val="en-GB"/>
              </w:rPr>
            </w:pPr>
            <w:r w:rsidRPr="00585A80">
              <w:rPr>
                <w:b w:val="0"/>
                <w:bCs w:val="0"/>
                <w:szCs w:val="20"/>
              </w:rPr>
              <w:t>MECON</w:t>
            </w:r>
          </w:p>
        </w:tc>
        <w:tc>
          <w:tcPr>
            <w:tcW w:w="1250" w:type="pct"/>
          </w:tcPr>
          <w:p w14:paraId="667A4772" w14:textId="77777777" w:rsidR="00B905FB" w:rsidRPr="00585A80" w:rsidRDefault="00B905FB" w:rsidP="00DC6A90">
            <w:pPr>
              <w:spacing w:before="80" w:after="80" w:line="240" w:lineRule="auto"/>
              <w:ind w:right="182"/>
              <w:jc w:val="center"/>
              <w:rPr>
                <w:b w:val="0"/>
                <w:bCs w:val="0"/>
                <w:szCs w:val="20"/>
              </w:rPr>
            </w:pPr>
            <w:r w:rsidRPr="00585A80">
              <w:rPr>
                <w:b w:val="0"/>
                <w:bCs w:val="0"/>
              </w:rPr>
              <w:t>1066</w:t>
            </w:r>
          </w:p>
        </w:tc>
        <w:tc>
          <w:tcPr>
            <w:tcW w:w="1250" w:type="pct"/>
          </w:tcPr>
          <w:p w14:paraId="7C13BED2" w14:textId="77777777" w:rsidR="00B905FB" w:rsidRPr="00585A80" w:rsidRDefault="00B905FB" w:rsidP="00DC6A90">
            <w:pPr>
              <w:spacing w:before="80" w:after="80" w:line="240" w:lineRule="auto"/>
              <w:ind w:right="182"/>
              <w:jc w:val="center"/>
              <w:rPr>
                <w:b w:val="0"/>
                <w:bCs w:val="0"/>
                <w:szCs w:val="20"/>
              </w:rPr>
            </w:pPr>
            <w:r w:rsidRPr="00585A80">
              <w:rPr>
                <w:b w:val="0"/>
                <w:bCs w:val="0"/>
              </w:rPr>
              <w:t>1012</w:t>
            </w:r>
          </w:p>
        </w:tc>
        <w:tc>
          <w:tcPr>
            <w:tcW w:w="1249" w:type="pct"/>
          </w:tcPr>
          <w:p w14:paraId="1C8C7966" w14:textId="77777777" w:rsidR="00B905FB" w:rsidRPr="00DC6A90" w:rsidRDefault="00B905FB" w:rsidP="00DC6A90">
            <w:pPr>
              <w:spacing w:before="80" w:after="80" w:line="240" w:lineRule="auto"/>
              <w:ind w:right="182"/>
              <w:jc w:val="center"/>
              <w:rPr>
                <w:b w:val="0"/>
                <w:bCs w:val="0"/>
              </w:rPr>
            </w:pPr>
            <w:r w:rsidRPr="000E4185">
              <w:t>NA</w:t>
            </w:r>
          </w:p>
        </w:tc>
      </w:tr>
    </w:tbl>
    <w:p w14:paraId="04D7A31D" w14:textId="77777777" w:rsidR="00DF67F3" w:rsidRPr="00C676A0" w:rsidRDefault="00DF67F3" w:rsidP="00DF67F3">
      <w:pPr>
        <w:pStyle w:val="Source"/>
        <w:ind w:right="182"/>
      </w:pPr>
      <w:r w:rsidRPr="00FF440B">
        <w:t xml:space="preserve">Source: </w:t>
      </w:r>
      <w:r w:rsidRPr="005E100B">
        <w:t>Company Annual Reports, all years are fiscal</w:t>
      </w:r>
    </w:p>
    <w:p w14:paraId="5F994029" w14:textId="7028C3CE" w:rsidR="00DF67F3" w:rsidRDefault="00DF67F3" w:rsidP="00DF67F3">
      <w:pPr>
        <w:pStyle w:val="Heading30"/>
        <w:ind w:right="182"/>
      </w:pPr>
      <w:r>
        <w:t>Revenue per Employee</w:t>
      </w:r>
    </w:p>
    <w:p w14:paraId="153F60AE" w14:textId="636BB0D9" w:rsidR="00DF67F3" w:rsidRPr="00CD2BB6" w:rsidRDefault="00DF67F3" w:rsidP="00DF67F3">
      <w:pPr>
        <w:ind w:right="182"/>
      </w:pPr>
      <w:r>
        <w:t>CMPDIL</w:t>
      </w:r>
      <w:r w:rsidRPr="00CD2BB6">
        <w:t xml:space="preserve"> witnessed a steady increase in revenue per employee</w:t>
      </w:r>
      <w:r w:rsidR="00281190">
        <w:rPr>
          <w:rStyle w:val="FootnoteReference"/>
        </w:rPr>
        <w:footnoteReference w:id="74"/>
      </w:r>
      <w:r w:rsidRPr="00CD2BB6">
        <w:t xml:space="preserve">, from </w:t>
      </w:r>
      <w:r>
        <w:t xml:space="preserve">Rs. </w:t>
      </w:r>
      <w:r w:rsidRPr="00CD2BB6">
        <w:t>4.</w:t>
      </w:r>
      <w:r w:rsidR="0098292E">
        <w:t>8</w:t>
      </w:r>
      <w:r>
        <w:t xml:space="preserve"> million per employee</w:t>
      </w:r>
      <w:r w:rsidRPr="00CD2BB6">
        <w:t xml:space="preserve"> in 202</w:t>
      </w:r>
      <w:r w:rsidR="00FC0089">
        <w:t>3</w:t>
      </w:r>
      <w:r w:rsidRPr="00CD2BB6">
        <w:t xml:space="preserve"> to </w:t>
      </w:r>
      <w:r>
        <w:t xml:space="preserve">Rs. </w:t>
      </w:r>
      <w:r w:rsidR="00FC0089">
        <w:t>7.</w:t>
      </w:r>
      <w:r w:rsidR="0098292E">
        <w:t>7</w:t>
      </w:r>
      <w:r>
        <w:t xml:space="preserve"> million per employee</w:t>
      </w:r>
      <w:r w:rsidRPr="00CD2BB6">
        <w:t xml:space="preserve"> in 202</w:t>
      </w:r>
      <w:r w:rsidR="00FC0089">
        <w:t>5</w:t>
      </w:r>
      <w:r w:rsidRPr="00CD2BB6">
        <w:t>.</w:t>
      </w:r>
      <w:r>
        <w:t xml:space="preserve"> </w:t>
      </w:r>
      <w:r w:rsidRPr="00477E95">
        <w:t>RITES' revenue per employee has also remained stable</w:t>
      </w:r>
      <w:r w:rsidR="00C05C45">
        <w:t xml:space="preserve"> at </w:t>
      </w:r>
      <w:r w:rsidRPr="00477E95">
        <w:t>Rs.</w:t>
      </w:r>
      <w:r w:rsidR="00C05C45">
        <w:t xml:space="preserve"> 10.3</w:t>
      </w:r>
      <w:r w:rsidRPr="00477E95">
        <w:t xml:space="preserve"> million in 202</w:t>
      </w:r>
      <w:r w:rsidR="00C05C45">
        <w:t>3</w:t>
      </w:r>
      <w:r w:rsidRPr="00477E95">
        <w:t xml:space="preserve"> to Rs. 9.</w:t>
      </w:r>
      <w:r>
        <w:t>0</w:t>
      </w:r>
      <w:r w:rsidRPr="00477E95">
        <w:t xml:space="preserve"> million in 2024</w:t>
      </w:r>
      <w:r>
        <w:t xml:space="preserve">. </w:t>
      </w:r>
      <w:r w:rsidR="00C80BF0">
        <w:t>While</w:t>
      </w:r>
      <w:r w:rsidRPr="00A14A56">
        <w:t xml:space="preserve"> EIL's revenue per employee has </w:t>
      </w:r>
      <w:r w:rsidR="00C05C45">
        <w:t xml:space="preserve">also </w:t>
      </w:r>
      <w:r w:rsidRPr="00A14A56">
        <w:t>remained relatively stable</w:t>
      </w:r>
      <w:r w:rsidR="00C05C45">
        <w:t xml:space="preserve"> at</w:t>
      </w:r>
      <w:r w:rsidRPr="00A14A56">
        <w:t xml:space="preserve"> Rs. 1</w:t>
      </w:r>
      <w:r w:rsidR="00C05C45">
        <w:t>2</w:t>
      </w:r>
      <w:r w:rsidRPr="00A14A56">
        <w:t>.</w:t>
      </w:r>
      <w:r>
        <w:t>5</w:t>
      </w:r>
      <w:r w:rsidRPr="00A14A56">
        <w:t xml:space="preserve"> million in 202</w:t>
      </w:r>
      <w:r w:rsidR="00C05C45">
        <w:t>3</w:t>
      </w:r>
      <w:r w:rsidRPr="00A14A56">
        <w:t xml:space="preserve"> to Rs. 12.</w:t>
      </w:r>
      <w:r>
        <w:t>3</w:t>
      </w:r>
      <w:r w:rsidRPr="00A14A56">
        <w:t xml:space="preserve"> million in 2024</w:t>
      </w:r>
      <w:r>
        <w:t xml:space="preserve">. </w:t>
      </w:r>
      <w:r w:rsidRPr="00260EFA">
        <w:t>MECL's revenue per employee</w:t>
      </w:r>
      <w:r w:rsidR="00C05C45">
        <w:t xml:space="preserve"> declined </w:t>
      </w:r>
      <w:r w:rsidRPr="00260EFA">
        <w:t xml:space="preserve">from </w:t>
      </w:r>
      <w:r>
        <w:t xml:space="preserve">Rs. </w:t>
      </w:r>
      <w:r w:rsidR="00C05C45">
        <w:t>2.4</w:t>
      </w:r>
      <w:r>
        <w:t xml:space="preserve"> million per employee</w:t>
      </w:r>
      <w:r w:rsidRPr="00260EFA">
        <w:t xml:space="preserve"> in 202</w:t>
      </w:r>
      <w:r w:rsidR="00C05C45">
        <w:t>3</w:t>
      </w:r>
      <w:r w:rsidRPr="00260EFA">
        <w:t xml:space="preserve"> to </w:t>
      </w:r>
      <w:r w:rsidR="00C05C45">
        <w:t xml:space="preserve">Rs. </w:t>
      </w:r>
      <w:r>
        <w:t>3.8</w:t>
      </w:r>
      <w:r w:rsidRPr="00260EFA">
        <w:t xml:space="preserve"> </w:t>
      </w:r>
      <w:r w:rsidR="0098292E">
        <w:t xml:space="preserve">million </w:t>
      </w:r>
      <w:r w:rsidRPr="00260EFA">
        <w:t>in 202</w:t>
      </w:r>
      <w:r>
        <w:t xml:space="preserve">4. </w:t>
      </w:r>
      <w:r w:rsidRPr="00477E95">
        <w:t>MECON's revenue per employee has grow</w:t>
      </w:r>
      <w:r w:rsidR="00C05C45">
        <w:t>n</w:t>
      </w:r>
      <w:r w:rsidRPr="00477E95">
        <w:t xml:space="preserve"> from Rs. </w:t>
      </w:r>
      <w:r w:rsidR="00C05C45">
        <w:t>8</w:t>
      </w:r>
      <w:r w:rsidRPr="00477E95">
        <w:t>.3 million in 202</w:t>
      </w:r>
      <w:r w:rsidR="00C05C45">
        <w:t>3</w:t>
      </w:r>
      <w:r w:rsidRPr="00477E95">
        <w:t xml:space="preserve"> to Rs. 10.0 million in 2024</w:t>
      </w:r>
      <w:r>
        <w:t xml:space="preserve">. </w:t>
      </w:r>
    </w:p>
    <w:p w14:paraId="3B6CA962" w14:textId="44BB8E35" w:rsidR="00DF67F3" w:rsidRDefault="00DF67F3" w:rsidP="00DF67F3">
      <w:pPr>
        <w:pStyle w:val="Caption"/>
        <w:ind w:right="182"/>
      </w:pPr>
      <w:bookmarkStart w:id="6631" w:name="_Toc198656050"/>
      <w:bookmarkStart w:id="6632" w:name="_Toc198731482"/>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21</w:t>
      </w:r>
      <w:r w:rsidRPr="000174A7">
        <w:fldChar w:fldCharType="end"/>
      </w:r>
      <w:r w:rsidRPr="002A2397">
        <w:t xml:space="preserve"> </w:t>
      </w:r>
      <w:r>
        <w:t>Revenue per Employee in million rupees</w:t>
      </w:r>
      <w:bookmarkEnd w:id="6631"/>
      <w:bookmarkEnd w:id="6632"/>
      <w:r w:rsidR="001A1813">
        <w:t xml:space="preserve"> per employee</w:t>
      </w:r>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2634"/>
        <w:gridCol w:w="2633"/>
        <w:gridCol w:w="2633"/>
        <w:gridCol w:w="2630"/>
      </w:tblGrid>
      <w:tr w:rsidR="00B905FB" w:rsidRPr="00585A80" w14:paraId="67E5650E" w14:textId="77777777" w:rsidTr="00662938">
        <w:trPr>
          <w:tblHeader/>
        </w:trPr>
        <w:tc>
          <w:tcPr>
            <w:tcW w:w="1251" w:type="pct"/>
            <w:shd w:val="clear" w:color="auto" w:fill="156082" w:themeFill="accent1"/>
            <w:vAlign w:val="center"/>
          </w:tcPr>
          <w:p w14:paraId="52AAFAF4" w14:textId="77777777" w:rsidR="00B905FB" w:rsidRPr="00585A80" w:rsidRDefault="00B905FB" w:rsidP="00DC6A90">
            <w:pPr>
              <w:spacing w:before="80" w:after="80" w:line="240" w:lineRule="auto"/>
              <w:ind w:right="182"/>
              <w:rPr>
                <w:color w:val="FFFFFF"/>
                <w:szCs w:val="20"/>
                <w:lang w:val="en-GB"/>
              </w:rPr>
            </w:pPr>
            <w:r w:rsidRPr="00585A80">
              <w:rPr>
                <w:color w:val="FFFFFF"/>
                <w:szCs w:val="20"/>
                <w:lang w:val="en-GB"/>
              </w:rPr>
              <w:t>Company</w:t>
            </w:r>
          </w:p>
        </w:tc>
        <w:tc>
          <w:tcPr>
            <w:tcW w:w="1250" w:type="pct"/>
            <w:shd w:val="clear" w:color="auto" w:fill="156082" w:themeFill="accent1"/>
            <w:vAlign w:val="center"/>
          </w:tcPr>
          <w:p w14:paraId="555CEEA6" w14:textId="77777777" w:rsidR="00B905FB" w:rsidRPr="00585A80" w:rsidRDefault="00B905FB" w:rsidP="00DC6A90">
            <w:pPr>
              <w:spacing w:before="80" w:after="80" w:line="240" w:lineRule="auto"/>
              <w:ind w:right="182"/>
              <w:jc w:val="center"/>
              <w:rPr>
                <w:color w:val="FFFFFF"/>
                <w:szCs w:val="20"/>
                <w:lang w:val="en-GB"/>
              </w:rPr>
            </w:pPr>
            <w:r w:rsidRPr="00585A80">
              <w:rPr>
                <w:color w:val="FFFFFF"/>
                <w:szCs w:val="20"/>
                <w:lang w:val="en-GB"/>
              </w:rPr>
              <w:t>2023</w:t>
            </w:r>
          </w:p>
        </w:tc>
        <w:tc>
          <w:tcPr>
            <w:tcW w:w="1250" w:type="pct"/>
            <w:shd w:val="clear" w:color="auto" w:fill="156082" w:themeFill="accent1"/>
            <w:vAlign w:val="center"/>
          </w:tcPr>
          <w:p w14:paraId="693C34F0" w14:textId="77777777" w:rsidR="00B905FB" w:rsidRPr="00585A80" w:rsidRDefault="00B905FB" w:rsidP="00DC6A90">
            <w:pPr>
              <w:spacing w:before="80" w:after="80" w:line="240" w:lineRule="auto"/>
              <w:ind w:right="182"/>
              <w:jc w:val="center"/>
              <w:rPr>
                <w:color w:val="FFFFFF"/>
                <w:szCs w:val="20"/>
                <w:lang w:val="en-GB"/>
              </w:rPr>
            </w:pPr>
            <w:r w:rsidRPr="00585A80">
              <w:rPr>
                <w:color w:val="FFFFFF"/>
                <w:szCs w:val="20"/>
                <w:lang w:val="en-GB"/>
              </w:rPr>
              <w:t>2024</w:t>
            </w:r>
          </w:p>
        </w:tc>
        <w:tc>
          <w:tcPr>
            <w:tcW w:w="1249" w:type="pct"/>
            <w:shd w:val="clear" w:color="auto" w:fill="156082" w:themeFill="accent1"/>
            <w:vAlign w:val="center"/>
          </w:tcPr>
          <w:p w14:paraId="45C7C4D6" w14:textId="77777777" w:rsidR="00B905FB" w:rsidRPr="00585A80" w:rsidRDefault="00B905FB" w:rsidP="00DC6A90">
            <w:pPr>
              <w:spacing w:before="80" w:after="80" w:line="240" w:lineRule="auto"/>
              <w:ind w:right="182"/>
              <w:jc w:val="center"/>
              <w:rPr>
                <w:color w:val="FFFFFF"/>
                <w:szCs w:val="20"/>
                <w:lang w:val="en-GB"/>
              </w:rPr>
            </w:pPr>
            <w:r>
              <w:rPr>
                <w:color w:val="FFFFFF"/>
                <w:szCs w:val="20"/>
                <w:lang w:val="en-GB"/>
              </w:rPr>
              <w:t>2025</w:t>
            </w:r>
          </w:p>
        </w:tc>
      </w:tr>
      <w:tr w:rsidR="00B905FB" w:rsidRPr="00585A80" w14:paraId="4ED428FE" w14:textId="77777777" w:rsidTr="00662938">
        <w:trPr>
          <w:trHeight w:val="288"/>
        </w:trPr>
        <w:tc>
          <w:tcPr>
            <w:tcW w:w="1251" w:type="pct"/>
            <w:shd w:val="clear" w:color="auto" w:fill="C9D8E1"/>
            <w:vAlign w:val="center"/>
          </w:tcPr>
          <w:p w14:paraId="278A214D" w14:textId="77777777" w:rsidR="00B905FB" w:rsidRPr="00585A80" w:rsidRDefault="00B905FB" w:rsidP="00DC6A90">
            <w:pPr>
              <w:spacing w:before="0" w:after="0" w:line="240" w:lineRule="auto"/>
              <w:ind w:right="187"/>
              <w:jc w:val="left"/>
              <w:rPr>
                <w:rFonts w:eastAsia="Arial"/>
                <w:color w:val="434242"/>
                <w:szCs w:val="20"/>
                <w:lang w:val="en-GB"/>
              </w:rPr>
            </w:pPr>
            <w:r>
              <w:rPr>
                <w:rFonts w:eastAsia="Arial"/>
                <w:color w:val="434242"/>
                <w:szCs w:val="20"/>
                <w:lang w:val="en-GB"/>
              </w:rPr>
              <w:t>CMPDIL</w:t>
            </w:r>
          </w:p>
        </w:tc>
        <w:tc>
          <w:tcPr>
            <w:tcW w:w="1250" w:type="pct"/>
            <w:shd w:val="clear" w:color="auto" w:fill="C9D8E1"/>
            <w:vAlign w:val="center"/>
          </w:tcPr>
          <w:p w14:paraId="522C8643" w14:textId="0405E89C" w:rsidR="00B905FB" w:rsidRPr="00585A80" w:rsidRDefault="00B905FB" w:rsidP="00DC6A90">
            <w:pPr>
              <w:spacing w:before="0" w:after="0" w:line="240" w:lineRule="auto"/>
              <w:ind w:right="187"/>
              <w:jc w:val="center"/>
              <w:rPr>
                <w:szCs w:val="20"/>
              </w:rPr>
            </w:pPr>
            <w:r w:rsidRPr="00585A80">
              <w:t>4.</w:t>
            </w:r>
            <w:r w:rsidR="0098292E">
              <w:t>8</w:t>
            </w:r>
          </w:p>
        </w:tc>
        <w:tc>
          <w:tcPr>
            <w:tcW w:w="1250" w:type="pct"/>
            <w:shd w:val="clear" w:color="auto" w:fill="C9D8E1"/>
            <w:vAlign w:val="center"/>
          </w:tcPr>
          <w:p w14:paraId="11278A8A" w14:textId="77777777" w:rsidR="00B905FB" w:rsidRPr="00585A80" w:rsidRDefault="00B905FB" w:rsidP="00DC6A90">
            <w:pPr>
              <w:spacing w:before="0" w:after="0" w:line="240" w:lineRule="auto"/>
              <w:ind w:right="187"/>
              <w:jc w:val="center"/>
              <w:rPr>
                <w:szCs w:val="20"/>
              </w:rPr>
            </w:pPr>
            <w:r w:rsidRPr="00585A80">
              <w:t>6.3</w:t>
            </w:r>
          </w:p>
        </w:tc>
        <w:tc>
          <w:tcPr>
            <w:tcW w:w="1249" w:type="pct"/>
            <w:shd w:val="clear" w:color="auto" w:fill="C9D8E1"/>
            <w:vAlign w:val="center"/>
          </w:tcPr>
          <w:p w14:paraId="34FA8D93" w14:textId="2F1D71C0" w:rsidR="00B905FB" w:rsidRPr="00585A80" w:rsidRDefault="00FC0089" w:rsidP="00DC6A90">
            <w:pPr>
              <w:spacing w:before="0" w:after="0" w:line="240" w:lineRule="auto"/>
              <w:ind w:right="187"/>
              <w:jc w:val="center"/>
            </w:pPr>
            <w:r>
              <w:t>7.</w:t>
            </w:r>
            <w:r w:rsidR="0098292E">
              <w:t>7</w:t>
            </w:r>
          </w:p>
        </w:tc>
      </w:tr>
      <w:tr w:rsidR="00B905FB" w:rsidRPr="00585A80" w14:paraId="07C6C349" w14:textId="77777777" w:rsidTr="00662938">
        <w:trPr>
          <w:trHeight w:val="288"/>
        </w:trPr>
        <w:tc>
          <w:tcPr>
            <w:tcW w:w="1251" w:type="pct"/>
            <w:vAlign w:val="center"/>
          </w:tcPr>
          <w:p w14:paraId="69A911D0" w14:textId="77777777" w:rsidR="00B905FB" w:rsidRPr="00585A80" w:rsidRDefault="00B905FB" w:rsidP="00DC6A90">
            <w:pPr>
              <w:spacing w:before="0" w:after="0" w:line="240" w:lineRule="auto"/>
              <w:ind w:right="187"/>
              <w:jc w:val="left"/>
              <w:rPr>
                <w:szCs w:val="20"/>
              </w:rPr>
            </w:pPr>
            <w:r w:rsidRPr="00585A80">
              <w:rPr>
                <w:b w:val="0"/>
                <w:bCs w:val="0"/>
                <w:szCs w:val="20"/>
              </w:rPr>
              <w:t>RITES</w:t>
            </w:r>
          </w:p>
        </w:tc>
        <w:tc>
          <w:tcPr>
            <w:tcW w:w="1250" w:type="pct"/>
            <w:vAlign w:val="center"/>
          </w:tcPr>
          <w:p w14:paraId="050C771A" w14:textId="77777777" w:rsidR="00B905FB" w:rsidRPr="00585A80" w:rsidRDefault="00B905FB" w:rsidP="00DC6A90">
            <w:pPr>
              <w:spacing w:before="0" w:after="0" w:line="240" w:lineRule="auto"/>
              <w:ind w:right="187"/>
              <w:jc w:val="center"/>
              <w:rPr>
                <w:b w:val="0"/>
                <w:bCs w:val="0"/>
                <w:szCs w:val="20"/>
              </w:rPr>
            </w:pPr>
            <w:r>
              <w:rPr>
                <w:b w:val="0"/>
                <w:bCs w:val="0"/>
              </w:rPr>
              <w:t>10.3</w:t>
            </w:r>
          </w:p>
        </w:tc>
        <w:tc>
          <w:tcPr>
            <w:tcW w:w="1250" w:type="pct"/>
            <w:vAlign w:val="center"/>
          </w:tcPr>
          <w:p w14:paraId="4A41D3D9" w14:textId="77777777" w:rsidR="00B905FB" w:rsidRPr="00585A80" w:rsidRDefault="00B905FB" w:rsidP="00DC6A90">
            <w:pPr>
              <w:spacing w:before="0" w:after="0" w:line="240" w:lineRule="auto"/>
              <w:ind w:right="187"/>
              <w:jc w:val="center"/>
              <w:rPr>
                <w:b w:val="0"/>
                <w:bCs w:val="0"/>
                <w:szCs w:val="20"/>
              </w:rPr>
            </w:pPr>
            <w:r w:rsidRPr="00585A80">
              <w:rPr>
                <w:b w:val="0"/>
                <w:bCs w:val="0"/>
              </w:rPr>
              <w:t>9.</w:t>
            </w:r>
            <w:r>
              <w:rPr>
                <w:b w:val="0"/>
                <w:bCs w:val="0"/>
              </w:rPr>
              <w:t>0</w:t>
            </w:r>
          </w:p>
        </w:tc>
        <w:tc>
          <w:tcPr>
            <w:tcW w:w="1249" w:type="pct"/>
            <w:vAlign w:val="center"/>
          </w:tcPr>
          <w:p w14:paraId="5A68F689" w14:textId="77777777" w:rsidR="00B905FB" w:rsidRPr="00DC6A90" w:rsidRDefault="00B905FB" w:rsidP="00DC6A90">
            <w:pPr>
              <w:spacing w:before="0" w:after="0" w:line="240" w:lineRule="auto"/>
              <w:ind w:right="187"/>
              <w:jc w:val="center"/>
              <w:rPr>
                <w:b w:val="0"/>
                <w:bCs w:val="0"/>
              </w:rPr>
            </w:pPr>
            <w:r w:rsidRPr="006B308E">
              <w:t>NA</w:t>
            </w:r>
          </w:p>
        </w:tc>
      </w:tr>
      <w:tr w:rsidR="00B905FB" w:rsidRPr="00585A80" w14:paraId="3F856771" w14:textId="77777777" w:rsidTr="00662938">
        <w:trPr>
          <w:trHeight w:val="288"/>
        </w:trPr>
        <w:tc>
          <w:tcPr>
            <w:tcW w:w="1251" w:type="pct"/>
            <w:vAlign w:val="center"/>
          </w:tcPr>
          <w:p w14:paraId="6F3E6F01" w14:textId="77777777" w:rsidR="00B905FB" w:rsidRPr="00585A80" w:rsidRDefault="00B905FB" w:rsidP="00DC6A90">
            <w:pPr>
              <w:spacing w:before="0" w:after="0" w:line="240" w:lineRule="auto"/>
              <w:ind w:right="187"/>
              <w:jc w:val="left"/>
              <w:rPr>
                <w:rFonts w:eastAsia="Arial"/>
                <w:b w:val="0"/>
                <w:bCs w:val="0"/>
                <w:color w:val="434242"/>
                <w:szCs w:val="20"/>
                <w:lang w:val="en-GB"/>
              </w:rPr>
            </w:pPr>
            <w:r w:rsidRPr="00585A80">
              <w:rPr>
                <w:b w:val="0"/>
                <w:bCs w:val="0"/>
                <w:szCs w:val="20"/>
              </w:rPr>
              <w:t>EIL</w:t>
            </w:r>
          </w:p>
        </w:tc>
        <w:tc>
          <w:tcPr>
            <w:tcW w:w="1250" w:type="pct"/>
            <w:vAlign w:val="center"/>
          </w:tcPr>
          <w:p w14:paraId="15398AA0" w14:textId="77777777" w:rsidR="00B905FB" w:rsidRPr="00585A80" w:rsidRDefault="00B905FB" w:rsidP="00DC6A90">
            <w:pPr>
              <w:spacing w:before="0" w:after="0" w:line="240" w:lineRule="auto"/>
              <w:ind w:right="187"/>
              <w:jc w:val="center"/>
              <w:rPr>
                <w:b w:val="0"/>
                <w:bCs w:val="0"/>
                <w:szCs w:val="20"/>
              </w:rPr>
            </w:pPr>
            <w:r w:rsidRPr="00585A80">
              <w:rPr>
                <w:b w:val="0"/>
                <w:bCs w:val="0"/>
              </w:rPr>
              <w:t>12.</w:t>
            </w:r>
            <w:r>
              <w:rPr>
                <w:b w:val="0"/>
                <w:bCs w:val="0"/>
              </w:rPr>
              <w:t>5</w:t>
            </w:r>
          </w:p>
        </w:tc>
        <w:tc>
          <w:tcPr>
            <w:tcW w:w="1250" w:type="pct"/>
            <w:vAlign w:val="center"/>
          </w:tcPr>
          <w:p w14:paraId="5B87E674" w14:textId="77777777" w:rsidR="00B905FB" w:rsidRPr="00585A80" w:rsidRDefault="00B905FB" w:rsidP="00DC6A90">
            <w:pPr>
              <w:spacing w:before="0" w:after="0" w:line="240" w:lineRule="auto"/>
              <w:ind w:right="187"/>
              <w:jc w:val="center"/>
              <w:rPr>
                <w:b w:val="0"/>
                <w:bCs w:val="0"/>
                <w:szCs w:val="20"/>
              </w:rPr>
            </w:pPr>
            <w:r w:rsidRPr="00585A80">
              <w:rPr>
                <w:b w:val="0"/>
                <w:bCs w:val="0"/>
              </w:rPr>
              <w:t>12.</w:t>
            </w:r>
            <w:r>
              <w:rPr>
                <w:b w:val="0"/>
                <w:bCs w:val="0"/>
              </w:rPr>
              <w:t>3</w:t>
            </w:r>
          </w:p>
        </w:tc>
        <w:tc>
          <w:tcPr>
            <w:tcW w:w="1249" w:type="pct"/>
            <w:vAlign w:val="center"/>
          </w:tcPr>
          <w:p w14:paraId="07A0D12D" w14:textId="77777777" w:rsidR="00B905FB" w:rsidRPr="00DC6A90" w:rsidRDefault="00B905FB" w:rsidP="00DC6A90">
            <w:pPr>
              <w:spacing w:before="0" w:after="0" w:line="240" w:lineRule="auto"/>
              <w:ind w:right="187"/>
              <w:jc w:val="center"/>
              <w:rPr>
                <w:b w:val="0"/>
                <w:bCs w:val="0"/>
              </w:rPr>
            </w:pPr>
            <w:r w:rsidRPr="006B308E">
              <w:t>NA</w:t>
            </w:r>
          </w:p>
        </w:tc>
      </w:tr>
      <w:tr w:rsidR="00B905FB" w:rsidRPr="00585A80" w14:paraId="5F03A9F2" w14:textId="77777777" w:rsidTr="00662938">
        <w:trPr>
          <w:trHeight w:val="288"/>
        </w:trPr>
        <w:tc>
          <w:tcPr>
            <w:tcW w:w="1251" w:type="pct"/>
            <w:vAlign w:val="center"/>
          </w:tcPr>
          <w:p w14:paraId="7BDE2773" w14:textId="77777777" w:rsidR="00B905FB" w:rsidRPr="00585A80" w:rsidRDefault="00B905FB" w:rsidP="00DC6A90">
            <w:pPr>
              <w:spacing w:before="0" w:after="0" w:line="240" w:lineRule="auto"/>
              <w:ind w:right="187"/>
              <w:jc w:val="left"/>
              <w:rPr>
                <w:rFonts w:eastAsia="Arial"/>
                <w:b w:val="0"/>
                <w:bCs w:val="0"/>
                <w:color w:val="434242"/>
                <w:szCs w:val="20"/>
                <w:lang w:val="en-GB"/>
              </w:rPr>
            </w:pPr>
            <w:r w:rsidRPr="00585A80">
              <w:rPr>
                <w:b w:val="0"/>
                <w:bCs w:val="0"/>
                <w:szCs w:val="20"/>
              </w:rPr>
              <w:t>MECL</w:t>
            </w:r>
          </w:p>
        </w:tc>
        <w:tc>
          <w:tcPr>
            <w:tcW w:w="1250" w:type="pct"/>
            <w:vAlign w:val="center"/>
          </w:tcPr>
          <w:p w14:paraId="29D1C096" w14:textId="77777777" w:rsidR="00B905FB" w:rsidRPr="00585A80" w:rsidRDefault="00B905FB" w:rsidP="00DC6A90">
            <w:pPr>
              <w:spacing w:before="0" w:after="0" w:line="240" w:lineRule="auto"/>
              <w:ind w:right="187"/>
              <w:jc w:val="center"/>
              <w:rPr>
                <w:b w:val="0"/>
                <w:bCs w:val="0"/>
                <w:szCs w:val="20"/>
              </w:rPr>
            </w:pPr>
            <w:r w:rsidRPr="00585A80">
              <w:rPr>
                <w:b w:val="0"/>
                <w:bCs w:val="0"/>
              </w:rPr>
              <w:t>2.4</w:t>
            </w:r>
          </w:p>
        </w:tc>
        <w:tc>
          <w:tcPr>
            <w:tcW w:w="1250" w:type="pct"/>
            <w:vAlign w:val="center"/>
          </w:tcPr>
          <w:p w14:paraId="6ED60C9C" w14:textId="77777777" w:rsidR="00B905FB" w:rsidRPr="00585A80" w:rsidRDefault="00B905FB" w:rsidP="00DC6A90">
            <w:pPr>
              <w:spacing w:before="0" w:after="0" w:line="240" w:lineRule="auto"/>
              <w:ind w:right="187"/>
              <w:jc w:val="center"/>
              <w:rPr>
                <w:b w:val="0"/>
                <w:bCs w:val="0"/>
                <w:szCs w:val="20"/>
              </w:rPr>
            </w:pPr>
            <w:r>
              <w:rPr>
                <w:b w:val="0"/>
                <w:bCs w:val="0"/>
              </w:rPr>
              <w:t>3.8</w:t>
            </w:r>
          </w:p>
        </w:tc>
        <w:tc>
          <w:tcPr>
            <w:tcW w:w="1249" w:type="pct"/>
            <w:vAlign w:val="center"/>
          </w:tcPr>
          <w:p w14:paraId="24AEBFE0" w14:textId="77777777" w:rsidR="00B905FB" w:rsidRPr="00DC6A90" w:rsidRDefault="00B905FB" w:rsidP="00DC6A90">
            <w:pPr>
              <w:spacing w:before="0" w:after="0" w:line="240" w:lineRule="auto"/>
              <w:ind w:right="187"/>
              <w:jc w:val="center"/>
              <w:rPr>
                <w:b w:val="0"/>
                <w:bCs w:val="0"/>
              </w:rPr>
            </w:pPr>
            <w:r w:rsidRPr="006B308E">
              <w:t>NA</w:t>
            </w:r>
          </w:p>
        </w:tc>
      </w:tr>
      <w:tr w:rsidR="00B905FB" w:rsidRPr="00585A80" w14:paraId="3336B712" w14:textId="77777777" w:rsidTr="00662938">
        <w:trPr>
          <w:trHeight w:val="288"/>
        </w:trPr>
        <w:tc>
          <w:tcPr>
            <w:tcW w:w="1251" w:type="pct"/>
            <w:vAlign w:val="center"/>
          </w:tcPr>
          <w:p w14:paraId="2A9BA43F" w14:textId="77777777" w:rsidR="00B905FB" w:rsidRPr="00585A80" w:rsidRDefault="00B905FB" w:rsidP="00DC6A90">
            <w:pPr>
              <w:spacing w:before="0" w:after="0" w:line="240" w:lineRule="auto"/>
              <w:ind w:right="187"/>
              <w:rPr>
                <w:rFonts w:eastAsia="Arial"/>
                <w:b w:val="0"/>
                <w:bCs w:val="0"/>
                <w:color w:val="434242"/>
                <w:szCs w:val="20"/>
                <w:lang w:val="en-GB"/>
              </w:rPr>
            </w:pPr>
            <w:r w:rsidRPr="00585A80">
              <w:rPr>
                <w:b w:val="0"/>
                <w:bCs w:val="0"/>
                <w:szCs w:val="20"/>
              </w:rPr>
              <w:t>MECON</w:t>
            </w:r>
          </w:p>
        </w:tc>
        <w:tc>
          <w:tcPr>
            <w:tcW w:w="1250" w:type="pct"/>
            <w:vAlign w:val="center"/>
          </w:tcPr>
          <w:p w14:paraId="5E5DC347" w14:textId="77777777" w:rsidR="00B905FB" w:rsidRPr="00585A80" w:rsidRDefault="00B905FB" w:rsidP="00DC6A90">
            <w:pPr>
              <w:spacing w:before="0" w:after="0" w:line="240" w:lineRule="auto"/>
              <w:ind w:right="187"/>
              <w:jc w:val="center"/>
              <w:rPr>
                <w:b w:val="0"/>
                <w:bCs w:val="0"/>
                <w:szCs w:val="20"/>
              </w:rPr>
            </w:pPr>
            <w:r w:rsidRPr="00585A80">
              <w:rPr>
                <w:b w:val="0"/>
                <w:bCs w:val="0"/>
              </w:rPr>
              <w:t>8.3</w:t>
            </w:r>
          </w:p>
        </w:tc>
        <w:tc>
          <w:tcPr>
            <w:tcW w:w="1250" w:type="pct"/>
            <w:vAlign w:val="center"/>
          </w:tcPr>
          <w:p w14:paraId="4E1970BB" w14:textId="77777777" w:rsidR="00B905FB" w:rsidRPr="00585A80" w:rsidRDefault="00B905FB" w:rsidP="00DC6A90">
            <w:pPr>
              <w:spacing w:before="0" w:after="0" w:line="240" w:lineRule="auto"/>
              <w:ind w:right="187"/>
              <w:jc w:val="center"/>
              <w:rPr>
                <w:b w:val="0"/>
                <w:bCs w:val="0"/>
                <w:szCs w:val="20"/>
              </w:rPr>
            </w:pPr>
            <w:r w:rsidRPr="00585A80">
              <w:rPr>
                <w:b w:val="0"/>
                <w:bCs w:val="0"/>
              </w:rPr>
              <w:t>10.0</w:t>
            </w:r>
          </w:p>
        </w:tc>
        <w:tc>
          <w:tcPr>
            <w:tcW w:w="1249" w:type="pct"/>
            <w:vAlign w:val="center"/>
          </w:tcPr>
          <w:p w14:paraId="41068C07" w14:textId="77777777" w:rsidR="00B905FB" w:rsidRPr="00DC6A90" w:rsidRDefault="00B905FB" w:rsidP="00DC6A90">
            <w:pPr>
              <w:spacing w:before="0" w:after="0" w:line="240" w:lineRule="auto"/>
              <w:ind w:right="187"/>
              <w:jc w:val="center"/>
              <w:rPr>
                <w:b w:val="0"/>
                <w:bCs w:val="0"/>
              </w:rPr>
            </w:pPr>
            <w:r w:rsidRPr="006B308E">
              <w:t>NA</w:t>
            </w:r>
          </w:p>
        </w:tc>
      </w:tr>
    </w:tbl>
    <w:p w14:paraId="5519EECD" w14:textId="77777777" w:rsidR="00DF67F3" w:rsidRPr="00F7575E" w:rsidRDefault="00DF67F3" w:rsidP="00DF67F3">
      <w:pPr>
        <w:pStyle w:val="Source"/>
        <w:ind w:right="182"/>
      </w:pPr>
      <w:r w:rsidRPr="00FF440B">
        <w:t xml:space="preserve">Source: </w:t>
      </w:r>
      <w:r w:rsidRPr="005E100B">
        <w:t xml:space="preserve">Company Annual Reports, all years are fiscal, </w:t>
      </w:r>
      <w:r>
        <w:t>Crisil Intelligence</w:t>
      </w:r>
    </w:p>
    <w:p w14:paraId="5EEB1054" w14:textId="220EAF59" w:rsidR="00DF67F3" w:rsidRDefault="00DF67F3" w:rsidP="00DF67F3">
      <w:pPr>
        <w:pStyle w:val="Heading30"/>
        <w:ind w:right="182"/>
      </w:pPr>
      <w:r>
        <w:t>PAT per employee</w:t>
      </w:r>
    </w:p>
    <w:p w14:paraId="7ADE48E5" w14:textId="54A7DAF4" w:rsidR="00DF67F3" w:rsidRPr="007E41DA" w:rsidRDefault="00DF67F3" w:rsidP="00DF67F3">
      <w:pPr>
        <w:ind w:right="182"/>
      </w:pPr>
      <w:r>
        <w:t>CMPDIL</w:t>
      </w:r>
      <w:r w:rsidRPr="0007584B">
        <w:t>'s PAT per employee</w:t>
      </w:r>
      <w:r w:rsidR="00BA5D01">
        <w:rPr>
          <w:rStyle w:val="FootnoteReference"/>
        </w:rPr>
        <w:footnoteReference w:id="75"/>
      </w:r>
      <w:r w:rsidRPr="0007584B">
        <w:t xml:space="preserve"> has increased significantly, from </w:t>
      </w:r>
      <w:r w:rsidR="009A799B">
        <w:t>Rs. 1.0</w:t>
      </w:r>
      <w:r w:rsidRPr="0007584B">
        <w:t xml:space="preserve"> million per employee in 202</w:t>
      </w:r>
      <w:r w:rsidR="009A799B">
        <w:t>3</w:t>
      </w:r>
      <w:r w:rsidRPr="0007584B">
        <w:t xml:space="preserve"> to</w:t>
      </w:r>
      <w:r>
        <w:t xml:space="preserve"> Rs.</w:t>
      </w:r>
      <w:r w:rsidRPr="0007584B">
        <w:t xml:space="preserve"> </w:t>
      </w:r>
      <w:r w:rsidR="009A799B">
        <w:t>2.5</w:t>
      </w:r>
      <w:r w:rsidRPr="0007584B">
        <w:t xml:space="preserve"> million per employee in 202</w:t>
      </w:r>
      <w:r w:rsidR="009A799B">
        <w:t>5</w:t>
      </w:r>
      <w:r w:rsidRPr="0007584B">
        <w:t xml:space="preserve">. In contrast, RITES' PAT per employee declined, from </w:t>
      </w:r>
      <w:r>
        <w:t>Rs. 2.</w:t>
      </w:r>
      <w:r w:rsidR="00A44385">
        <w:t>2</w:t>
      </w:r>
      <w:r w:rsidRPr="0007584B">
        <w:t xml:space="preserve"> million per employee in 202</w:t>
      </w:r>
      <w:r w:rsidR="00A44385">
        <w:t>3</w:t>
      </w:r>
      <w:r w:rsidRPr="0007584B">
        <w:t xml:space="preserve"> to </w:t>
      </w:r>
      <w:r>
        <w:t>Rs. 1.8</w:t>
      </w:r>
      <w:r w:rsidRPr="0007584B">
        <w:t xml:space="preserve"> million per employee in 2024</w:t>
      </w:r>
      <w:r>
        <w:t xml:space="preserve">, while </w:t>
      </w:r>
      <w:r w:rsidRPr="0007584B">
        <w:t xml:space="preserve">EIL's PAT per employee has </w:t>
      </w:r>
      <w:r>
        <w:t xml:space="preserve">slightly increased </w:t>
      </w:r>
      <w:r w:rsidRPr="0007584B">
        <w:t>from</w:t>
      </w:r>
      <w:r>
        <w:t xml:space="preserve"> Rs.</w:t>
      </w:r>
      <w:r w:rsidRPr="0007584B">
        <w:t xml:space="preserve"> 1.</w:t>
      </w:r>
      <w:r w:rsidR="00A44385">
        <w:t>3</w:t>
      </w:r>
      <w:r w:rsidRPr="0007584B">
        <w:t xml:space="preserve"> million per employee in 2020 to </w:t>
      </w:r>
      <w:r>
        <w:t xml:space="preserve">Rs. </w:t>
      </w:r>
      <w:r w:rsidRPr="0007584B">
        <w:t>1.</w:t>
      </w:r>
      <w:r w:rsidR="00A44385">
        <w:t>7</w:t>
      </w:r>
      <w:r w:rsidRPr="0007584B">
        <w:t xml:space="preserve"> million per employee in 2024</w:t>
      </w:r>
      <w:r>
        <w:t>.</w:t>
      </w:r>
      <w:r w:rsidRPr="0007584B">
        <w:t xml:space="preserve"> MECL's PAT per employee has</w:t>
      </w:r>
      <w:r w:rsidR="00A44385">
        <w:t xml:space="preserve"> grown</w:t>
      </w:r>
      <w:r w:rsidRPr="0007584B">
        <w:t xml:space="preserve"> from</w:t>
      </w:r>
      <w:r>
        <w:t xml:space="preserve"> Rs.</w:t>
      </w:r>
      <w:r w:rsidRPr="0007584B">
        <w:t xml:space="preserve"> </w:t>
      </w:r>
      <w:r w:rsidR="007B3E56">
        <w:t>0.2</w:t>
      </w:r>
      <w:r w:rsidRPr="0007584B">
        <w:t xml:space="preserve"> million per employee in 202</w:t>
      </w:r>
      <w:r w:rsidR="007B3E56">
        <w:t>3</w:t>
      </w:r>
      <w:r w:rsidRPr="0007584B">
        <w:t xml:space="preserve"> to</w:t>
      </w:r>
      <w:r>
        <w:t xml:space="preserve"> Rs.</w:t>
      </w:r>
      <w:r w:rsidRPr="0007584B">
        <w:t xml:space="preserve"> </w:t>
      </w:r>
      <w:r>
        <w:t>1.0</w:t>
      </w:r>
      <w:r w:rsidRPr="0007584B">
        <w:t xml:space="preserve"> million per employee in 2023</w:t>
      </w:r>
      <w:r>
        <w:t>.</w:t>
      </w:r>
      <w:r w:rsidRPr="0007584B">
        <w:t xml:space="preserve"> MECON's PAT per employee has </w:t>
      </w:r>
      <w:r>
        <w:t xml:space="preserve">also </w:t>
      </w:r>
      <w:r w:rsidRPr="0007584B">
        <w:t xml:space="preserve">declined from </w:t>
      </w:r>
      <w:r>
        <w:t xml:space="preserve">Rs. </w:t>
      </w:r>
      <w:r w:rsidRPr="0007584B">
        <w:t>0.</w:t>
      </w:r>
      <w:r w:rsidR="007B3E56">
        <w:t>3</w:t>
      </w:r>
      <w:r w:rsidRPr="0007584B">
        <w:t xml:space="preserve"> million per employee in 202</w:t>
      </w:r>
      <w:r w:rsidR="007B3E56">
        <w:t>3</w:t>
      </w:r>
      <w:r w:rsidRPr="0007584B">
        <w:t xml:space="preserve"> to </w:t>
      </w:r>
      <w:r>
        <w:t xml:space="preserve">Rs. </w:t>
      </w:r>
      <w:r w:rsidRPr="0007584B">
        <w:t xml:space="preserve">0.2 million per employee in 2024. These trends suggest that companies are focusing on improving profitability and efficiency, with </w:t>
      </w:r>
      <w:r>
        <w:t>CMPDIL</w:t>
      </w:r>
      <w:r w:rsidRPr="0007584B">
        <w:t xml:space="preserve"> being successful in this regard.</w:t>
      </w:r>
      <w:r>
        <w:t xml:space="preserve"> </w:t>
      </w:r>
    </w:p>
    <w:p w14:paraId="3C9F65FD" w14:textId="26141E0D" w:rsidR="00DF67F3" w:rsidRDefault="00DF67F3" w:rsidP="00DF67F3">
      <w:pPr>
        <w:pStyle w:val="Caption"/>
        <w:ind w:right="182"/>
      </w:pPr>
      <w:bookmarkStart w:id="6633" w:name="_Toc198656051"/>
      <w:bookmarkStart w:id="6634" w:name="_Toc198731483"/>
      <w:r w:rsidRPr="000174A7">
        <w:t xml:space="preserve">Table </w:t>
      </w:r>
      <w:r w:rsidRPr="000174A7">
        <w:fldChar w:fldCharType="begin"/>
      </w:r>
      <w:r w:rsidRPr="000174A7">
        <w:instrText xml:space="preserve"> STYLEREF 1 \s </w:instrText>
      </w:r>
      <w:r w:rsidRPr="000174A7">
        <w:fldChar w:fldCharType="separate"/>
      </w:r>
      <w:r w:rsidR="002142B9">
        <w:rPr>
          <w:noProof/>
        </w:rPr>
        <w:t>4</w:t>
      </w:r>
      <w:r w:rsidRPr="000174A7">
        <w:fldChar w:fldCharType="end"/>
      </w:r>
      <w:r w:rsidRPr="000174A7">
        <w:t>.</w:t>
      </w:r>
      <w:r w:rsidRPr="000174A7">
        <w:fldChar w:fldCharType="begin"/>
      </w:r>
      <w:r w:rsidRPr="000174A7">
        <w:instrText xml:space="preserve"> SEQ Table \* ARABIC \s 1 </w:instrText>
      </w:r>
      <w:r w:rsidRPr="000174A7">
        <w:fldChar w:fldCharType="separate"/>
      </w:r>
      <w:r w:rsidR="002142B9">
        <w:rPr>
          <w:noProof/>
        </w:rPr>
        <w:t>22</w:t>
      </w:r>
      <w:r w:rsidRPr="000174A7">
        <w:fldChar w:fldCharType="end"/>
      </w:r>
      <w:r w:rsidRPr="002A2397">
        <w:t xml:space="preserve"> </w:t>
      </w:r>
      <w:r>
        <w:t xml:space="preserve">PAT per Employee in Rs. </w:t>
      </w:r>
      <w:r w:rsidR="001A1813">
        <w:t>M</w:t>
      </w:r>
      <w:r>
        <w:t>illion</w:t>
      </w:r>
      <w:bookmarkEnd w:id="6633"/>
      <w:bookmarkEnd w:id="6634"/>
      <w:r w:rsidR="001A1813">
        <w:t xml:space="preserve"> per employee</w:t>
      </w:r>
    </w:p>
    <w:tbl>
      <w:tblPr>
        <w:tblStyle w:val="Gridding1"/>
        <w:tblW w:w="5000" w:type="pct"/>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Pr>
      <w:tblGrid>
        <w:gridCol w:w="2634"/>
        <w:gridCol w:w="2633"/>
        <w:gridCol w:w="2633"/>
        <w:gridCol w:w="2630"/>
      </w:tblGrid>
      <w:tr w:rsidR="00B905FB" w:rsidRPr="008D5FF4" w14:paraId="22D5FB57" w14:textId="77777777" w:rsidTr="00662938">
        <w:trPr>
          <w:tblHeader/>
        </w:trPr>
        <w:tc>
          <w:tcPr>
            <w:tcW w:w="1251" w:type="pct"/>
            <w:shd w:val="clear" w:color="auto" w:fill="156082" w:themeFill="accent1"/>
            <w:vAlign w:val="center"/>
          </w:tcPr>
          <w:p w14:paraId="4A186ADC" w14:textId="383C13F5" w:rsidR="00B905FB" w:rsidRPr="008D5FF4" w:rsidRDefault="008B2E7D" w:rsidP="00DC6A90">
            <w:pPr>
              <w:spacing w:before="80" w:after="80" w:line="240" w:lineRule="auto"/>
              <w:ind w:right="182"/>
              <w:rPr>
                <w:color w:val="FFFFFF"/>
                <w:szCs w:val="20"/>
                <w:lang w:val="en-GB"/>
              </w:rPr>
            </w:pPr>
            <w:r>
              <w:rPr>
                <w:color w:val="FFFFFF"/>
                <w:szCs w:val="20"/>
                <w:lang w:val="en-GB"/>
              </w:rPr>
              <w:t>Company</w:t>
            </w:r>
          </w:p>
        </w:tc>
        <w:tc>
          <w:tcPr>
            <w:tcW w:w="1250" w:type="pct"/>
            <w:shd w:val="clear" w:color="auto" w:fill="156082" w:themeFill="accent1"/>
            <w:vAlign w:val="center"/>
          </w:tcPr>
          <w:p w14:paraId="0255D2BF" w14:textId="77777777" w:rsidR="00B905FB" w:rsidRPr="008D5FF4" w:rsidRDefault="00B905FB" w:rsidP="00DC6A90">
            <w:pPr>
              <w:spacing w:before="80" w:after="80" w:line="240" w:lineRule="auto"/>
              <w:ind w:right="182"/>
              <w:jc w:val="center"/>
              <w:rPr>
                <w:color w:val="FFFFFF"/>
                <w:szCs w:val="20"/>
                <w:lang w:val="en-GB"/>
              </w:rPr>
            </w:pPr>
            <w:r w:rsidRPr="008D5FF4">
              <w:rPr>
                <w:color w:val="FFFFFF"/>
                <w:szCs w:val="20"/>
                <w:lang w:val="en-GB"/>
              </w:rPr>
              <w:t>2023</w:t>
            </w:r>
          </w:p>
        </w:tc>
        <w:tc>
          <w:tcPr>
            <w:tcW w:w="1250" w:type="pct"/>
            <w:shd w:val="clear" w:color="auto" w:fill="156082" w:themeFill="accent1"/>
            <w:vAlign w:val="center"/>
          </w:tcPr>
          <w:p w14:paraId="31828B2E" w14:textId="77777777" w:rsidR="00B905FB" w:rsidRPr="008D5FF4" w:rsidRDefault="00B905FB" w:rsidP="00DC6A90">
            <w:pPr>
              <w:spacing w:before="80" w:after="80" w:line="240" w:lineRule="auto"/>
              <w:ind w:right="182"/>
              <w:jc w:val="center"/>
              <w:rPr>
                <w:color w:val="FFFFFF"/>
                <w:szCs w:val="20"/>
                <w:lang w:val="en-GB"/>
              </w:rPr>
            </w:pPr>
            <w:r w:rsidRPr="008D5FF4">
              <w:rPr>
                <w:color w:val="FFFFFF"/>
                <w:szCs w:val="20"/>
                <w:lang w:val="en-GB"/>
              </w:rPr>
              <w:t>2024</w:t>
            </w:r>
          </w:p>
        </w:tc>
        <w:tc>
          <w:tcPr>
            <w:tcW w:w="1249" w:type="pct"/>
            <w:shd w:val="clear" w:color="auto" w:fill="156082" w:themeFill="accent1"/>
            <w:vAlign w:val="center"/>
          </w:tcPr>
          <w:p w14:paraId="78223A7A" w14:textId="77777777" w:rsidR="00B905FB" w:rsidRPr="008D5FF4" w:rsidRDefault="00B905FB" w:rsidP="00DC6A90">
            <w:pPr>
              <w:spacing w:before="80" w:after="80" w:line="240" w:lineRule="auto"/>
              <w:ind w:right="182"/>
              <w:jc w:val="center"/>
              <w:rPr>
                <w:color w:val="FFFFFF"/>
                <w:szCs w:val="20"/>
                <w:lang w:val="en-GB"/>
              </w:rPr>
            </w:pPr>
            <w:r>
              <w:rPr>
                <w:color w:val="FFFFFF"/>
                <w:szCs w:val="20"/>
                <w:lang w:val="en-GB"/>
              </w:rPr>
              <w:t>2025</w:t>
            </w:r>
          </w:p>
        </w:tc>
      </w:tr>
      <w:tr w:rsidR="00B905FB" w:rsidRPr="008D5FF4" w14:paraId="2B177C4A" w14:textId="77777777" w:rsidTr="00662938">
        <w:trPr>
          <w:trHeight w:val="288"/>
        </w:trPr>
        <w:tc>
          <w:tcPr>
            <w:tcW w:w="1251" w:type="pct"/>
            <w:shd w:val="clear" w:color="auto" w:fill="C9D8E1"/>
            <w:vAlign w:val="center"/>
          </w:tcPr>
          <w:p w14:paraId="77867C5C" w14:textId="77777777" w:rsidR="00B905FB" w:rsidRPr="008D5FF4" w:rsidRDefault="00B905FB" w:rsidP="00DC6A90">
            <w:pPr>
              <w:spacing w:before="0" w:after="0" w:line="240" w:lineRule="auto"/>
              <w:ind w:right="187"/>
              <w:contextualSpacing/>
              <w:jc w:val="left"/>
              <w:rPr>
                <w:rFonts w:eastAsia="Arial"/>
                <w:color w:val="434242"/>
                <w:szCs w:val="20"/>
                <w:lang w:val="en-GB"/>
              </w:rPr>
            </w:pPr>
            <w:r>
              <w:rPr>
                <w:rFonts w:eastAsia="Arial"/>
                <w:color w:val="434242"/>
                <w:szCs w:val="20"/>
                <w:lang w:val="en-GB"/>
              </w:rPr>
              <w:t>CMPDIL</w:t>
            </w:r>
          </w:p>
        </w:tc>
        <w:tc>
          <w:tcPr>
            <w:tcW w:w="1250" w:type="pct"/>
            <w:shd w:val="clear" w:color="auto" w:fill="C9D8E1"/>
            <w:vAlign w:val="center"/>
          </w:tcPr>
          <w:p w14:paraId="084DC49E" w14:textId="77777777" w:rsidR="00B905FB" w:rsidRPr="008D5FF4" w:rsidRDefault="00B905FB" w:rsidP="00DC6A90">
            <w:pPr>
              <w:spacing w:before="0" w:after="0" w:line="240" w:lineRule="auto"/>
              <w:ind w:right="187"/>
              <w:contextualSpacing/>
              <w:jc w:val="center"/>
              <w:rPr>
                <w:szCs w:val="20"/>
              </w:rPr>
            </w:pPr>
            <w:r w:rsidRPr="008D5FF4">
              <w:t>1.0</w:t>
            </w:r>
          </w:p>
        </w:tc>
        <w:tc>
          <w:tcPr>
            <w:tcW w:w="1250" w:type="pct"/>
            <w:shd w:val="clear" w:color="auto" w:fill="C9D8E1"/>
            <w:vAlign w:val="center"/>
          </w:tcPr>
          <w:p w14:paraId="2A7C84D7" w14:textId="77777777" w:rsidR="00B905FB" w:rsidRPr="008D5FF4" w:rsidRDefault="00B905FB" w:rsidP="00DC6A90">
            <w:pPr>
              <w:spacing w:before="0" w:after="0" w:line="240" w:lineRule="auto"/>
              <w:ind w:right="187"/>
              <w:contextualSpacing/>
              <w:jc w:val="center"/>
              <w:rPr>
                <w:szCs w:val="20"/>
              </w:rPr>
            </w:pPr>
            <w:r w:rsidRPr="008D5FF4">
              <w:t>1.8</w:t>
            </w:r>
          </w:p>
        </w:tc>
        <w:tc>
          <w:tcPr>
            <w:tcW w:w="1249" w:type="pct"/>
            <w:shd w:val="clear" w:color="auto" w:fill="C9D8E1"/>
            <w:vAlign w:val="center"/>
          </w:tcPr>
          <w:p w14:paraId="060102BA" w14:textId="73D67B10" w:rsidR="00B905FB" w:rsidRPr="008D5FF4" w:rsidRDefault="009A799B" w:rsidP="00DC6A90">
            <w:pPr>
              <w:spacing w:before="0" w:after="0" w:line="240" w:lineRule="auto"/>
              <w:ind w:right="187"/>
              <w:contextualSpacing/>
              <w:jc w:val="center"/>
            </w:pPr>
            <w:r>
              <w:t>2.5</w:t>
            </w:r>
          </w:p>
        </w:tc>
      </w:tr>
      <w:tr w:rsidR="00B905FB" w:rsidRPr="008D5FF4" w14:paraId="10512DFC" w14:textId="77777777" w:rsidTr="00662938">
        <w:trPr>
          <w:trHeight w:val="288"/>
        </w:trPr>
        <w:tc>
          <w:tcPr>
            <w:tcW w:w="1251" w:type="pct"/>
            <w:vAlign w:val="center"/>
          </w:tcPr>
          <w:p w14:paraId="71C01895" w14:textId="77777777" w:rsidR="00B905FB" w:rsidRPr="008D5FF4" w:rsidRDefault="00B905FB" w:rsidP="00DC6A90">
            <w:pPr>
              <w:spacing w:before="0" w:after="0" w:line="240" w:lineRule="auto"/>
              <w:ind w:right="187"/>
              <w:contextualSpacing/>
              <w:jc w:val="left"/>
              <w:rPr>
                <w:szCs w:val="20"/>
              </w:rPr>
            </w:pPr>
            <w:r w:rsidRPr="008D5FF4">
              <w:rPr>
                <w:b w:val="0"/>
                <w:bCs w:val="0"/>
                <w:szCs w:val="20"/>
              </w:rPr>
              <w:t>RITES</w:t>
            </w:r>
          </w:p>
        </w:tc>
        <w:tc>
          <w:tcPr>
            <w:tcW w:w="1250" w:type="pct"/>
            <w:vAlign w:val="center"/>
          </w:tcPr>
          <w:p w14:paraId="4DE0E067"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2.</w:t>
            </w:r>
            <w:r>
              <w:rPr>
                <w:b w:val="0"/>
                <w:bCs w:val="0"/>
              </w:rPr>
              <w:t>2</w:t>
            </w:r>
          </w:p>
        </w:tc>
        <w:tc>
          <w:tcPr>
            <w:tcW w:w="1250" w:type="pct"/>
            <w:vAlign w:val="center"/>
          </w:tcPr>
          <w:p w14:paraId="470DB565"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1.</w:t>
            </w:r>
            <w:r>
              <w:rPr>
                <w:b w:val="0"/>
                <w:bCs w:val="0"/>
              </w:rPr>
              <w:t>8</w:t>
            </w:r>
          </w:p>
        </w:tc>
        <w:tc>
          <w:tcPr>
            <w:tcW w:w="1249" w:type="pct"/>
            <w:vAlign w:val="center"/>
          </w:tcPr>
          <w:p w14:paraId="73F4C5B2" w14:textId="77777777" w:rsidR="00B905FB" w:rsidRPr="00DC6A90" w:rsidRDefault="00B905FB" w:rsidP="00DC6A90">
            <w:pPr>
              <w:spacing w:before="0" w:after="0" w:line="240" w:lineRule="auto"/>
              <w:ind w:right="187"/>
              <w:contextualSpacing/>
              <w:jc w:val="center"/>
              <w:rPr>
                <w:b w:val="0"/>
                <w:bCs w:val="0"/>
              </w:rPr>
            </w:pPr>
            <w:r w:rsidRPr="009416AD">
              <w:t>NA</w:t>
            </w:r>
          </w:p>
        </w:tc>
      </w:tr>
      <w:tr w:rsidR="00B905FB" w:rsidRPr="008D5FF4" w14:paraId="3FA55CD3" w14:textId="77777777" w:rsidTr="00662938">
        <w:trPr>
          <w:trHeight w:val="288"/>
        </w:trPr>
        <w:tc>
          <w:tcPr>
            <w:tcW w:w="1251" w:type="pct"/>
            <w:vAlign w:val="center"/>
          </w:tcPr>
          <w:p w14:paraId="155DDAD1" w14:textId="77777777" w:rsidR="00B905FB" w:rsidRPr="008D5FF4" w:rsidRDefault="00B905FB" w:rsidP="00DC6A90">
            <w:pPr>
              <w:spacing w:before="0" w:after="0" w:line="240" w:lineRule="auto"/>
              <w:ind w:right="187"/>
              <w:contextualSpacing/>
              <w:jc w:val="left"/>
              <w:rPr>
                <w:rFonts w:eastAsia="Arial"/>
                <w:b w:val="0"/>
                <w:bCs w:val="0"/>
                <w:color w:val="434242"/>
                <w:szCs w:val="20"/>
                <w:lang w:val="en-GB"/>
              </w:rPr>
            </w:pPr>
            <w:r w:rsidRPr="008D5FF4">
              <w:rPr>
                <w:b w:val="0"/>
                <w:bCs w:val="0"/>
                <w:szCs w:val="20"/>
              </w:rPr>
              <w:t>EIL</w:t>
            </w:r>
          </w:p>
        </w:tc>
        <w:tc>
          <w:tcPr>
            <w:tcW w:w="1250" w:type="pct"/>
            <w:vAlign w:val="center"/>
          </w:tcPr>
          <w:p w14:paraId="1ED6B2BC"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1.3</w:t>
            </w:r>
          </w:p>
        </w:tc>
        <w:tc>
          <w:tcPr>
            <w:tcW w:w="1250" w:type="pct"/>
            <w:vAlign w:val="center"/>
          </w:tcPr>
          <w:p w14:paraId="2D939517"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1.</w:t>
            </w:r>
            <w:r>
              <w:rPr>
                <w:b w:val="0"/>
                <w:bCs w:val="0"/>
              </w:rPr>
              <w:t>7</w:t>
            </w:r>
          </w:p>
        </w:tc>
        <w:tc>
          <w:tcPr>
            <w:tcW w:w="1249" w:type="pct"/>
            <w:vAlign w:val="center"/>
          </w:tcPr>
          <w:p w14:paraId="11CB4F14" w14:textId="77777777" w:rsidR="00B905FB" w:rsidRPr="00DC6A90" w:rsidRDefault="00B905FB" w:rsidP="00DC6A90">
            <w:pPr>
              <w:spacing w:before="0" w:after="0" w:line="240" w:lineRule="auto"/>
              <w:ind w:right="187"/>
              <w:contextualSpacing/>
              <w:jc w:val="center"/>
              <w:rPr>
                <w:b w:val="0"/>
                <w:bCs w:val="0"/>
              </w:rPr>
            </w:pPr>
            <w:r w:rsidRPr="009416AD">
              <w:t>NA</w:t>
            </w:r>
          </w:p>
        </w:tc>
      </w:tr>
      <w:tr w:rsidR="00B905FB" w:rsidRPr="008D5FF4" w14:paraId="7F1088BC" w14:textId="77777777" w:rsidTr="00662938">
        <w:trPr>
          <w:trHeight w:val="288"/>
        </w:trPr>
        <w:tc>
          <w:tcPr>
            <w:tcW w:w="1251" w:type="pct"/>
            <w:vAlign w:val="center"/>
          </w:tcPr>
          <w:p w14:paraId="45E6EB16" w14:textId="77777777" w:rsidR="00B905FB" w:rsidRPr="008D5FF4" w:rsidRDefault="00B905FB" w:rsidP="00DC6A90">
            <w:pPr>
              <w:spacing w:before="0" w:after="0" w:line="240" w:lineRule="auto"/>
              <w:ind w:right="187"/>
              <w:contextualSpacing/>
              <w:jc w:val="left"/>
              <w:rPr>
                <w:rFonts w:eastAsia="Arial"/>
                <w:b w:val="0"/>
                <w:bCs w:val="0"/>
                <w:color w:val="434242"/>
                <w:szCs w:val="20"/>
                <w:lang w:val="en-GB"/>
              </w:rPr>
            </w:pPr>
            <w:r w:rsidRPr="008D5FF4">
              <w:rPr>
                <w:b w:val="0"/>
                <w:bCs w:val="0"/>
                <w:szCs w:val="20"/>
              </w:rPr>
              <w:t>MECL</w:t>
            </w:r>
          </w:p>
        </w:tc>
        <w:tc>
          <w:tcPr>
            <w:tcW w:w="1250" w:type="pct"/>
            <w:vAlign w:val="center"/>
          </w:tcPr>
          <w:p w14:paraId="7DCD9408"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0.2</w:t>
            </w:r>
          </w:p>
        </w:tc>
        <w:tc>
          <w:tcPr>
            <w:tcW w:w="1250" w:type="pct"/>
            <w:vAlign w:val="center"/>
          </w:tcPr>
          <w:p w14:paraId="52B5057E" w14:textId="77777777" w:rsidR="00B905FB" w:rsidRPr="008D5FF4" w:rsidRDefault="00B905FB" w:rsidP="00DC6A90">
            <w:pPr>
              <w:spacing w:before="0" w:after="0" w:line="240" w:lineRule="auto"/>
              <w:ind w:right="187"/>
              <w:contextualSpacing/>
              <w:jc w:val="center"/>
              <w:rPr>
                <w:b w:val="0"/>
                <w:bCs w:val="0"/>
                <w:szCs w:val="20"/>
              </w:rPr>
            </w:pPr>
            <w:r>
              <w:rPr>
                <w:b w:val="0"/>
                <w:bCs w:val="0"/>
              </w:rPr>
              <w:t>1.0</w:t>
            </w:r>
          </w:p>
        </w:tc>
        <w:tc>
          <w:tcPr>
            <w:tcW w:w="1249" w:type="pct"/>
            <w:vAlign w:val="center"/>
          </w:tcPr>
          <w:p w14:paraId="05A0A618" w14:textId="77777777" w:rsidR="00B905FB" w:rsidRPr="00DC6A90" w:rsidRDefault="00B905FB" w:rsidP="00DC6A90">
            <w:pPr>
              <w:spacing w:before="0" w:after="0" w:line="240" w:lineRule="auto"/>
              <w:ind w:right="187"/>
              <w:contextualSpacing/>
              <w:jc w:val="center"/>
              <w:rPr>
                <w:b w:val="0"/>
                <w:bCs w:val="0"/>
              </w:rPr>
            </w:pPr>
            <w:r w:rsidRPr="009416AD">
              <w:t>NA</w:t>
            </w:r>
          </w:p>
        </w:tc>
      </w:tr>
      <w:tr w:rsidR="00B905FB" w:rsidRPr="008D5FF4" w14:paraId="480EDDD7" w14:textId="77777777" w:rsidTr="00662938">
        <w:trPr>
          <w:trHeight w:val="288"/>
        </w:trPr>
        <w:tc>
          <w:tcPr>
            <w:tcW w:w="1251" w:type="pct"/>
            <w:vAlign w:val="center"/>
          </w:tcPr>
          <w:p w14:paraId="385A7FF8" w14:textId="77777777" w:rsidR="00B905FB" w:rsidRPr="008D5FF4" w:rsidRDefault="00B905FB" w:rsidP="00DC6A90">
            <w:pPr>
              <w:spacing w:before="0" w:after="0" w:line="240" w:lineRule="auto"/>
              <w:ind w:right="187"/>
              <w:contextualSpacing/>
              <w:rPr>
                <w:rFonts w:eastAsia="Arial"/>
                <w:b w:val="0"/>
                <w:bCs w:val="0"/>
                <w:color w:val="434242"/>
                <w:szCs w:val="20"/>
                <w:lang w:val="en-GB"/>
              </w:rPr>
            </w:pPr>
            <w:r w:rsidRPr="008D5FF4">
              <w:rPr>
                <w:b w:val="0"/>
                <w:bCs w:val="0"/>
                <w:szCs w:val="20"/>
              </w:rPr>
              <w:t>MECON</w:t>
            </w:r>
          </w:p>
        </w:tc>
        <w:tc>
          <w:tcPr>
            <w:tcW w:w="1250" w:type="pct"/>
            <w:vAlign w:val="center"/>
          </w:tcPr>
          <w:p w14:paraId="4F2CEF4C"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0.3</w:t>
            </w:r>
          </w:p>
        </w:tc>
        <w:tc>
          <w:tcPr>
            <w:tcW w:w="1250" w:type="pct"/>
            <w:vAlign w:val="center"/>
          </w:tcPr>
          <w:p w14:paraId="09E522D0" w14:textId="77777777" w:rsidR="00B905FB" w:rsidRPr="008D5FF4" w:rsidRDefault="00B905FB" w:rsidP="00DC6A90">
            <w:pPr>
              <w:spacing w:before="0" w:after="0" w:line="240" w:lineRule="auto"/>
              <w:ind w:right="187"/>
              <w:contextualSpacing/>
              <w:jc w:val="center"/>
              <w:rPr>
                <w:b w:val="0"/>
                <w:bCs w:val="0"/>
                <w:szCs w:val="20"/>
              </w:rPr>
            </w:pPr>
            <w:r w:rsidRPr="008D5FF4">
              <w:rPr>
                <w:b w:val="0"/>
                <w:bCs w:val="0"/>
              </w:rPr>
              <w:t>0.2</w:t>
            </w:r>
          </w:p>
        </w:tc>
        <w:tc>
          <w:tcPr>
            <w:tcW w:w="1249" w:type="pct"/>
            <w:vAlign w:val="center"/>
          </w:tcPr>
          <w:p w14:paraId="36752B67" w14:textId="77777777" w:rsidR="00B905FB" w:rsidRPr="00DC6A90" w:rsidRDefault="00B905FB" w:rsidP="00DC6A90">
            <w:pPr>
              <w:spacing w:before="0" w:after="0" w:line="240" w:lineRule="auto"/>
              <w:ind w:right="187"/>
              <w:contextualSpacing/>
              <w:jc w:val="center"/>
              <w:rPr>
                <w:b w:val="0"/>
                <w:bCs w:val="0"/>
              </w:rPr>
            </w:pPr>
            <w:r w:rsidRPr="009416AD">
              <w:t>NA</w:t>
            </w:r>
          </w:p>
        </w:tc>
      </w:tr>
    </w:tbl>
    <w:p w14:paraId="7D616F9F" w14:textId="77777777" w:rsidR="00DF67F3" w:rsidRDefault="00DF67F3" w:rsidP="00DF67F3">
      <w:pPr>
        <w:pStyle w:val="Source"/>
        <w:ind w:right="182"/>
      </w:pPr>
      <w:r w:rsidRPr="00FF440B">
        <w:t xml:space="preserve">Source: </w:t>
      </w:r>
      <w:r w:rsidRPr="005E100B">
        <w:t xml:space="preserve">Company Annual Reports, all years are fiscal, </w:t>
      </w:r>
      <w:r>
        <w:t>Crisil Intelligence</w:t>
      </w:r>
    </w:p>
    <w:p w14:paraId="3F83A402" w14:textId="79B8BDBC" w:rsidR="00A92298" w:rsidRPr="00662938" w:rsidRDefault="00A92298" w:rsidP="00662938">
      <w:pPr>
        <w:pStyle w:val="Heading2"/>
        <w:ind w:right="182"/>
      </w:pPr>
      <w:bookmarkStart w:id="6635" w:name="_Toc198727923"/>
      <w:bookmarkStart w:id="6636" w:name="_Toc198729038"/>
      <w:bookmarkStart w:id="6637" w:name="_Toc198730153"/>
      <w:bookmarkStart w:id="6638" w:name="_Toc198731268"/>
      <w:bookmarkStart w:id="6639" w:name="_Toc198727924"/>
      <w:bookmarkStart w:id="6640" w:name="_Toc198729039"/>
      <w:bookmarkStart w:id="6641" w:name="_Toc198730154"/>
      <w:bookmarkStart w:id="6642" w:name="_Toc198731269"/>
      <w:bookmarkStart w:id="6643" w:name="_Toc198727925"/>
      <w:bookmarkStart w:id="6644" w:name="_Toc198729040"/>
      <w:bookmarkStart w:id="6645" w:name="_Toc198730155"/>
      <w:bookmarkStart w:id="6646" w:name="_Toc198731270"/>
      <w:bookmarkStart w:id="6647" w:name="_Toc198727926"/>
      <w:bookmarkStart w:id="6648" w:name="_Toc198729041"/>
      <w:bookmarkStart w:id="6649" w:name="_Toc198730156"/>
      <w:bookmarkStart w:id="6650" w:name="_Toc198731271"/>
      <w:bookmarkStart w:id="6651" w:name="_Toc198727983"/>
      <w:bookmarkStart w:id="6652" w:name="_Toc198729098"/>
      <w:bookmarkStart w:id="6653" w:name="_Toc198730213"/>
      <w:bookmarkStart w:id="6654" w:name="_Toc198731328"/>
      <w:bookmarkStart w:id="6655" w:name="_Toc198727984"/>
      <w:bookmarkStart w:id="6656" w:name="_Toc198729099"/>
      <w:bookmarkStart w:id="6657" w:name="_Toc198730214"/>
      <w:bookmarkStart w:id="6658" w:name="_Toc198731329"/>
      <w:bookmarkStart w:id="6659" w:name="_Toc198727985"/>
      <w:bookmarkStart w:id="6660" w:name="_Toc198729100"/>
      <w:bookmarkStart w:id="6661" w:name="_Toc198730215"/>
      <w:bookmarkStart w:id="6662" w:name="_Toc198731330"/>
      <w:bookmarkStart w:id="6663" w:name="_Toc198727986"/>
      <w:bookmarkStart w:id="6664" w:name="_Toc198729101"/>
      <w:bookmarkStart w:id="6665" w:name="_Toc198730216"/>
      <w:bookmarkStart w:id="6666" w:name="_Toc198731331"/>
      <w:bookmarkStart w:id="6667" w:name="_Toc198728043"/>
      <w:bookmarkStart w:id="6668" w:name="_Toc198729158"/>
      <w:bookmarkStart w:id="6669" w:name="_Toc198730273"/>
      <w:bookmarkStart w:id="6670" w:name="_Toc198731388"/>
      <w:bookmarkStart w:id="6671" w:name="_Toc198728044"/>
      <w:bookmarkStart w:id="6672" w:name="_Toc198729159"/>
      <w:bookmarkStart w:id="6673" w:name="_Toc198730274"/>
      <w:bookmarkStart w:id="6674" w:name="_Toc198731389"/>
      <w:bookmarkStart w:id="6675" w:name="_Toc198728045"/>
      <w:bookmarkStart w:id="6676" w:name="_Toc198729160"/>
      <w:bookmarkStart w:id="6677" w:name="_Toc198730275"/>
      <w:bookmarkStart w:id="6678" w:name="_Toc198731390"/>
      <w:bookmarkStart w:id="6679" w:name="_Toc198728046"/>
      <w:bookmarkStart w:id="6680" w:name="_Toc198729161"/>
      <w:bookmarkStart w:id="6681" w:name="_Toc198730276"/>
      <w:bookmarkStart w:id="6682" w:name="_Toc198731391"/>
      <w:bookmarkStart w:id="6683" w:name="_Toc198731448"/>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r w:rsidRPr="00507B1F">
        <w:t>Key Observations</w:t>
      </w:r>
      <w:bookmarkEnd w:id="6683"/>
      <w:r w:rsidRPr="00507B1F">
        <w:t xml:space="preserve"> </w:t>
      </w:r>
    </w:p>
    <w:p w14:paraId="0FD1B784" w14:textId="07176A8F" w:rsidR="009F7CCE" w:rsidRPr="00390431" w:rsidRDefault="009F7CCE" w:rsidP="009F7CCE">
      <w:pPr>
        <w:ind w:right="90"/>
        <w:rPr>
          <w:rFonts w:eastAsia="Arial"/>
          <w:color w:val="000000"/>
          <w:szCs w:val="20"/>
        </w:rPr>
      </w:pPr>
      <w:r>
        <w:rPr>
          <w:rFonts w:eastAsia="Arial"/>
          <w:color w:val="000000"/>
          <w:szCs w:val="20"/>
        </w:rPr>
        <w:t>CMPDIL</w:t>
      </w:r>
      <w:r w:rsidRPr="00951864">
        <w:rPr>
          <w:rFonts w:eastAsia="Arial"/>
          <w:color w:val="000000"/>
          <w:szCs w:val="20"/>
        </w:rPr>
        <w:t xml:space="preserve">, a subsidiary of Coal India Limited (CIL) with Miniratna </w:t>
      </w:r>
      <w:r w:rsidRPr="00951864">
        <w:rPr>
          <w:rFonts w:eastAsia="Arial"/>
          <w:color w:val="000000"/>
        </w:rPr>
        <w:t xml:space="preserve">Ratna (Category I) </w:t>
      </w:r>
      <w:r>
        <w:rPr>
          <w:rFonts w:eastAsia="Arial"/>
          <w:color w:val="000000"/>
        </w:rPr>
        <w:t>status</w:t>
      </w:r>
      <w:r w:rsidRPr="00951864">
        <w:rPr>
          <w:rFonts w:eastAsia="Arial"/>
          <w:color w:val="000000"/>
        </w:rPr>
        <w:t xml:space="preserve"> </w:t>
      </w:r>
      <w:r>
        <w:rPr>
          <w:rFonts w:eastAsia="Arial"/>
          <w:color w:val="000000"/>
        </w:rPr>
        <w:t xml:space="preserve">is a </w:t>
      </w:r>
      <w:r w:rsidRPr="00951864">
        <w:rPr>
          <w:rFonts w:eastAsia="Arial"/>
          <w:color w:val="000000"/>
        </w:rPr>
        <w:t xml:space="preserve">leading </w:t>
      </w:r>
      <w:r>
        <w:rPr>
          <w:rFonts w:eastAsia="Arial"/>
          <w:color w:val="000000"/>
        </w:rPr>
        <w:t xml:space="preserve">mining </w:t>
      </w:r>
      <w:r w:rsidRPr="00951864">
        <w:rPr>
          <w:rFonts w:eastAsia="Arial"/>
          <w:color w:val="000000"/>
        </w:rPr>
        <w:t>consultancy organization</w:t>
      </w:r>
      <w:r>
        <w:rPr>
          <w:rFonts w:eastAsia="Arial"/>
          <w:color w:val="000000"/>
        </w:rPr>
        <w:t xml:space="preserve">. It provides </w:t>
      </w:r>
      <w:r w:rsidRPr="00951864">
        <w:rPr>
          <w:rFonts w:eastAsia="Arial"/>
          <w:color w:val="000000"/>
        </w:rPr>
        <w:t>consultancy and engineering services in the fields of exploration, mining</w:t>
      </w:r>
      <w:r>
        <w:rPr>
          <w:rFonts w:eastAsia="Arial"/>
          <w:color w:val="000000"/>
        </w:rPr>
        <w:t xml:space="preserve">, </w:t>
      </w:r>
      <w:r w:rsidRPr="00951864">
        <w:rPr>
          <w:rFonts w:eastAsia="Arial"/>
          <w:color w:val="000000"/>
        </w:rPr>
        <w:t>environmental engineering</w:t>
      </w:r>
      <w:r>
        <w:rPr>
          <w:rFonts w:eastAsia="Arial"/>
          <w:color w:val="000000"/>
        </w:rPr>
        <w:t xml:space="preserve"> and environment management. CMPDIL</w:t>
      </w:r>
      <w:r w:rsidRPr="009E6AE1">
        <w:rPr>
          <w:rFonts w:eastAsia="Arial"/>
          <w:color w:val="000000"/>
        </w:rPr>
        <w:t xml:space="preserve"> operates through its headquarters at Ranchi and </w:t>
      </w:r>
      <w:r w:rsidRPr="00390431">
        <w:rPr>
          <w:rFonts w:eastAsia="Arial"/>
          <w:color w:val="000000"/>
        </w:rPr>
        <w:t xml:space="preserve">seven Regional Institutes strategically located to cater to the demand of CIL. </w:t>
      </w:r>
      <w:r w:rsidRPr="00390431">
        <w:rPr>
          <w:rFonts w:eastAsia="Arial"/>
          <w:color w:val="000000"/>
          <w:szCs w:val="20"/>
        </w:rPr>
        <w:t xml:space="preserve">The company’s total revenue grew at a CAGR of </w:t>
      </w:r>
      <w:r w:rsidR="00343594" w:rsidRPr="00390431">
        <w:rPr>
          <w:rFonts w:eastAsia="Arial"/>
          <w:color w:val="000000"/>
          <w:szCs w:val="20"/>
        </w:rPr>
        <w:t>23.2</w:t>
      </w:r>
      <w:r w:rsidRPr="00390431">
        <w:rPr>
          <w:rFonts w:eastAsia="Arial"/>
          <w:color w:val="000000"/>
          <w:szCs w:val="20"/>
        </w:rPr>
        <w:t>% from fiscal 202</w:t>
      </w:r>
      <w:r w:rsidR="00343594" w:rsidRPr="00390431">
        <w:rPr>
          <w:rFonts w:eastAsia="Arial"/>
          <w:color w:val="000000"/>
          <w:szCs w:val="20"/>
        </w:rPr>
        <w:t>3</w:t>
      </w:r>
      <w:r w:rsidRPr="00390431">
        <w:rPr>
          <w:rFonts w:eastAsia="Arial"/>
          <w:color w:val="000000"/>
          <w:szCs w:val="20"/>
        </w:rPr>
        <w:t xml:space="preserve"> to 2025 and the net profit margin has improved to 3</w:t>
      </w:r>
      <w:r w:rsidR="005B3650" w:rsidRPr="00390431">
        <w:rPr>
          <w:rFonts w:eastAsia="Arial"/>
          <w:color w:val="000000"/>
          <w:szCs w:val="20"/>
        </w:rPr>
        <w:t>0.6</w:t>
      </w:r>
      <w:r w:rsidRPr="00390431">
        <w:rPr>
          <w:rFonts w:eastAsia="Arial"/>
          <w:color w:val="000000"/>
          <w:szCs w:val="20"/>
        </w:rPr>
        <w:t>% in fiscal 2025.</w:t>
      </w:r>
      <w:r w:rsidR="0052502A" w:rsidRPr="00390431">
        <w:rPr>
          <w:rFonts w:eastAsia="Arial"/>
          <w:color w:val="000000"/>
          <w:szCs w:val="20"/>
        </w:rPr>
        <w:t xml:space="preserve"> CMPDIL is well positioned to facilitate a wide array of coal consul</w:t>
      </w:r>
      <w:r w:rsidR="00F35119" w:rsidRPr="00390431">
        <w:rPr>
          <w:rFonts w:eastAsia="Arial"/>
          <w:color w:val="000000"/>
          <w:szCs w:val="20"/>
        </w:rPr>
        <w:t xml:space="preserve">tancy services, starting for exploration to final closure ensuring a holistic approach to mining operations leveraging its experience and robust infrastructure. </w:t>
      </w:r>
    </w:p>
    <w:p w14:paraId="35AACBE3" w14:textId="4E598B50" w:rsidR="009F7CCE" w:rsidRPr="00390431" w:rsidRDefault="003C3A89" w:rsidP="00662938">
      <w:r w:rsidRPr="00390431">
        <w:t xml:space="preserve">The key observations on CMPDIL </w:t>
      </w:r>
      <w:r w:rsidR="00522A17" w:rsidRPr="00390431">
        <w:t xml:space="preserve">are given below: </w:t>
      </w:r>
    </w:p>
    <w:p w14:paraId="3837A908" w14:textId="77777777" w:rsidR="00A92298" w:rsidRPr="00662938" w:rsidRDefault="00A92298" w:rsidP="00662938">
      <w:pPr>
        <w:pStyle w:val="BodyText"/>
        <w:numPr>
          <w:ilvl w:val="0"/>
          <w:numId w:val="77"/>
        </w:numPr>
        <w:spacing w:before="120"/>
        <w:ind w:left="446"/>
        <w:rPr>
          <w:b/>
          <w:bCs/>
        </w:rPr>
      </w:pPr>
      <w:r w:rsidRPr="00662938">
        <w:rPr>
          <w:b/>
          <w:bCs/>
        </w:rPr>
        <w:t>Government Backing</w:t>
      </w:r>
    </w:p>
    <w:p w14:paraId="4A5C7C9C" w14:textId="418F8FD6" w:rsidR="00A92298" w:rsidRPr="00390431" w:rsidRDefault="00A92298" w:rsidP="00662938">
      <w:pPr>
        <w:pStyle w:val="ListParagraph"/>
        <w:spacing w:line="276" w:lineRule="auto"/>
        <w:ind w:left="446" w:right="187"/>
        <w:contextualSpacing w:val="0"/>
      </w:pPr>
      <w:r w:rsidRPr="00662938">
        <w:t>India’s power and energy requirement will continue to grow over the next few years and the coal requirement is estimated to be 1</w:t>
      </w:r>
      <w:r w:rsidR="005B3650" w:rsidRPr="00662938">
        <w:t>,</w:t>
      </w:r>
      <w:r w:rsidRPr="00662938">
        <w:t>2</w:t>
      </w:r>
      <w:r w:rsidR="005015F5" w:rsidRPr="00662938">
        <w:t>53</w:t>
      </w:r>
      <w:r w:rsidRPr="00662938">
        <w:t xml:space="preserve"> million tonnes in India in fiscal 2025. </w:t>
      </w:r>
      <w:r w:rsidRPr="00390431">
        <w:t xml:space="preserve">CMPDIL benefits from the direct support from CIL, which is one of the world’s largest coal producers. This ensures stability in revenue generation, long-term contracts, and continued investment in research and infrastructure. CMPDIL works closely with Ministry of Coal (MoC), Government of India and other government agencies, allowing it to align its services with national energy security goals and demands. CMPDIL is the primary technical consultant for the coal block allocations, mine planning, and coal exploration, reinforcing its dominance in India’s coal sector. </w:t>
      </w:r>
    </w:p>
    <w:p w14:paraId="59254B4E" w14:textId="5FFF36ED" w:rsidR="00A92298" w:rsidRPr="00662938" w:rsidRDefault="00B02EC3" w:rsidP="00662938">
      <w:pPr>
        <w:pStyle w:val="BodyText"/>
        <w:numPr>
          <w:ilvl w:val="0"/>
          <w:numId w:val="77"/>
        </w:numPr>
        <w:spacing w:before="120"/>
        <w:ind w:left="446"/>
        <w:rPr>
          <w:b/>
          <w:bCs/>
        </w:rPr>
      </w:pPr>
      <w:r w:rsidRPr="00662938">
        <w:rPr>
          <w:b/>
          <w:bCs/>
        </w:rPr>
        <w:t xml:space="preserve">Established </w:t>
      </w:r>
      <w:r w:rsidR="006A3476" w:rsidRPr="00662938">
        <w:rPr>
          <w:b/>
          <w:bCs/>
        </w:rPr>
        <w:t>Research</w:t>
      </w:r>
      <w:r w:rsidR="00000878" w:rsidRPr="00662938">
        <w:rPr>
          <w:b/>
          <w:bCs/>
        </w:rPr>
        <w:t xml:space="preserve"> </w:t>
      </w:r>
      <w:r w:rsidRPr="00662938">
        <w:rPr>
          <w:b/>
          <w:bCs/>
        </w:rPr>
        <w:t>Facilities</w:t>
      </w:r>
    </w:p>
    <w:p w14:paraId="06C6D8FD" w14:textId="17687093" w:rsidR="00A92298" w:rsidRPr="00390431" w:rsidRDefault="00A92298" w:rsidP="00662938">
      <w:pPr>
        <w:spacing w:line="276" w:lineRule="auto"/>
        <w:ind w:left="446" w:right="187"/>
      </w:pPr>
      <w:r w:rsidRPr="00390431">
        <w:t xml:space="preserve">CMPDIL is the nodal agency for coordinating research activities in the coal sector, funded by the Ministry of Coal and CIL's research and development board. </w:t>
      </w:r>
      <w:r w:rsidRPr="00662938">
        <w:t>CMPDIL's chemical laboratory has been accredited by the National Accreditation Board for Testing and Calibration Laboratories (“NABL”) in accordance with the ISO/IEC 17025:2017 standard and the coal petrographers in the petrography laboratory unit of its coal characterization laboratory are accredited by the International Committee of Coal &amp; Organic Petrology (“ICCP”).</w:t>
      </w:r>
      <w:r w:rsidRPr="00390431">
        <w:t xml:space="preserve"> The organization undertakes research in key areas such as coal exploration, coal-based energy resources, and clean coal technology. As on 31</w:t>
      </w:r>
      <w:r w:rsidRPr="00390431">
        <w:rPr>
          <w:vertAlign w:val="superscript"/>
        </w:rPr>
        <w:t>st</w:t>
      </w:r>
      <w:r w:rsidRPr="00390431">
        <w:t xml:space="preserve"> March 2025, CMPDIL is operating a network</w:t>
      </w:r>
      <w:r>
        <w:t xml:space="preserve"> of eight well equipped laboratories located across various coalfields</w:t>
      </w:r>
      <w:r w:rsidRPr="007913C8">
        <w:t xml:space="preserve">. </w:t>
      </w:r>
      <w:r w:rsidRPr="001106FC">
        <w:t>These laboratories are dedicated to monitoring air, water, and noise parameters, ensuring that our operations meet the highest environmental standards.</w:t>
      </w:r>
      <w:r>
        <w:t xml:space="preserve"> </w:t>
      </w:r>
      <w:r w:rsidRPr="00CB6025">
        <w:t>CMPDIL is a leader in scientific mine planning, incorporating modern</w:t>
      </w:r>
      <w:r>
        <w:t xml:space="preserve"> techniques such as numerical modeling, hydrogeological studies, and coal quality analysis to improve resource efficiency. CMPDIL has been instrumental in developing CBM extraction techniques in India, especially in the Raniganj and Jharia coalfields. CMPDIL</w:t>
      </w:r>
      <w:r w:rsidRPr="000D5652">
        <w:t xml:space="preserve"> is currently executing 43</w:t>
      </w:r>
      <w:r>
        <w:rPr>
          <w:rStyle w:val="FootnoteReference"/>
        </w:rPr>
        <w:footnoteReference w:id="76"/>
      </w:r>
      <w:r w:rsidRPr="000D5652">
        <w:t xml:space="preserve"> research projects in collaboration with renowned organizations like </w:t>
      </w:r>
      <w:r w:rsidRPr="00567521">
        <w:t>IIT, Bombay; IIT-ISM, Dhanbad</w:t>
      </w:r>
      <w:r w:rsidR="00604FC2">
        <w:t xml:space="preserve"> etc. </w:t>
      </w:r>
      <w:r>
        <w:t xml:space="preserve">Further, CMPDIL in </w:t>
      </w:r>
      <w:r w:rsidRPr="00390431">
        <w:t xml:space="preserve">collaboration with various prestigious institutes of the country has patents on various technologies. The organization also hosted a "Hackathon on R&amp;D" to promote start-ups in the coal and lignite sector under the "Make in India" initiative. </w:t>
      </w:r>
    </w:p>
    <w:p w14:paraId="157F19BC" w14:textId="77777777" w:rsidR="00A92298" w:rsidRPr="00662938" w:rsidRDefault="00A92298" w:rsidP="00662938">
      <w:pPr>
        <w:pStyle w:val="BodyText"/>
        <w:numPr>
          <w:ilvl w:val="0"/>
          <w:numId w:val="77"/>
        </w:numPr>
        <w:spacing w:before="120"/>
        <w:ind w:left="446"/>
        <w:rPr>
          <w:b/>
          <w:bCs/>
        </w:rPr>
      </w:pPr>
      <w:r w:rsidRPr="00662938">
        <w:rPr>
          <w:b/>
          <w:bCs/>
        </w:rPr>
        <w:t>Extensive Geospatial Data</w:t>
      </w:r>
    </w:p>
    <w:p w14:paraId="480B0123" w14:textId="4CA97B11" w:rsidR="00A92298" w:rsidRPr="00390431" w:rsidRDefault="00A92298" w:rsidP="00662938">
      <w:pPr>
        <w:spacing w:line="276" w:lineRule="auto"/>
        <w:ind w:left="446" w:right="187"/>
        <w:rPr>
          <w:lang w:val="en-GB" w:eastAsia="en-IN"/>
        </w:rPr>
      </w:pPr>
      <w:r w:rsidRPr="00662938">
        <w:rPr>
          <w:lang w:val="en-GB" w:eastAsia="en-IN"/>
        </w:rPr>
        <w:t>CMPDIL is the dedicated custodian of the country’s coal and lignite data</w:t>
      </w:r>
      <w:r w:rsidRPr="00390431">
        <w:rPr>
          <w:lang w:val="en-GB" w:eastAsia="en-IN"/>
        </w:rPr>
        <w:t xml:space="preserve">, making it the go-to institution for coal resource/reserve assessment. With its extensive repository of geospatial data, CMPDIL </w:t>
      </w:r>
      <w:r w:rsidR="008B1050" w:rsidRPr="00390431">
        <w:rPr>
          <w:lang w:val="en-GB" w:eastAsia="en-IN"/>
        </w:rPr>
        <w:t xml:space="preserve">may gain </w:t>
      </w:r>
      <w:r w:rsidRPr="00390431">
        <w:rPr>
          <w:lang w:val="en-GB" w:eastAsia="en-IN"/>
        </w:rPr>
        <w:t>significant advantage in providing cutting-edge services to its clients.</w:t>
      </w:r>
      <w:r w:rsidR="00933491" w:rsidRPr="00390431">
        <w:rPr>
          <w:lang w:val="en-GB" w:eastAsia="en-IN"/>
        </w:rPr>
        <w:t xml:space="preserve"> Further, accessibility of such critical data also creates a substantial entry barrier for other entities </w:t>
      </w:r>
      <w:r w:rsidR="0085303D" w:rsidRPr="00390431">
        <w:rPr>
          <w:lang w:val="en-GB" w:eastAsia="en-IN"/>
        </w:rPr>
        <w:t xml:space="preserve">which helps in positioning CMPDIL </w:t>
      </w:r>
      <w:r w:rsidR="00BD0D80" w:rsidRPr="00390431">
        <w:rPr>
          <w:lang w:val="en-GB" w:eastAsia="en-IN"/>
        </w:rPr>
        <w:t xml:space="preserve">to provide superior quality services compared to others. </w:t>
      </w:r>
    </w:p>
    <w:p w14:paraId="69376C43" w14:textId="77777777" w:rsidR="00A92298" w:rsidRPr="00662938" w:rsidRDefault="00A92298" w:rsidP="00662938">
      <w:pPr>
        <w:pStyle w:val="BodyText"/>
        <w:numPr>
          <w:ilvl w:val="0"/>
          <w:numId w:val="77"/>
        </w:numPr>
        <w:spacing w:before="120"/>
        <w:ind w:left="446"/>
        <w:rPr>
          <w:b/>
          <w:bCs/>
        </w:rPr>
      </w:pPr>
      <w:r w:rsidRPr="00662938">
        <w:rPr>
          <w:b/>
          <w:bCs/>
        </w:rPr>
        <w:t>Existing footprint across India</w:t>
      </w:r>
    </w:p>
    <w:p w14:paraId="60C6162D" w14:textId="572D001D" w:rsidR="00754C2B" w:rsidRDefault="00A92298" w:rsidP="00662938">
      <w:pPr>
        <w:spacing w:line="276" w:lineRule="auto"/>
        <w:ind w:left="446" w:right="446"/>
        <w:rPr>
          <w:b/>
          <w:bCs/>
          <w:sz w:val="18"/>
          <w:szCs w:val="18"/>
        </w:rPr>
        <w:sectPr w:rsidR="00754C2B" w:rsidSect="00C7511A">
          <w:footerReference w:type="default" r:id="rId57"/>
          <w:pgSz w:w="12240" w:h="15840"/>
          <w:pgMar w:top="1620" w:right="720" w:bottom="1521" w:left="990" w:header="720" w:footer="774" w:gutter="0"/>
          <w:cols w:space="720"/>
          <w:docGrid w:linePitch="360"/>
        </w:sectPr>
      </w:pPr>
      <w:r w:rsidRPr="00390431">
        <w:t>CMPDIL operates through its headquarters</w:t>
      </w:r>
      <w:r w:rsidRPr="00AF684E">
        <w:t xml:space="preserve"> at Ranchi and seven Regional Institutes designated as RI-I to RI-VII located at Asansol, Dhanbad, Ranchi, Nagpur, Bilaspur, Singrauli and Bhubaneswar.</w:t>
      </w:r>
    </w:p>
    <w:p w14:paraId="51FE58D9" w14:textId="77777777" w:rsidR="00585A80" w:rsidRPr="00585A80" w:rsidRDefault="00585A80" w:rsidP="00585A80">
      <w:pPr>
        <w:spacing w:before="240" w:after="120" w:line="288" w:lineRule="auto"/>
        <w:ind w:right="450"/>
        <w:rPr>
          <w:rFonts w:eastAsia="Arial"/>
          <w:b/>
          <w:bCs/>
          <w:color w:val="000000"/>
          <w:sz w:val="18"/>
          <w:szCs w:val="18"/>
        </w:rPr>
      </w:pPr>
      <w:r w:rsidRPr="00585A80">
        <w:rPr>
          <w:rFonts w:eastAsia="Arial"/>
          <w:b/>
          <w:bCs/>
          <w:color w:val="000000"/>
          <w:sz w:val="18"/>
          <w:szCs w:val="18"/>
        </w:rPr>
        <w:t xml:space="preserve">About Crisil Intelligence </w:t>
      </w:r>
      <w:r w:rsidRPr="00585A80">
        <w:rPr>
          <w:rFonts w:eastAsia="Arial"/>
          <w:b/>
          <w:bCs/>
          <w:color w:val="000000"/>
          <w:sz w:val="18"/>
          <w:szCs w:val="18"/>
          <w:lang w:val="en-IN"/>
        </w:rPr>
        <w:t>(formerly Market Intelligence &amp; Analytics)</w:t>
      </w:r>
    </w:p>
    <w:p w14:paraId="25A355D9" w14:textId="77777777"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Crisil Intelligence is a leading provider of research, consulting, risk solutions and advanced data analytics, serving clients across government, private and public enterprises. We leverage our expertise in data-driven insights and strong benchmarking capabilities to help clients navigate complex external ecosystems, identify opportunities and mitigate risks. By combining cutting-edge analytics, machine learning and AI capabilities with deep industry knowledge, we empower our clients to make informed decisions, drive business growth and build resilient capacities.</w:t>
      </w:r>
    </w:p>
    <w:p w14:paraId="06213795" w14:textId="79C1BC1E"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 xml:space="preserve">For more information, visit </w:t>
      </w:r>
      <w:hyperlink r:id="rId58" w:history="1">
        <w:r w:rsidRPr="00585A80">
          <w:rPr>
            <w:rFonts w:eastAsia="Arial"/>
            <w:color w:val="0000FF"/>
            <w:sz w:val="18"/>
            <w:szCs w:val="18"/>
            <w:u w:val="single"/>
          </w:rPr>
          <w:t>Intelligence.Crisil.com</w:t>
        </w:r>
      </w:hyperlink>
    </w:p>
    <w:p w14:paraId="435E0920" w14:textId="77777777" w:rsidR="00585A80" w:rsidRPr="00585A80" w:rsidRDefault="00585A80" w:rsidP="00585A80">
      <w:pPr>
        <w:spacing w:before="240" w:after="120" w:line="288" w:lineRule="auto"/>
        <w:ind w:right="450"/>
        <w:rPr>
          <w:rFonts w:eastAsia="Arial"/>
          <w:b/>
          <w:bCs/>
          <w:color w:val="000000"/>
          <w:sz w:val="18"/>
          <w:szCs w:val="18"/>
        </w:rPr>
      </w:pPr>
      <w:r w:rsidRPr="00585A80">
        <w:rPr>
          <w:rFonts w:eastAsia="Arial"/>
          <w:b/>
          <w:bCs/>
          <w:color w:val="000000"/>
          <w:sz w:val="18"/>
          <w:szCs w:val="18"/>
        </w:rPr>
        <w:t>About Crisil</w:t>
      </w:r>
    </w:p>
    <w:p w14:paraId="0990DABC" w14:textId="77777777"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Crisil is a global, insights-driven analytics company. Our extraordinary domain expertise and analytical rigour help clients make mission-critical decisions with confidence.</w:t>
      </w:r>
    </w:p>
    <w:p w14:paraId="15240410" w14:textId="77777777"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Large and highly respected firms partner with us for the most reliable opinions on risk in India, and for uncovering powerful insights and turning risks into opportunities globally. We are integral to multiplying their opportunities and success.</w:t>
      </w:r>
    </w:p>
    <w:p w14:paraId="21BCA245" w14:textId="77777777"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Headquartered in India, Crisil is majority owned by S&amp;P Global.</w:t>
      </w:r>
    </w:p>
    <w:p w14:paraId="5CA9FD58" w14:textId="77777777"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Founded in 1987 as India’s first credit rating agency, our expertise today extends across businesses: Crisil Ratings, Crisil Intelligence, Crisil Coalition Greenwich and Crisil Integral IQ.</w:t>
      </w:r>
    </w:p>
    <w:p w14:paraId="0068EF5E" w14:textId="77777777"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Our globally diverse workforce operates in the Americas, Asia-Pacific, Europe, Australia and the Middle East, setting the standards by which industries are measured.</w:t>
      </w:r>
    </w:p>
    <w:p w14:paraId="54B386D2" w14:textId="6EE38E1E" w:rsidR="00585A80" w:rsidRPr="00585A80" w:rsidRDefault="00585A80" w:rsidP="00585A80">
      <w:pPr>
        <w:spacing w:before="0" w:after="120" w:line="288" w:lineRule="auto"/>
        <w:ind w:right="450"/>
        <w:rPr>
          <w:rFonts w:eastAsia="Arial"/>
          <w:color w:val="000000"/>
          <w:sz w:val="18"/>
          <w:szCs w:val="18"/>
        </w:rPr>
      </w:pPr>
      <w:r w:rsidRPr="00585A80">
        <w:rPr>
          <w:rFonts w:eastAsia="Arial"/>
          <w:color w:val="000000"/>
          <w:sz w:val="18"/>
          <w:szCs w:val="18"/>
        </w:rPr>
        <w:t xml:space="preserve">For more information, visit </w:t>
      </w:r>
      <w:hyperlink r:id="rId59" w:tgtFrame="_blank" w:tooltip="https://www.crisil.com/" w:history="1">
        <w:r w:rsidRPr="00585A80">
          <w:rPr>
            <w:rFonts w:eastAsia="Arial"/>
            <w:color w:val="0000FF"/>
            <w:sz w:val="18"/>
            <w:szCs w:val="18"/>
            <w:u w:val="single"/>
          </w:rPr>
          <w:t>www.Crisil.com</w:t>
        </w:r>
      </w:hyperlink>
    </w:p>
    <w:p w14:paraId="0647FD70" w14:textId="77360DB2" w:rsidR="00585A80" w:rsidRPr="00585A80" w:rsidRDefault="00585A80" w:rsidP="00585A80">
      <w:pPr>
        <w:spacing w:before="0" w:after="120" w:line="288" w:lineRule="auto"/>
        <w:ind w:right="450"/>
        <w:rPr>
          <w:rFonts w:eastAsia="Arial"/>
          <w:color w:val="000000"/>
          <w:sz w:val="21"/>
        </w:rPr>
      </w:pPr>
      <w:r w:rsidRPr="00585A80">
        <w:rPr>
          <w:rFonts w:eastAsia="Arial"/>
          <w:color w:val="000000"/>
          <w:sz w:val="18"/>
          <w:szCs w:val="18"/>
        </w:rPr>
        <w:t xml:space="preserve">Connect with us: </w:t>
      </w:r>
      <w:hyperlink r:id="rId60" w:history="1">
        <w:r w:rsidRPr="00585A80">
          <w:rPr>
            <w:rFonts w:eastAsia="Arial"/>
            <w:color w:val="0000FF"/>
            <w:sz w:val="18"/>
            <w:szCs w:val="18"/>
            <w:u w:val="single"/>
          </w:rPr>
          <w:t>LinkedIn</w:t>
        </w:r>
      </w:hyperlink>
      <w:r w:rsidRPr="00585A80">
        <w:rPr>
          <w:rFonts w:eastAsia="Arial"/>
          <w:color w:val="000000"/>
          <w:sz w:val="18"/>
          <w:szCs w:val="18"/>
        </w:rPr>
        <w:t xml:space="preserve"> | </w:t>
      </w:r>
      <w:hyperlink r:id="rId61" w:history="1">
        <w:r w:rsidRPr="00585A80">
          <w:rPr>
            <w:rFonts w:eastAsia="Arial"/>
            <w:color w:val="0000FF"/>
            <w:sz w:val="18"/>
            <w:szCs w:val="18"/>
            <w:u w:val="single"/>
          </w:rPr>
          <w:t>Twitter</w:t>
        </w:r>
      </w:hyperlink>
    </w:p>
    <w:p w14:paraId="12D256B5" w14:textId="77777777" w:rsidR="00585A80" w:rsidRPr="00585A80" w:rsidRDefault="00585A80" w:rsidP="00585A80">
      <w:pPr>
        <w:spacing w:before="160" w:line="280" w:lineRule="exact"/>
        <w:ind w:right="450"/>
        <w:rPr>
          <w:rFonts w:eastAsia="Calibri"/>
          <w:b/>
          <w:bCs/>
          <w:color w:val="434242"/>
          <w:kern w:val="0"/>
          <w:sz w:val="18"/>
          <w:szCs w:val="18"/>
          <w:lang w:val="en-GB"/>
          <w14:ligatures w14:val="none"/>
        </w:rPr>
      </w:pPr>
      <w:r w:rsidRPr="00585A80">
        <w:rPr>
          <w:rFonts w:eastAsia="Calibri"/>
          <w:b/>
          <w:bCs/>
          <w:color w:val="434242"/>
          <w:kern w:val="0"/>
          <w:sz w:val="18"/>
          <w:szCs w:val="18"/>
          <w:lang w:val="en-GB"/>
          <w14:ligatures w14:val="none"/>
        </w:rPr>
        <w:t>CRISIL Privacy Notice</w:t>
      </w:r>
    </w:p>
    <w:p w14:paraId="2A5506E4" w14:textId="115699BF" w:rsidR="00585A80" w:rsidRPr="00585A80" w:rsidRDefault="00585A80" w:rsidP="00585A80">
      <w:pPr>
        <w:spacing w:after="120" w:line="280" w:lineRule="exact"/>
        <w:ind w:right="450"/>
        <w:rPr>
          <w:rFonts w:eastAsia="Arial"/>
          <w:color w:val="000000"/>
          <w:sz w:val="18"/>
          <w:szCs w:val="18"/>
        </w:rPr>
      </w:pPr>
      <w:r w:rsidRPr="00585A80">
        <w:rPr>
          <w:rFonts w:eastAsia="Arial"/>
          <w:color w:val="000000"/>
          <w:sz w:val="18"/>
          <w:szCs w:val="18"/>
        </w:rPr>
        <w:t xml:space="preserve">CRISIL respects your privacy. We may use your personal information, such as your name, location, contact number and email id to fulfil your request, service your account and to provide you with additional information from CRISIL. For further information on CRISIL’s privacy policy please visit </w:t>
      </w:r>
      <w:hyperlink r:id="rId62" w:history="1">
        <w:r w:rsidRPr="00585A80">
          <w:rPr>
            <w:rFonts w:eastAsia="Arial"/>
            <w:color w:val="0000FF"/>
            <w:sz w:val="18"/>
            <w:szCs w:val="18"/>
            <w:u w:val="single"/>
          </w:rPr>
          <w:t>www.crisil.com/privacy</w:t>
        </w:r>
      </w:hyperlink>
      <w:r w:rsidRPr="00585A80">
        <w:rPr>
          <w:rFonts w:eastAsia="Arial"/>
          <w:color w:val="000000"/>
          <w:sz w:val="18"/>
          <w:szCs w:val="18"/>
        </w:rPr>
        <w:t>.</w:t>
      </w:r>
    </w:p>
    <w:p w14:paraId="1AF627F4" w14:textId="77777777" w:rsidR="00585A80" w:rsidRPr="00585A80" w:rsidRDefault="00585A80" w:rsidP="00585A80">
      <w:pPr>
        <w:spacing w:before="0" w:after="0" w:line="240" w:lineRule="atLeast"/>
        <w:ind w:right="450"/>
        <w:rPr>
          <w:rFonts w:eastAsia="Arial"/>
          <w:b/>
          <w:bCs/>
          <w:color w:val="000000"/>
          <w:sz w:val="14"/>
          <w:szCs w:val="14"/>
        </w:rPr>
      </w:pPr>
      <w:r w:rsidRPr="00585A80">
        <w:rPr>
          <w:rFonts w:eastAsia="Arial"/>
          <w:b/>
          <w:bCs/>
          <w:color w:val="000000"/>
          <w:sz w:val="14"/>
          <w:szCs w:val="14"/>
        </w:rPr>
        <w:t>Disclaimer</w:t>
      </w:r>
    </w:p>
    <w:p w14:paraId="64570089" w14:textId="153DCC4E" w:rsidR="009933EB" w:rsidRPr="00585A80" w:rsidRDefault="00585A80" w:rsidP="00585A80">
      <w:pPr>
        <w:spacing w:before="0" w:after="0" w:line="240" w:lineRule="atLeast"/>
        <w:ind w:right="450"/>
        <w:rPr>
          <w:rFonts w:eastAsia="Arial"/>
          <w:color w:val="000000"/>
          <w:sz w:val="14"/>
          <w:szCs w:val="14"/>
        </w:rPr>
      </w:pPr>
      <w:r w:rsidRPr="00585A80">
        <w:rPr>
          <w:rFonts w:eastAsia="Arial"/>
          <w:color w:val="000000"/>
          <w:sz w:val="14"/>
          <w:szCs w:val="14"/>
        </w:rPr>
        <w:t>This Report is prepared by CRISIL MI&amp;A, a division of CRISIL Limited (“CRISIL”). By viewing, using or accessing this Report you (“user”) agree and accept as follows: (i) While CRISIL uses reasonable care in preparing this Report based on the information obtained from sources it considers reliable (“Data”), CRISIL does not guarantee the accuracy, adequacy, completeness, authenticity or timeliness of the Data / Report and is not responsible for any errors or omissions or for the results obtained from the use of the Data / Report (ii) This Report is not a recommendation or investment advice. CRISIL especially states that it has no financial liability whatsoever to the subscribers/ users/ transmitters/ distributors of this Report. CRISIL MI&amp;A operates independently of, and does not have access to information obtained by CRISIL Ratings Limited, which may, in their regular operations, obtain information of a confidential nature. The views expressed in this Report are that of CRISIL MI&amp;A and not of CRISIL Ratings Limited; (iii) The user takes full responsibility for any use of the Report and CRISIL does not accept any liability whatsoever (and expressly excludes all liability) arising from or relating to the use of any part of the Data/Report by the user; (iv) The user will always use the Report ‘AS IS’ in its entirety and unless the user is specifically permitted by CRISIL in writing the user shall not in any manner: (a) copy, transmit, combine with other information, recompile, publish, reproduce or segregate any part or portion of the Report. The contents of this report are intellectual property and information of CRISIL. Altering or copying of the contents or distributing the report without attribution the source to CRISIL is strictly prohibited and violation will attract legal action.; (b) use the CRISIL brand name, logo or any other CRISIL intellectual property rights in relation to or in respect of the Report or in any manner that identifies or indicates that CRISIL is the author, developer, publisher or owner of the Report or that CRISIL has released the Report. The report is for use within the jurisdiction of India only. Nothing in this report is to be construed as CRISIL providing, or intending to provide, any services in other jurisdictions where CRISIL does not have the necessary permissions and/ or registration to carry out its business activities. The user will be solely responsible for ensuring compliance for use of the report, or part thereof, outside India.</w:t>
      </w:r>
    </w:p>
    <w:sectPr w:rsidR="009933EB" w:rsidRPr="00585A80" w:rsidSect="00C7511A">
      <w:pgSz w:w="12240" w:h="15840"/>
      <w:pgMar w:top="1620" w:right="720" w:bottom="1521" w:left="990" w:header="720" w:footer="7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5EE0" w14:textId="77777777" w:rsidR="009C6301" w:rsidRDefault="009C6301" w:rsidP="00C7511A">
      <w:pPr>
        <w:spacing w:before="0" w:after="0" w:line="240" w:lineRule="auto"/>
      </w:pPr>
      <w:r>
        <w:separator/>
      </w:r>
    </w:p>
  </w:endnote>
  <w:endnote w:type="continuationSeparator" w:id="0">
    <w:p w14:paraId="0D8EB53E" w14:textId="77777777" w:rsidR="009C6301" w:rsidRDefault="009C6301" w:rsidP="00C7511A">
      <w:pPr>
        <w:spacing w:before="0" w:after="0" w:line="240" w:lineRule="auto"/>
      </w:pPr>
      <w:r>
        <w:continuationSeparator/>
      </w:r>
    </w:p>
  </w:endnote>
  <w:endnote w:type="continuationNotice" w:id="1">
    <w:p w14:paraId="44B56EC8" w14:textId="77777777" w:rsidR="009C6301" w:rsidRDefault="009C63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kkurat Pro">
    <w:altName w:val="Malgun Gothic"/>
    <w:charset w:val="00"/>
    <w:family w:val="auto"/>
    <w:pitch w:val="variable"/>
    <w:sig w:usb0="00000003" w:usb1="40002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051945"/>
      <w:docPartObj>
        <w:docPartGallery w:val="Page Numbers (Bottom of Page)"/>
        <w:docPartUnique/>
      </w:docPartObj>
    </w:sdtPr>
    <w:sdtEndPr>
      <w:rPr>
        <w:noProof/>
      </w:rPr>
    </w:sdtEndPr>
    <w:sdtContent>
      <w:p w14:paraId="2DD96BD7" w14:textId="77777777" w:rsidR="00E72B7B" w:rsidRDefault="00E72B7B" w:rsidP="002F7E18">
        <w:pPr>
          <w:pStyle w:val="Footer"/>
        </w:pPr>
      </w:p>
      <w:p w14:paraId="090AF226" w14:textId="77777777" w:rsidR="00E72B7B" w:rsidRDefault="00E72B7B" w:rsidP="002F7E18">
        <w:pPr>
          <w:pStyle w:val="Footer"/>
        </w:pPr>
      </w:p>
      <w:p w14:paraId="03F84385" w14:textId="2F22DA86" w:rsidR="00E72B7B" w:rsidRPr="00A41C97" w:rsidRDefault="00E72B7B" w:rsidP="002F7E1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F11C3" w14:textId="77777777" w:rsidR="009C6301" w:rsidRDefault="009C6301" w:rsidP="00C7511A">
      <w:pPr>
        <w:spacing w:before="0" w:after="0" w:line="240" w:lineRule="auto"/>
      </w:pPr>
      <w:r>
        <w:separator/>
      </w:r>
    </w:p>
  </w:footnote>
  <w:footnote w:type="continuationSeparator" w:id="0">
    <w:p w14:paraId="23D6D68F" w14:textId="77777777" w:rsidR="009C6301" w:rsidRDefault="009C6301" w:rsidP="00C7511A">
      <w:pPr>
        <w:spacing w:before="0" w:after="0" w:line="240" w:lineRule="auto"/>
      </w:pPr>
      <w:r>
        <w:continuationSeparator/>
      </w:r>
    </w:p>
  </w:footnote>
  <w:footnote w:type="continuationNotice" w:id="1">
    <w:p w14:paraId="71DB8158" w14:textId="77777777" w:rsidR="009C6301" w:rsidRDefault="009C6301">
      <w:pPr>
        <w:spacing w:before="0" w:after="0" w:line="240" w:lineRule="auto"/>
      </w:pPr>
    </w:p>
  </w:footnote>
  <w:footnote w:id="2">
    <w:p w14:paraId="7128F063" w14:textId="5DC42319" w:rsidR="00C7511A" w:rsidRPr="00721C1D" w:rsidRDefault="00C7511A" w:rsidP="00C7511A">
      <w:pPr>
        <w:pStyle w:val="Source"/>
        <w:spacing w:after="0"/>
        <w:rPr>
          <w:rFonts w:eastAsiaTheme="minorHAnsi" w:cs="Arial"/>
          <w:b/>
          <w:i w:val="0"/>
          <w:iCs/>
          <w:color w:val="000000" w:themeColor="text1"/>
          <w:kern w:val="2"/>
          <w:szCs w:val="16"/>
          <w14:ligatures w14:val="standardContextual"/>
        </w:rPr>
      </w:pPr>
      <w:r w:rsidRPr="00721C1D">
        <w:rPr>
          <w:rFonts w:eastAsiaTheme="minorHAnsi" w:cs="Arial"/>
          <w:iCs/>
          <w:color w:val="000000" w:themeColor="text1"/>
          <w:kern w:val="2"/>
          <w:szCs w:val="16"/>
          <w14:ligatures w14:val="standardContextual"/>
        </w:rPr>
        <w:footnoteRef/>
      </w:r>
      <w:r w:rsidRPr="00721C1D">
        <w:rPr>
          <w:rFonts w:eastAsiaTheme="minorHAnsi" w:cs="Arial"/>
          <w:iCs/>
          <w:color w:val="000000" w:themeColor="text1"/>
          <w:kern w:val="2"/>
          <w:szCs w:val="16"/>
          <w14:ligatures w14:val="standardContextual"/>
        </w:rPr>
        <w:t xml:space="preserve"> As per: International Monetary Fund (IMF) – World Economic Outlook (April 202</w:t>
      </w:r>
      <w:r w:rsidR="006209AB">
        <w:rPr>
          <w:rFonts w:eastAsiaTheme="minorHAnsi" w:cs="Arial"/>
          <w:iCs/>
          <w:color w:val="000000" w:themeColor="text1"/>
          <w:kern w:val="2"/>
          <w:szCs w:val="16"/>
          <w14:ligatures w14:val="standardContextual"/>
        </w:rPr>
        <w:t>5</w:t>
      </w:r>
      <w:r>
        <w:rPr>
          <w:rFonts w:eastAsiaTheme="minorHAnsi" w:cs="Arial"/>
          <w:iCs/>
          <w:color w:val="000000" w:themeColor="text1"/>
          <w:kern w:val="2"/>
          <w:szCs w:val="16"/>
          <w14:ligatures w14:val="standardContextual"/>
        </w:rPr>
        <w:t>)</w:t>
      </w:r>
    </w:p>
  </w:footnote>
  <w:footnote w:id="3">
    <w:p w14:paraId="7FDBFF7B" w14:textId="4F470120" w:rsidR="00853783" w:rsidRPr="00853783" w:rsidRDefault="00853783">
      <w:pPr>
        <w:pStyle w:val="FootnoteText"/>
      </w:pPr>
      <w:r>
        <w:rPr>
          <w:rStyle w:val="FootnoteReference"/>
        </w:rPr>
        <w:footnoteRef/>
      </w:r>
      <w:r>
        <w:t xml:space="preserve"> </w:t>
      </w:r>
      <w:r w:rsidRPr="00853783">
        <w:t>https://www.indiacode.nic.in/handle/123456789/2158</w:t>
      </w:r>
    </w:p>
  </w:footnote>
  <w:footnote w:id="4">
    <w:p w14:paraId="2151D4E9" w14:textId="72881766" w:rsidR="00A50A89" w:rsidRPr="00A50A89" w:rsidRDefault="00A50A89">
      <w:pPr>
        <w:pStyle w:val="FootnoteText"/>
        <w:rPr>
          <w:lang w:val="en-IN"/>
        </w:rPr>
      </w:pPr>
      <w:r>
        <w:rPr>
          <w:rStyle w:val="FootnoteReference"/>
        </w:rPr>
        <w:footnoteRef/>
      </w:r>
      <w:r>
        <w:t xml:space="preserve"> </w:t>
      </w:r>
      <w:r w:rsidRPr="00A50A89">
        <w:t>https://www.ibef.org/industry/real-estate-india</w:t>
      </w:r>
    </w:p>
  </w:footnote>
  <w:footnote w:id="5">
    <w:p w14:paraId="0AB2B6E1" w14:textId="0256A605" w:rsidR="00266046" w:rsidRPr="00266046" w:rsidRDefault="00266046">
      <w:pPr>
        <w:pStyle w:val="FootnoteText"/>
      </w:pPr>
      <w:r>
        <w:rPr>
          <w:rStyle w:val="FootnoteReference"/>
        </w:rPr>
        <w:footnoteRef/>
      </w:r>
      <w:r>
        <w:t xml:space="preserve"> </w:t>
      </w:r>
      <w:r w:rsidRPr="00266046">
        <w:t>https://pmaymis.gov.in</w:t>
      </w:r>
    </w:p>
  </w:footnote>
  <w:footnote w:id="6">
    <w:p w14:paraId="46AB2494" w14:textId="35534474" w:rsidR="001C5F9D" w:rsidRPr="001C5F9D" w:rsidRDefault="001C5F9D">
      <w:pPr>
        <w:pStyle w:val="FootnoteText"/>
        <w:rPr>
          <w:lang w:val="en-IN"/>
        </w:rPr>
      </w:pPr>
      <w:r>
        <w:rPr>
          <w:rStyle w:val="FootnoteReference"/>
        </w:rPr>
        <w:footnoteRef/>
      </w:r>
      <w:r>
        <w:t xml:space="preserve"> </w:t>
      </w:r>
      <w:r w:rsidRPr="001C5F9D">
        <w:t>https://indiainvestmentgrid.gov.in/national-infrastructure-pipeline</w:t>
      </w:r>
    </w:p>
  </w:footnote>
  <w:footnote w:id="7">
    <w:p w14:paraId="342C60B4" w14:textId="030058BC" w:rsidR="00C7511A" w:rsidRPr="003B66F1" w:rsidRDefault="00C7511A" w:rsidP="00C7511A">
      <w:pPr>
        <w:pStyle w:val="FootnoteText"/>
        <w:ind w:right="112"/>
        <w:rPr>
          <w:i w:val="0"/>
          <w:iCs/>
          <w:szCs w:val="14"/>
        </w:rPr>
      </w:pPr>
      <w:r w:rsidRPr="003B66F1">
        <w:rPr>
          <w:rStyle w:val="FootnoteReference"/>
          <w:iCs/>
          <w:szCs w:val="14"/>
        </w:rPr>
        <w:footnoteRef/>
      </w:r>
      <w:r w:rsidRPr="003B66F1">
        <w:rPr>
          <w:iCs/>
          <w:szCs w:val="14"/>
        </w:rPr>
        <w:t xml:space="preserve"> According to the International Monetary Fund’s (“IMF”) World Economic Outlook (</w:t>
      </w:r>
      <w:r w:rsidR="00A8432F">
        <w:rPr>
          <w:iCs/>
          <w:szCs w:val="14"/>
        </w:rPr>
        <w:t>April</w:t>
      </w:r>
      <w:r w:rsidRPr="003B66F1">
        <w:rPr>
          <w:iCs/>
          <w:szCs w:val="14"/>
        </w:rPr>
        <w:t xml:space="preserve"> 202</w:t>
      </w:r>
      <w:r w:rsidR="00A8432F">
        <w:rPr>
          <w:iCs/>
          <w:szCs w:val="14"/>
        </w:rPr>
        <w:t>5</w:t>
      </w:r>
      <w:r w:rsidRPr="003B66F1">
        <w:rPr>
          <w:iCs/>
          <w:szCs w:val="14"/>
        </w:rPr>
        <w:t>).</w:t>
      </w:r>
    </w:p>
  </w:footnote>
  <w:footnote w:id="8">
    <w:p w14:paraId="25869F87" w14:textId="77777777" w:rsidR="00C7511A" w:rsidRPr="003B66F1" w:rsidRDefault="00C7511A" w:rsidP="00C7511A">
      <w:pPr>
        <w:pStyle w:val="FootnoteText"/>
        <w:ind w:right="112"/>
        <w:rPr>
          <w:i w:val="0"/>
          <w:iCs/>
          <w:szCs w:val="14"/>
        </w:rPr>
      </w:pPr>
      <w:r w:rsidRPr="003B66F1">
        <w:rPr>
          <w:rStyle w:val="FootnoteReference"/>
          <w:iCs/>
          <w:szCs w:val="14"/>
        </w:rPr>
        <w:footnoteRef/>
      </w:r>
      <w:r w:rsidRPr="003B66F1">
        <w:rPr>
          <w:iCs/>
          <w:szCs w:val="14"/>
        </w:rPr>
        <w:t xml:space="preserve"> India follows financial year April 1 to March 31. Hence, the data published by the Indian government/ RBI/NSO is different from that of the IMF, which publishes data as per the calendar year – January 1 to December 31.</w:t>
      </w:r>
    </w:p>
  </w:footnote>
  <w:footnote w:id="9">
    <w:p w14:paraId="680F6E6C" w14:textId="333D03A8" w:rsidR="00C7511A" w:rsidRPr="00C409C5" w:rsidRDefault="00C7511A" w:rsidP="00C7511A">
      <w:pPr>
        <w:pStyle w:val="Source"/>
        <w:spacing w:after="0"/>
        <w:rPr>
          <w:rFonts w:asciiTheme="majorHAnsi" w:hAnsiTheme="majorHAnsi" w:cstheme="majorHAnsi"/>
          <w:b/>
          <w:bCs/>
          <w:i w:val="0"/>
          <w:iCs/>
          <w:szCs w:val="16"/>
        </w:rPr>
      </w:pPr>
      <w:r w:rsidRPr="00C409C5">
        <w:rPr>
          <w:rStyle w:val="FootnoteReference"/>
          <w:rFonts w:asciiTheme="majorHAnsi" w:hAnsiTheme="majorHAnsi" w:cstheme="majorHAnsi"/>
          <w:bCs/>
          <w:iCs/>
          <w:szCs w:val="16"/>
        </w:rPr>
        <w:footnoteRef/>
      </w:r>
      <w:r w:rsidRPr="00C409C5">
        <w:rPr>
          <w:rFonts w:asciiTheme="majorHAnsi" w:hAnsiTheme="majorHAnsi" w:cstheme="majorHAnsi"/>
          <w:bCs/>
          <w:iCs/>
          <w:szCs w:val="16"/>
        </w:rPr>
        <w:t xml:space="preserve"> Department for Promotion of Industry and Internal Trade, Office of Economic Advisor press release dated </w:t>
      </w:r>
      <w:r w:rsidR="00B710A0">
        <w:rPr>
          <w:rFonts w:asciiTheme="majorHAnsi" w:hAnsiTheme="majorHAnsi" w:cstheme="majorHAnsi"/>
          <w:bCs/>
          <w:iCs/>
          <w:szCs w:val="16"/>
        </w:rPr>
        <w:t>21</w:t>
      </w:r>
      <w:r w:rsidR="00B710A0" w:rsidRPr="00662938">
        <w:rPr>
          <w:rFonts w:asciiTheme="majorHAnsi" w:hAnsiTheme="majorHAnsi" w:cstheme="majorHAnsi"/>
          <w:bCs/>
          <w:iCs/>
          <w:szCs w:val="16"/>
          <w:vertAlign w:val="superscript"/>
        </w:rPr>
        <w:t>st</w:t>
      </w:r>
      <w:r w:rsidR="00B710A0">
        <w:rPr>
          <w:rFonts w:asciiTheme="majorHAnsi" w:hAnsiTheme="majorHAnsi" w:cstheme="majorHAnsi"/>
          <w:bCs/>
          <w:iCs/>
          <w:szCs w:val="16"/>
        </w:rPr>
        <w:t xml:space="preserve"> April 2025</w:t>
      </w:r>
      <w:r w:rsidR="0054768C">
        <w:rPr>
          <w:rFonts w:asciiTheme="majorHAnsi" w:hAnsiTheme="majorHAnsi" w:cstheme="majorHAnsi"/>
          <w:bCs/>
          <w:iCs/>
          <w:szCs w:val="16"/>
        </w:rPr>
        <w:t>; Office of Economic Advisor</w:t>
      </w:r>
    </w:p>
  </w:footnote>
  <w:footnote w:id="10">
    <w:p w14:paraId="330C1CD2" w14:textId="77777777" w:rsidR="00C7511A" w:rsidRPr="00C609A8" w:rsidRDefault="00C7511A" w:rsidP="00C7511A">
      <w:pPr>
        <w:pStyle w:val="FootnoteText"/>
        <w:rPr>
          <w:szCs w:val="18"/>
        </w:rPr>
      </w:pPr>
      <w:r w:rsidRPr="00C409C5">
        <w:rPr>
          <w:rStyle w:val="FootnoteReference"/>
          <w:iCs/>
          <w:szCs w:val="16"/>
        </w:rPr>
        <w:footnoteRef/>
      </w:r>
      <w:r w:rsidRPr="00C409C5">
        <w:rPr>
          <w:iCs/>
          <w:szCs w:val="16"/>
        </w:rPr>
        <w:t xml:space="preserve"> Press Information Bureue issued by Ministry of Finance, Government of India, dated 22 July 2024.</w:t>
      </w:r>
    </w:p>
  </w:footnote>
  <w:footnote w:id="11">
    <w:p w14:paraId="76F01062" w14:textId="77777777" w:rsidR="00C7511A" w:rsidRPr="00C63D8D" w:rsidRDefault="00C7511A" w:rsidP="00C7511A">
      <w:pPr>
        <w:pStyle w:val="FootnoteText"/>
        <w:rPr>
          <w:i w:val="0"/>
          <w:iCs/>
          <w:szCs w:val="16"/>
        </w:rPr>
      </w:pPr>
      <w:r w:rsidRPr="00C63D8D">
        <w:rPr>
          <w:rStyle w:val="FootnoteReference"/>
          <w:iCs/>
          <w:szCs w:val="16"/>
        </w:rPr>
        <w:footnoteRef/>
      </w:r>
      <w:r w:rsidRPr="00C63D8D">
        <w:rPr>
          <w:iCs/>
          <w:szCs w:val="16"/>
        </w:rPr>
        <w:t xml:space="preserve"> BP (2024) Statistical Review of World Energy</w:t>
      </w:r>
    </w:p>
  </w:footnote>
  <w:footnote w:id="12">
    <w:p w14:paraId="72B16F9E" w14:textId="77777777" w:rsidR="00C7511A" w:rsidRPr="00C63D8D" w:rsidRDefault="00C7511A" w:rsidP="00C7511A">
      <w:pPr>
        <w:pStyle w:val="FootnoteText"/>
        <w:rPr>
          <w:i w:val="0"/>
          <w:iCs/>
          <w:szCs w:val="16"/>
        </w:rPr>
      </w:pPr>
      <w:r w:rsidRPr="00C63D8D">
        <w:rPr>
          <w:rStyle w:val="FootnoteReference"/>
          <w:iCs/>
          <w:szCs w:val="16"/>
        </w:rPr>
        <w:footnoteRef/>
      </w:r>
      <w:r w:rsidRPr="00C63D8D">
        <w:rPr>
          <w:iCs/>
          <w:szCs w:val="16"/>
        </w:rPr>
        <w:t xml:space="preserve"> BP (2024) Statistical Review of World Energy</w:t>
      </w:r>
    </w:p>
  </w:footnote>
  <w:footnote w:id="13">
    <w:p w14:paraId="1C13EF85" w14:textId="77777777" w:rsidR="00C7511A" w:rsidRPr="00C63D8D" w:rsidRDefault="00C7511A" w:rsidP="00C7511A">
      <w:pPr>
        <w:pStyle w:val="FootnoteText"/>
        <w:rPr>
          <w:i w:val="0"/>
          <w:iCs/>
          <w:szCs w:val="16"/>
          <w:lang w:val="en-IN"/>
        </w:rPr>
      </w:pPr>
      <w:r w:rsidRPr="00C63D8D">
        <w:rPr>
          <w:rStyle w:val="FootnoteReference"/>
          <w:iCs/>
          <w:szCs w:val="16"/>
        </w:rPr>
        <w:footnoteRef/>
      </w:r>
      <w:r w:rsidRPr="00C63D8D">
        <w:rPr>
          <w:iCs/>
          <w:szCs w:val="16"/>
        </w:rPr>
        <w:t xml:space="preserve"> https://pib.gov.in/PressReleasePage.aspx?PRID=2089243</w:t>
      </w:r>
    </w:p>
  </w:footnote>
  <w:footnote w:id="14">
    <w:p w14:paraId="43D8832E" w14:textId="77777777" w:rsidR="00C7511A" w:rsidRPr="00C63D8D" w:rsidRDefault="00C7511A" w:rsidP="00C7511A">
      <w:pPr>
        <w:pStyle w:val="FootnoteText"/>
        <w:rPr>
          <w:i w:val="0"/>
          <w:iCs/>
          <w:szCs w:val="16"/>
        </w:rPr>
      </w:pPr>
      <w:r w:rsidRPr="00C63D8D">
        <w:rPr>
          <w:rStyle w:val="FootnoteReference"/>
          <w:iCs/>
          <w:szCs w:val="16"/>
        </w:rPr>
        <w:footnoteRef/>
      </w:r>
      <w:r w:rsidRPr="00C63D8D">
        <w:rPr>
          <w:iCs/>
          <w:szCs w:val="16"/>
        </w:rPr>
        <w:t xml:space="preserve"> All India Electricity Statistics (General Review) by Central Electricity Authority</w:t>
      </w:r>
    </w:p>
  </w:footnote>
  <w:footnote w:id="15">
    <w:p w14:paraId="38468A45" w14:textId="77777777" w:rsidR="00C7511A" w:rsidRPr="00B35BDD" w:rsidRDefault="00C7511A" w:rsidP="00C7511A">
      <w:pPr>
        <w:pStyle w:val="FootnoteText"/>
      </w:pPr>
      <w:r>
        <w:rPr>
          <w:rStyle w:val="FootnoteReference"/>
        </w:rPr>
        <w:footnoteRef/>
      </w:r>
      <w:r>
        <w:t xml:space="preserve"> </w:t>
      </w:r>
      <w:r w:rsidRPr="00B35BDD">
        <w:t>International Energy Agency</w:t>
      </w:r>
    </w:p>
  </w:footnote>
  <w:footnote w:id="16">
    <w:p w14:paraId="1A8ADC47" w14:textId="77777777" w:rsidR="00C7511A" w:rsidRPr="00621BC1" w:rsidRDefault="00C7511A" w:rsidP="00C7511A">
      <w:pPr>
        <w:pStyle w:val="FootnoteText"/>
        <w:rPr>
          <w:i w:val="0"/>
          <w:iCs/>
          <w:szCs w:val="16"/>
        </w:rPr>
      </w:pPr>
      <w:r w:rsidRPr="00621BC1">
        <w:rPr>
          <w:rStyle w:val="FootnoteReference"/>
          <w:iCs/>
          <w:szCs w:val="16"/>
        </w:rPr>
        <w:footnoteRef/>
      </w:r>
      <w:r w:rsidRPr="00621BC1">
        <w:rPr>
          <w:iCs/>
          <w:szCs w:val="16"/>
        </w:rPr>
        <w:t xml:space="preserve"> India Budget, Government of India</w:t>
      </w:r>
    </w:p>
  </w:footnote>
  <w:footnote w:id="17">
    <w:p w14:paraId="5C3156F9" w14:textId="77777777" w:rsidR="00C7511A" w:rsidRPr="00B04CCB" w:rsidRDefault="00C7511A" w:rsidP="00C7511A">
      <w:pPr>
        <w:pStyle w:val="FootnoteText"/>
      </w:pPr>
      <w:r w:rsidRPr="00621BC1">
        <w:rPr>
          <w:rStyle w:val="FootnoteReference"/>
          <w:iCs/>
          <w:szCs w:val="16"/>
        </w:rPr>
        <w:footnoteRef/>
      </w:r>
      <w:r w:rsidRPr="00621BC1">
        <w:rPr>
          <w:iCs/>
          <w:szCs w:val="16"/>
        </w:rPr>
        <w:t xml:space="preserve"> Union Budget fiscal 2026</w:t>
      </w:r>
    </w:p>
  </w:footnote>
  <w:footnote w:id="18">
    <w:p w14:paraId="6BE27DB9" w14:textId="77777777" w:rsidR="00C7511A" w:rsidRPr="00621BC1" w:rsidRDefault="00C7511A" w:rsidP="00C7511A">
      <w:pPr>
        <w:pStyle w:val="FootnoteText"/>
        <w:rPr>
          <w:i w:val="0"/>
          <w:iCs/>
          <w:szCs w:val="16"/>
        </w:rPr>
      </w:pPr>
      <w:r w:rsidRPr="00621BC1">
        <w:rPr>
          <w:rStyle w:val="FootnoteReference"/>
          <w:iCs/>
          <w:szCs w:val="16"/>
        </w:rPr>
        <w:footnoteRef/>
      </w:r>
      <w:r w:rsidRPr="00621BC1">
        <w:rPr>
          <w:iCs/>
          <w:szCs w:val="16"/>
        </w:rPr>
        <w:t xml:space="preserve"> Ministry of Finance, notified through Press Information Bureau dated 22</w:t>
      </w:r>
      <w:r w:rsidRPr="00621BC1">
        <w:rPr>
          <w:iCs/>
          <w:szCs w:val="16"/>
          <w:vertAlign w:val="superscript"/>
        </w:rPr>
        <w:t>nd</w:t>
      </w:r>
      <w:r w:rsidRPr="00621BC1">
        <w:rPr>
          <w:iCs/>
          <w:szCs w:val="16"/>
        </w:rPr>
        <w:t xml:space="preserve"> July 2024</w:t>
      </w:r>
    </w:p>
  </w:footnote>
  <w:footnote w:id="19">
    <w:p w14:paraId="6AFE184B" w14:textId="77777777" w:rsidR="00C7511A" w:rsidRPr="00621BC1" w:rsidRDefault="00C7511A" w:rsidP="00C7511A">
      <w:pPr>
        <w:pStyle w:val="FootnoteText"/>
        <w:rPr>
          <w:i w:val="0"/>
          <w:iCs/>
          <w:szCs w:val="16"/>
          <w:lang w:val="en-IN"/>
        </w:rPr>
      </w:pPr>
      <w:r w:rsidRPr="00621BC1">
        <w:rPr>
          <w:rStyle w:val="FootnoteReference"/>
          <w:iCs/>
          <w:szCs w:val="16"/>
        </w:rPr>
        <w:footnoteRef/>
      </w:r>
      <w:r w:rsidRPr="00621BC1">
        <w:rPr>
          <w:iCs/>
          <w:szCs w:val="16"/>
        </w:rPr>
        <w:t xml:space="preserve"> </w:t>
      </w:r>
      <w:r w:rsidRPr="00621BC1">
        <w:rPr>
          <w:iCs/>
          <w:szCs w:val="16"/>
          <w:lang w:val="en-IN"/>
        </w:rPr>
        <w:t>As mentioned in the economic survey report</w:t>
      </w:r>
    </w:p>
  </w:footnote>
  <w:footnote w:id="20">
    <w:p w14:paraId="51885852" w14:textId="77777777" w:rsidR="00C7511A" w:rsidRPr="00621BC1" w:rsidRDefault="00C7511A" w:rsidP="00C7511A">
      <w:pPr>
        <w:pStyle w:val="FootnoteText"/>
        <w:rPr>
          <w:i w:val="0"/>
          <w:iCs/>
          <w:lang w:val="en-IN"/>
        </w:rPr>
      </w:pPr>
      <w:r w:rsidRPr="00621BC1">
        <w:rPr>
          <w:rStyle w:val="FootnoteReference"/>
          <w:iCs/>
          <w:szCs w:val="16"/>
        </w:rPr>
        <w:footnoteRef/>
      </w:r>
      <w:r w:rsidRPr="00621BC1">
        <w:rPr>
          <w:iCs/>
          <w:szCs w:val="16"/>
        </w:rPr>
        <w:t xml:space="preserve"> </w:t>
      </w:r>
      <w:r w:rsidRPr="00621BC1">
        <w:rPr>
          <w:iCs/>
          <w:szCs w:val="16"/>
          <w:lang w:val="en-IN"/>
        </w:rPr>
        <w:t>International Energy Agency (IEA)</w:t>
      </w:r>
    </w:p>
  </w:footnote>
  <w:footnote w:id="21">
    <w:p w14:paraId="07A480DA" w14:textId="41EF89B2" w:rsidR="00C779E1" w:rsidRPr="00C779E1" w:rsidRDefault="00C779E1">
      <w:pPr>
        <w:pStyle w:val="FootnoteText"/>
      </w:pPr>
      <w:r>
        <w:rPr>
          <w:rStyle w:val="FootnoteReference"/>
        </w:rPr>
        <w:footnoteRef/>
      </w:r>
      <w:r>
        <w:t xml:space="preserve"> </w:t>
      </w:r>
      <w:r w:rsidRPr="00EC17FE">
        <w:rPr>
          <w:iCs/>
          <w:szCs w:val="18"/>
        </w:rPr>
        <w:t>ourworldindata.org</w:t>
      </w:r>
    </w:p>
  </w:footnote>
  <w:footnote w:id="22">
    <w:p w14:paraId="230D8A0C" w14:textId="4F0A5304" w:rsidR="00DE6FF8" w:rsidRDefault="00DE6FF8">
      <w:pPr>
        <w:pStyle w:val="FootnoteText"/>
      </w:pPr>
      <w:r>
        <w:rPr>
          <w:rStyle w:val="FootnoteReference"/>
        </w:rPr>
        <w:footnoteRef/>
      </w:r>
      <w:r>
        <w:t xml:space="preserve"> </w:t>
      </w:r>
      <w:r w:rsidR="0054435F">
        <w:t>As per NDC submitted to UNFCCC in August 2022 as highlighted in PIB 13</w:t>
      </w:r>
      <w:r w:rsidR="0054435F" w:rsidRPr="00662938">
        <w:rPr>
          <w:vertAlign w:val="superscript"/>
        </w:rPr>
        <w:t>th</w:t>
      </w:r>
      <w:r w:rsidR="0054435F">
        <w:t xml:space="preserve"> November 2024</w:t>
      </w:r>
    </w:p>
  </w:footnote>
  <w:footnote w:id="23">
    <w:p w14:paraId="23A39A4F" w14:textId="77777777" w:rsidR="00673B66" w:rsidRPr="00621BC1" w:rsidRDefault="00673B66" w:rsidP="00673B66">
      <w:pPr>
        <w:pStyle w:val="FootnoteText"/>
        <w:rPr>
          <w:i w:val="0"/>
          <w:iCs/>
          <w:szCs w:val="16"/>
        </w:rPr>
      </w:pPr>
      <w:r w:rsidRPr="00621BC1">
        <w:rPr>
          <w:rStyle w:val="FootnoteReference"/>
          <w:iCs/>
          <w:szCs w:val="16"/>
        </w:rPr>
        <w:footnoteRef/>
      </w:r>
      <w:r w:rsidRPr="00621BC1">
        <w:rPr>
          <w:iCs/>
          <w:szCs w:val="16"/>
        </w:rPr>
        <w:t xml:space="preserve"> Central Electricity Authority (General Review)</w:t>
      </w:r>
    </w:p>
  </w:footnote>
  <w:footnote w:id="24">
    <w:p w14:paraId="56638C82" w14:textId="77777777" w:rsidR="00673B66" w:rsidRDefault="00673B66" w:rsidP="00673B66">
      <w:pPr>
        <w:pStyle w:val="FootnoteText"/>
      </w:pPr>
      <w:r w:rsidRPr="00621BC1">
        <w:rPr>
          <w:rStyle w:val="FootnoteReference"/>
          <w:iCs/>
          <w:szCs w:val="16"/>
        </w:rPr>
        <w:footnoteRef/>
      </w:r>
      <w:r w:rsidRPr="00621BC1">
        <w:rPr>
          <w:iCs/>
          <w:szCs w:val="16"/>
        </w:rPr>
        <w:t xml:space="preserve"> </w:t>
      </w:r>
      <w:r w:rsidRPr="00621BC1">
        <w:rPr>
          <w:iCs/>
          <w:szCs w:val="10"/>
        </w:rPr>
        <w:t>Ministry of Mines, Government of India, total Value of Mineral production</w:t>
      </w:r>
    </w:p>
  </w:footnote>
  <w:footnote w:id="25">
    <w:p w14:paraId="44123FD4" w14:textId="77777777" w:rsidR="00673B66" w:rsidRPr="00621BC1" w:rsidRDefault="00673B66" w:rsidP="00673B66">
      <w:pPr>
        <w:pStyle w:val="FootnoteText"/>
        <w:rPr>
          <w:i w:val="0"/>
          <w:iCs/>
          <w:szCs w:val="12"/>
        </w:rPr>
      </w:pPr>
      <w:r w:rsidRPr="00621BC1">
        <w:rPr>
          <w:rStyle w:val="FootnoteReference"/>
          <w:iCs/>
          <w:szCs w:val="12"/>
        </w:rPr>
        <w:footnoteRef/>
      </w:r>
      <w:r w:rsidRPr="00621BC1">
        <w:rPr>
          <w:iCs/>
          <w:szCs w:val="12"/>
        </w:rPr>
        <w:t xml:space="preserve"> As per International Monetary Fund (IMF)- World Economic Outlook (April 202</w:t>
      </w:r>
      <w:r>
        <w:rPr>
          <w:iCs/>
          <w:szCs w:val="12"/>
        </w:rPr>
        <w:t>5</w:t>
      </w:r>
      <w:r w:rsidRPr="00621BC1">
        <w:rPr>
          <w:iCs/>
          <w:szCs w:val="12"/>
        </w:rPr>
        <w:t>)</w:t>
      </w:r>
    </w:p>
  </w:footnote>
  <w:footnote w:id="26">
    <w:p w14:paraId="0B277160" w14:textId="77777777" w:rsidR="00673B66" w:rsidRPr="00621BC1" w:rsidRDefault="00673B66" w:rsidP="00673B66">
      <w:pPr>
        <w:pStyle w:val="FootnoteText"/>
        <w:rPr>
          <w:i w:val="0"/>
          <w:iCs/>
          <w:szCs w:val="12"/>
        </w:rPr>
      </w:pPr>
      <w:r w:rsidRPr="00621BC1">
        <w:rPr>
          <w:rStyle w:val="FootnoteReference"/>
          <w:iCs/>
          <w:szCs w:val="12"/>
        </w:rPr>
        <w:footnoteRef/>
      </w:r>
      <w:r w:rsidRPr="00621BC1">
        <w:rPr>
          <w:iCs/>
          <w:szCs w:val="12"/>
        </w:rPr>
        <w:t xml:space="preserve"> Mentioned the share of coal demand in various sectors in detail in the coal demand &amp; supply dynamics chapter</w:t>
      </w:r>
    </w:p>
  </w:footnote>
  <w:footnote w:id="27">
    <w:p w14:paraId="03351CB0" w14:textId="77777777" w:rsidR="00673B66" w:rsidRPr="00621BC1" w:rsidRDefault="00673B66" w:rsidP="00673B66">
      <w:pPr>
        <w:pStyle w:val="FootnoteText"/>
        <w:rPr>
          <w:i w:val="0"/>
          <w:iCs/>
          <w:szCs w:val="16"/>
          <w:lang w:val="en-IN"/>
        </w:rPr>
      </w:pPr>
      <w:r w:rsidRPr="00621BC1">
        <w:rPr>
          <w:rStyle w:val="FootnoteReference"/>
          <w:iCs/>
          <w:szCs w:val="16"/>
        </w:rPr>
        <w:footnoteRef/>
      </w:r>
      <w:r w:rsidRPr="00621BC1">
        <w:rPr>
          <w:iCs/>
          <w:szCs w:val="16"/>
        </w:rPr>
        <w:t xml:space="preserve"> </w:t>
      </w:r>
      <w:r w:rsidRPr="00621BC1">
        <w:rPr>
          <w:iCs/>
          <w:szCs w:val="16"/>
          <w:lang w:val="en-IN"/>
        </w:rPr>
        <w:t>Crisil Intelligence</w:t>
      </w:r>
    </w:p>
  </w:footnote>
  <w:footnote w:id="28">
    <w:p w14:paraId="279A30E1" w14:textId="77777777" w:rsidR="00673B66" w:rsidRPr="00621BC1" w:rsidRDefault="00673B66" w:rsidP="00673B66">
      <w:pPr>
        <w:pStyle w:val="FootnoteText"/>
        <w:rPr>
          <w:i w:val="0"/>
          <w:iCs/>
          <w:szCs w:val="16"/>
        </w:rPr>
      </w:pPr>
      <w:r w:rsidRPr="00621BC1">
        <w:rPr>
          <w:rStyle w:val="FootnoteReference"/>
          <w:iCs/>
          <w:szCs w:val="16"/>
        </w:rPr>
        <w:footnoteRef/>
      </w:r>
      <w:r w:rsidRPr="00621BC1">
        <w:rPr>
          <w:iCs/>
          <w:szCs w:val="16"/>
        </w:rPr>
        <w:t xml:space="preserve"> Ministry of Mines</w:t>
      </w:r>
    </w:p>
  </w:footnote>
  <w:footnote w:id="29">
    <w:p w14:paraId="45B4C73B" w14:textId="77777777" w:rsidR="00D57D90" w:rsidRPr="000D2BEE" w:rsidRDefault="00D57D90" w:rsidP="00D57D90">
      <w:pPr>
        <w:pStyle w:val="FootnoteText"/>
        <w:rPr>
          <w:i w:val="0"/>
          <w:iCs/>
          <w:szCs w:val="16"/>
        </w:rPr>
      </w:pPr>
      <w:r w:rsidRPr="00AC6D61">
        <w:rPr>
          <w:rStyle w:val="FootnoteReference"/>
          <w:iCs/>
          <w:szCs w:val="16"/>
        </w:rPr>
        <w:footnoteRef/>
      </w:r>
      <w:r w:rsidRPr="000D2BEE">
        <w:rPr>
          <w:iCs/>
          <w:szCs w:val="16"/>
        </w:rPr>
        <w:t xml:space="preserve"> https://coal.nic.in/sites/default/files/2022-02/17-02-2022.pdf</w:t>
      </w:r>
    </w:p>
  </w:footnote>
  <w:footnote w:id="30">
    <w:p w14:paraId="3000842B" w14:textId="77777777" w:rsidR="00D42579" w:rsidRPr="009F7BC1" w:rsidRDefault="00D42579" w:rsidP="00D42579">
      <w:pPr>
        <w:pStyle w:val="FootnoteText"/>
        <w:rPr>
          <w:i w:val="0"/>
          <w:iCs/>
          <w:szCs w:val="16"/>
        </w:rPr>
      </w:pPr>
      <w:r w:rsidRPr="009F7BC1">
        <w:rPr>
          <w:rStyle w:val="FootnoteReference"/>
          <w:iCs/>
          <w:szCs w:val="16"/>
        </w:rPr>
        <w:footnoteRef/>
      </w:r>
      <w:r w:rsidRPr="009F7BC1">
        <w:rPr>
          <w:iCs/>
          <w:szCs w:val="16"/>
        </w:rPr>
        <w:t xml:space="preserve"> </w:t>
      </w:r>
      <w:r w:rsidRPr="009F7BC1">
        <w:rPr>
          <w:iCs/>
          <w:szCs w:val="12"/>
        </w:rPr>
        <w:t>Note: All years in this section are calendar years unless otherwise mentioned</w:t>
      </w:r>
    </w:p>
  </w:footnote>
  <w:footnote w:id="31">
    <w:p w14:paraId="1EDB2995" w14:textId="77777777" w:rsidR="00D42579" w:rsidRPr="004521AB" w:rsidRDefault="00D42579" w:rsidP="00D42579">
      <w:pPr>
        <w:pStyle w:val="FootnoteText"/>
        <w:rPr>
          <w:i w:val="0"/>
          <w:iCs/>
          <w:szCs w:val="16"/>
        </w:rPr>
      </w:pPr>
      <w:r w:rsidRPr="004521AB">
        <w:rPr>
          <w:rStyle w:val="FootnoteReference"/>
          <w:iCs/>
          <w:szCs w:val="16"/>
        </w:rPr>
        <w:footnoteRef/>
      </w:r>
      <w:r w:rsidRPr="004521AB">
        <w:rPr>
          <w:iCs/>
          <w:szCs w:val="16"/>
        </w:rPr>
        <w:t xml:space="preserve"> </w:t>
      </w:r>
      <w:r w:rsidRPr="004521AB">
        <w:rPr>
          <w:iCs/>
          <w:szCs w:val="12"/>
        </w:rPr>
        <w:t>Note: All years in this section are calendar years unless otherwise mentioned</w:t>
      </w:r>
    </w:p>
  </w:footnote>
  <w:footnote w:id="32">
    <w:p w14:paraId="4EA28331" w14:textId="77777777" w:rsidR="0041274F" w:rsidRPr="00FE5B5D" w:rsidRDefault="0041274F" w:rsidP="0041274F">
      <w:pPr>
        <w:pStyle w:val="FootnoteText"/>
        <w:rPr>
          <w:i w:val="0"/>
          <w:szCs w:val="12"/>
        </w:rPr>
      </w:pPr>
      <w:r w:rsidRPr="00FE5B5D">
        <w:rPr>
          <w:rStyle w:val="FootnoteReference"/>
          <w:szCs w:val="12"/>
        </w:rPr>
        <w:footnoteRef/>
      </w:r>
      <w:r w:rsidRPr="00FE5B5D">
        <w:rPr>
          <w:szCs w:val="12"/>
        </w:rPr>
        <w:t xml:space="preserve"> As per CEA reports</w:t>
      </w:r>
    </w:p>
  </w:footnote>
  <w:footnote w:id="33">
    <w:p w14:paraId="4B8FD4ED" w14:textId="77777777" w:rsidR="0041274F" w:rsidRPr="00FE5B5D" w:rsidRDefault="0041274F" w:rsidP="0041274F">
      <w:pPr>
        <w:pStyle w:val="FootnoteText"/>
        <w:rPr>
          <w:i w:val="0"/>
          <w:iCs/>
          <w:szCs w:val="16"/>
        </w:rPr>
      </w:pPr>
      <w:r w:rsidRPr="00FE5B5D">
        <w:rPr>
          <w:rStyle w:val="FootnoteReference"/>
          <w:iCs/>
          <w:szCs w:val="16"/>
        </w:rPr>
        <w:footnoteRef/>
      </w:r>
      <w:r w:rsidRPr="00FE5B5D">
        <w:rPr>
          <w:iCs/>
          <w:szCs w:val="16"/>
        </w:rPr>
        <w:t xml:space="preserve"> Actual demand as per Annual Report 2024-25 of Ministry of Coal</w:t>
      </w:r>
    </w:p>
  </w:footnote>
  <w:footnote w:id="34">
    <w:p w14:paraId="10D3F2D4" w14:textId="77777777" w:rsidR="004E77F6" w:rsidRPr="001106FC" w:rsidRDefault="004E77F6" w:rsidP="004E77F6">
      <w:pPr>
        <w:pStyle w:val="FootnoteText"/>
        <w:rPr>
          <w:szCs w:val="16"/>
        </w:rPr>
      </w:pPr>
      <w:r w:rsidRPr="001106FC">
        <w:rPr>
          <w:rStyle w:val="FootnoteReference"/>
          <w:szCs w:val="16"/>
        </w:rPr>
        <w:footnoteRef/>
      </w:r>
      <w:r w:rsidRPr="001106FC">
        <w:rPr>
          <w:szCs w:val="16"/>
        </w:rPr>
        <w:t xml:space="preserve"> Crisil Analyst Report- Copper, April 2025</w:t>
      </w:r>
    </w:p>
  </w:footnote>
  <w:footnote w:id="35">
    <w:p w14:paraId="2E177AC5" w14:textId="77777777" w:rsidR="004E77F6" w:rsidRPr="001106FC" w:rsidRDefault="004E77F6" w:rsidP="004E77F6">
      <w:pPr>
        <w:pStyle w:val="FootnoteText"/>
        <w:rPr>
          <w:szCs w:val="16"/>
        </w:rPr>
      </w:pPr>
      <w:r w:rsidRPr="001106FC">
        <w:rPr>
          <w:rStyle w:val="FootnoteReference"/>
          <w:szCs w:val="16"/>
        </w:rPr>
        <w:footnoteRef/>
      </w:r>
      <w:r w:rsidRPr="001106FC">
        <w:rPr>
          <w:szCs w:val="16"/>
        </w:rPr>
        <w:t xml:space="preserve"> Crisil Analyst Report- Copper, April 2025</w:t>
      </w:r>
    </w:p>
  </w:footnote>
  <w:footnote w:id="36">
    <w:p w14:paraId="55CDA38B" w14:textId="77777777" w:rsidR="004E77F6" w:rsidRPr="00930A55" w:rsidRDefault="004E77F6" w:rsidP="004E77F6">
      <w:pPr>
        <w:pStyle w:val="FootnoteText"/>
      </w:pPr>
      <w:r w:rsidRPr="00BF2CC7">
        <w:rPr>
          <w:rStyle w:val="FootnoteReference"/>
        </w:rPr>
        <w:footnoteRef/>
      </w:r>
      <w:r w:rsidRPr="00BF2CC7">
        <w:t xml:space="preserve"> </w:t>
      </w:r>
      <w:r w:rsidRPr="001106FC">
        <w:t xml:space="preserve">Crisil </w:t>
      </w:r>
      <w:r w:rsidRPr="001106FC">
        <w:rPr>
          <w:szCs w:val="16"/>
        </w:rPr>
        <w:t>Analyst Report- Aluminum, April 2025</w:t>
      </w:r>
    </w:p>
  </w:footnote>
  <w:footnote w:id="37">
    <w:p w14:paraId="4D07EC61" w14:textId="77777777" w:rsidR="004E77F6" w:rsidRPr="00F8452F" w:rsidRDefault="004E77F6" w:rsidP="004E77F6">
      <w:pPr>
        <w:pStyle w:val="FootnoteText"/>
        <w:rPr>
          <w:lang w:val="en-IN"/>
        </w:rPr>
      </w:pPr>
      <w:r>
        <w:rPr>
          <w:rStyle w:val="FootnoteReference"/>
        </w:rPr>
        <w:footnoteRef/>
      </w:r>
      <w:r>
        <w:t xml:space="preserve"> </w:t>
      </w:r>
      <w:r>
        <w:rPr>
          <w:lang w:val="en-IN"/>
        </w:rPr>
        <w:t>Crisil Intelligence</w:t>
      </w:r>
    </w:p>
  </w:footnote>
  <w:footnote w:id="38">
    <w:p w14:paraId="440419C2" w14:textId="77777777" w:rsidR="004E77F6" w:rsidRPr="00F3582D" w:rsidRDefault="004E77F6" w:rsidP="004E77F6">
      <w:pPr>
        <w:pStyle w:val="FootnoteText"/>
      </w:pPr>
      <w:r>
        <w:rPr>
          <w:rStyle w:val="FootnoteReference"/>
        </w:rPr>
        <w:footnoteRef/>
      </w:r>
      <w:r>
        <w:t xml:space="preserve"> </w:t>
      </w:r>
      <w:r w:rsidRPr="00F3582D">
        <w:t>The National Critical Mineral Mission (NCMM)</w:t>
      </w:r>
    </w:p>
  </w:footnote>
  <w:footnote w:id="39">
    <w:p w14:paraId="6C5CFD1E" w14:textId="77777777" w:rsidR="004E77F6" w:rsidRDefault="004E77F6" w:rsidP="004E77F6">
      <w:pPr>
        <w:pStyle w:val="FootnoteText"/>
      </w:pPr>
      <w:r>
        <w:rPr>
          <w:rStyle w:val="FootnoteReference"/>
        </w:rPr>
        <w:footnoteRef/>
      </w:r>
      <w:r>
        <w:t xml:space="preserve"> Source: Report of the Committee on Identification of Critical Minerals, Ministry of Mines, June 2023</w:t>
      </w:r>
    </w:p>
  </w:footnote>
  <w:footnote w:id="40">
    <w:p w14:paraId="46675957" w14:textId="77777777" w:rsidR="004E77F6" w:rsidRPr="0087355A" w:rsidRDefault="004E77F6" w:rsidP="004E77F6">
      <w:pPr>
        <w:pStyle w:val="FootnoteText"/>
      </w:pPr>
      <w:r>
        <w:rPr>
          <w:rStyle w:val="FootnoteReference"/>
        </w:rPr>
        <w:footnoteRef/>
      </w:r>
      <w:r>
        <w:t xml:space="preserve"> Source: USGS MCS 2025</w:t>
      </w:r>
    </w:p>
  </w:footnote>
  <w:footnote w:id="41">
    <w:p w14:paraId="05DB38C0" w14:textId="77777777" w:rsidR="004E77F6" w:rsidRDefault="004E77F6" w:rsidP="004E77F6">
      <w:pPr>
        <w:pStyle w:val="FootnoteText"/>
      </w:pPr>
      <w:r>
        <w:rPr>
          <w:rStyle w:val="FootnoteReference"/>
        </w:rPr>
        <w:footnoteRef/>
      </w:r>
      <w:r>
        <w:t xml:space="preserve"> Source: Strategic Plan for Enhancing REE Exploration in India</w:t>
      </w:r>
    </w:p>
  </w:footnote>
  <w:footnote w:id="42">
    <w:p w14:paraId="461CBE92" w14:textId="77777777" w:rsidR="004E77F6" w:rsidRPr="0087355A" w:rsidRDefault="004E77F6" w:rsidP="004E77F6">
      <w:pPr>
        <w:pStyle w:val="FootnoteText"/>
      </w:pPr>
      <w:r>
        <w:rPr>
          <w:rStyle w:val="FootnoteReference"/>
        </w:rPr>
        <w:footnoteRef/>
      </w:r>
      <w:r>
        <w:t xml:space="preserve"> Source: USGS MCS 2025</w:t>
      </w:r>
    </w:p>
  </w:footnote>
  <w:footnote w:id="43">
    <w:p w14:paraId="57C7AFF1" w14:textId="77777777" w:rsidR="004E77F6" w:rsidRPr="003B29CF" w:rsidRDefault="004E77F6" w:rsidP="004E77F6">
      <w:pPr>
        <w:pStyle w:val="FootnoteText"/>
      </w:pPr>
      <w:r>
        <w:rPr>
          <w:rStyle w:val="FootnoteReference"/>
        </w:rPr>
        <w:footnoteRef/>
      </w:r>
      <w:r>
        <w:t xml:space="preserve"> </w:t>
      </w:r>
      <w:r w:rsidRPr="003B29CF">
        <w:t>https://pib.gov.in/PressReleasePage.aspx?PRID=2041804</w:t>
      </w:r>
    </w:p>
  </w:footnote>
  <w:footnote w:id="44">
    <w:p w14:paraId="22B5A6A4" w14:textId="77777777" w:rsidR="004E77F6" w:rsidRPr="003B29CF" w:rsidRDefault="004E77F6" w:rsidP="004E77F6">
      <w:pPr>
        <w:pStyle w:val="FootnoteText"/>
      </w:pPr>
      <w:r>
        <w:rPr>
          <w:rStyle w:val="FootnoteReference"/>
        </w:rPr>
        <w:footnoteRef/>
      </w:r>
      <w:r>
        <w:t xml:space="preserve"> Source: USGS MCS 2025</w:t>
      </w:r>
    </w:p>
  </w:footnote>
  <w:footnote w:id="45">
    <w:p w14:paraId="2DC69F3F" w14:textId="77777777" w:rsidR="004E77F6" w:rsidRPr="003B29CF" w:rsidRDefault="004E77F6" w:rsidP="004E77F6">
      <w:pPr>
        <w:pStyle w:val="FootnoteText"/>
      </w:pPr>
      <w:r>
        <w:rPr>
          <w:rStyle w:val="FootnoteReference"/>
        </w:rPr>
        <w:footnoteRef/>
      </w:r>
      <w:r>
        <w:t xml:space="preserve"> </w:t>
      </w:r>
      <w:r w:rsidRPr="003B29CF">
        <w:t>https://pib.gov.in/PressReleasePage.aspx?PRID=2041804</w:t>
      </w:r>
    </w:p>
  </w:footnote>
  <w:footnote w:id="46">
    <w:p w14:paraId="37D7FA2C" w14:textId="77777777" w:rsidR="004E77F6" w:rsidRPr="00AC0CD6" w:rsidRDefault="004E77F6" w:rsidP="004E77F6">
      <w:pPr>
        <w:pStyle w:val="FootnoteText"/>
      </w:pPr>
      <w:r>
        <w:rPr>
          <w:rStyle w:val="FootnoteReference"/>
        </w:rPr>
        <w:footnoteRef/>
      </w:r>
      <w:r>
        <w:t xml:space="preserve"> </w:t>
      </w:r>
      <w:r w:rsidRPr="00AC0CD6">
        <w:t>http://psa.gov.in/mission/electric-vehicles/36</w:t>
      </w:r>
    </w:p>
  </w:footnote>
  <w:footnote w:id="47">
    <w:p w14:paraId="11EC5CC6" w14:textId="77777777" w:rsidR="008A6BAD" w:rsidRDefault="008A6BAD" w:rsidP="008A6BAD">
      <w:pPr>
        <w:pStyle w:val="FootnoteText"/>
      </w:pPr>
      <w:r>
        <w:rPr>
          <w:rStyle w:val="FootnoteReference"/>
        </w:rPr>
        <w:footnoteRef/>
      </w:r>
      <w:r w:rsidRPr="007A14E3">
        <w:t>https://www.globenewswire.com/news-release/2025/02/19/3028550/28124/en/3-7-Trillion-Mining-Market-Opportunities-and-Strategies-to-2033-BHP-Group-Leads-Fragmented-Global-Mining-Market-2-5-Followed-by-Glencore-Rio-Tinto-and-Vale.html</w:t>
      </w:r>
    </w:p>
  </w:footnote>
  <w:footnote w:id="48">
    <w:p w14:paraId="67E953D8" w14:textId="77777777" w:rsidR="00265BF2" w:rsidRPr="001A3B13" w:rsidRDefault="00265BF2" w:rsidP="00265BF2">
      <w:pPr>
        <w:pStyle w:val="Footer"/>
        <w:rPr>
          <w:lang w:val="en-IN"/>
        </w:rPr>
      </w:pPr>
      <w:r>
        <w:rPr>
          <w:rStyle w:val="FootnoteReference"/>
        </w:rPr>
        <w:footnoteRef/>
      </w:r>
      <w:r>
        <w:t xml:space="preserve"> </w:t>
      </w:r>
      <w:r w:rsidRPr="001A3B13">
        <w:t>https://pib.gov.in/PressReleaseIframePage.aspx?PRID=2097308</w:t>
      </w:r>
    </w:p>
  </w:footnote>
  <w:footnote w:id="49">
    <w:p w14:paraId="7D427F13" w14:textId="77777777" w:rsidR="00265BF2" w:rsidRPr="00D77172" w:rsidRDefault="00265BF2" w:rsidP="00265BF2">
      <w:pPr>
        <w:pStyle w:val="FootnoteText"/>
      </w:pPr>
      <w:r>
        <w:rPr>
          <w:rStyle w:val="FootnoteReference"/>
        </w:rPr>
        <w:footnoteRef/>
      </w:r>
      <w:r>
        <w:t xml:space="preserve"> Crisil Intelligence</w:t>
      </w:r>
    </w:p>
  </w:footnote>
  <w:footnote w:id="50">
    <w:p w14:paraId="3DA7F8B2" w14:textId="77777777" w:rsidR="008A6BAD" w:rsidRPr="00301AFF" w:rsidRDefault="008A6BAD" w:rsidP="008A6BAD">
      <w:pPr>
        <w:pStyle w:val="FootnoteText"/>
        <w:rPr>
          <w:i w:val="0"/>
          <w:iCs/>
        </w:rPr>
      </w:pPr>
      <w:r w:rsidRPr="00301AFF">
        <w:rPr>
          <w:rStyle w:val="FootnoteReference"/>
          <w:iCs/>
        </w:rPr>
        <w:footnoteRef/>
      </w:r>
      <w:r w:rsidRPr="00301AFF">
        <w:rPr>
          <w:iCs/>
        </w:rPr>
        <w:t xml:space="preserve"> PIB circular</w:t>
      </w:r>
    </w:p>
  </w:footnote>
  <w:footnote w:id="51">
    <w:p w14:paraId="6FFC8A6B" w14:textId="77777777" w:rsidR="008A6BAD" w:rsidRPr="006F61B3" w:rsidRDefault="008A6BAD" w:rsidP="008A6BAD">
      <w:pPr>
        <w:pStyle w:val="FootnoteText"/>
        <w:rPr>
          <w:i w:val="0"/>
          <w:iCs/>
        </w:rPr>
      </w:pPr>
      <w:r w:rsidRPr="006F61B3">
        <w:rPr>
          <w:rStyle w:val="FootnoteReference"/>
          <w:iCs/>
        </w:rPr>
        <w:footnoteRef/>
      </w:r>
      <w:r w:rsidRPr="006F61B3">
        <w:rPr>
          <w:iCs/>
        </w:rPr>
        <w:t xml:space="preserve"> As per reports from Ministry of Mines</w:t>
      </w:r>
    </w:p>
  </w:footnote>
  <w:footnote w:id="52">
    <w:p w14:paraId="0BD07A73" w14:textId="77777777" w:rsidR="001670B3" w:rsidRPr="00BC23C5" w:rsidRDefault="001670B3" w:rsidP="001670B3">
      <w:pPr>
        <w:pStyle w:val="FootnoteText"/>
      </w:pPr>
      <w:r>
        <w:rPr>
          <w:rStyle w:val="FootnoteReference"/>
        </w:rPr>
        <w:footnoteRef/>
      </w:r>
      <w:r>
        <w:t xml:space="preserve"> Coal Directory of India, 2023-24 </w:t>
      </w:r>
    </w:p>
  </w:footnote>
  <w:footnote w:id="53">
    <w:p w14:paraId="57F64B11" w14:textId="77777777" w:rsidR="001670B3" w:rsidRPr="00061B85" w:rsidRDefault="001670B3" w:rsidP="001670B3">
      <w:pPr>
        <w:pStyle w:val="FootnoteText"/>
        <w:rPr>
          <w:lang w:val="en-IN"/>
        </w:rPr>
      </w:pPr>
      <w:r>
        <w:rPr>
          <w:rStyle w:val="FootnoteReference"/>
        </w:rPr>
        <w:footnoteRef/>
      </w:r>
      <w:r>
        <w:t xml:space="preserve"> </w:t>
      </w:r>
      <w:r w:rsidRPr="001A52A1">
        <w:t>https://archive.pib.gov.in/release02/lyr2003/rfeb2003/06022003/r060220033.html</w:t>
      </w:r>
    </w:p>
  </w:footnote>
  <w:footnote w:id="54">
    <w:p w14:paraId="1EAABB59" w14:textId="77777777" w:rsidR="001670B3" w:rsidRPr="00F92851" w:rsidRDefault="001670B3" w:rsidP="001670B3">
      <w:pPr>
        <w:pStyle w:val="FootnoteText"/>
        <w:rPr>
          <w:lang w:val="en-IN"/>
        </w:rPr>
      </w:pPr>
      <w:r>
        <w:rPr>
          <w:rStyle w:val="FootnoteReference"/>
        </w:rPr>
        <w:footnoteRef/>
      </w:r>
      <w:r>
        <w:t xml:space="preserve"> </w:t>
      </w:r>
      <w:r w:rsidRPr="00B642AC">
        <w:t>https://pib.gov.in/PressReleaseIframePage.aspx?PRID=1945466</w:t>
      </w:r>
    </w:p>
  </w:footnote>
  <w:footnote w:id="55">
    <w:p w14:paraId="02D651DD" w14:textId="77777777" w:rsidR="00FA7E7D" w:rsidRPr="00831C19" w:rsidRDefault="00FA7E7D" w:rsidP="00FA7E7D">
      <w:pPr>
        <w:pStyle w:val="FootnoteText"/>
      </w:pPr>
      <w:r>
        <w:rPr>
          <w:rStyle w:val="FootnoteReference"/>
        </w:rPr>
        <w:footnoteRef/>
      </w:r>
      <w:r>
        <w:t xml:space="preserve"> </w:t>
      </w:r>
      <w:r w:rsidRPr="00831C19">
        <w:t>https://tradingeconomics.com/commodity/iron-ore</w:t>
      </w:r>
    </w:p>
  </w:footnote>
  <w:footnote w:id="56">
    <w:p w14:paraId="730F3385" w14:textId="77777777" w:rsidR="00FA7E7D" w:rsidRPr="00831C19" w:rsidRDefault="00FA7E7D" w:rsidP="00FA7E7D">
      <w:pPr>
        <w:pStyle w:val="FootnoteText"/>
      </w:pPr>
      <w:r>
        <w:rPr>
          <w:rStyle w:val="FootnoteReference"/>
        </w:rPr>
        <w:footnoteRef/>
      </w:r>
      <w:r>
        <w:t xml:space="preserve"> </w:t>
      </w:r>
      <w:hyperlink r:id="rId1" w:history="1">
        <w:r w:rsidRPr="00831C19">
          <w:t>https://tradingeconomics.com/commodity/coal</w:t>
        </w:r>
      </w:hyperlink>
      <w:r>
        <w:t xml:space="preserve"> (</w:t>
      </w:r>
      <w:r w:rsidRPr="00831C19">
        <w:t>Newcastle coal futures price</w:t>
      </w:r>
      <w:r>
        <w:t>)</w:t>
      </w:r>
    </w:p>
  </w:footnote>
  <w:footnote w:id="57">
    <w:p w14:paraId="212F5246" w14:textId="77777777" w:rsidR="0047619D" w:rsidRDefault="0047619D" w:rsidP="0047619D">
      <w:pPr>
        <w:pStyle w:val="FootnoteText"/>
      </w:pPr>
      <w:r>
        <w:rPr>
          <w:rStyle w:val="FootnoteReference"/>
        </w:rPr>
        <w:footnoteRef/>
      </w:r>
      <w:r>
        <w:t xml:space="preserve"> MoC, Govt. of India</w:t>
      </w:r>
    </w:p>
  </w:footnote>
  <w:footnote w:id="58">
    <w:p w14:paraId="0B37883F" w14:textId="69DDEBD1" w:rsidR="00AA74D6" w:rsidRDefault="00AA74D6">
      <w:pPr>
        <w:pStyle w:val="FootnoteText"/>
      </w:pPr>
      <w:r>
        <w:rPr>
          <w:rStyle w:val="FootnoteReference"/>
        </w:rPr>
        <w:footnoteRef/>
      </w:r>
      <w:r>
        <w:t xml:space="preserve"> </w:t>
      </w:r>
      <w:r w:rsidR="00AE45E9">
        <w:t xml:space="preserve">Revenue from operations </w:t>
      </w:r>
      <w:r w:rsidR="00AE45E9" w:rsidRPr="00834BFE">
        <w:t xml:space="preserve">means the revenue from operations as appearing in the Financial </w:t>
      </w:r>
      <w:r w:rsidR="00AE45E9">
        <w:t>Statements of the companies</w:t>
      </w:r>
    </w:p>
  </w:footnote>
  <w:footnote w:id="59">
    <w:p w14:paraId="3EC01CA3" w14:textId="7D753115" w:rsidR="009275A7" w:rsidRDefault="009275A7">
      <w:pPr>
        <w:pStyle w:val="FootnoteText"/>
      </w:pPr>
      <w:r>
        <w:rPr>
          <w:rStyle w:val="FootnoteReference"/>
        </w:rPr>
        <w:footnoteRef/>
      </w:r>
      <w:r>
        <w:t xml:space="preserve"> </w:t>
      </w:r>
      <w:r w:rsidRPr="000F796F">
        <w:t xml:space="preserve">Revenue CAGR </w:t>
      </w:r>
      <w:r>
        <w:t xml:space="preserve">for CMPDIL and RITES </w:t>
      </w:r>
      <w:r w:rsidRPr="000F796F">
        <w:t xml:space="preserve">is calculated by dividing the Revenue from </w:t>
      </w:r>
      <w:r w:rsidR="000C0B7E">
        <w:t>o</w:t>
      </w:r>
      <w:r w:rsidRPr="000F796F">
        <w:t>peration</w:t>
      </w:r>
      <w:r w:rsidR="000C0B7E">
        <w:t>s</w:t>
      </w:r>
      <w:r w:rsidRPr="000F796F">
        <w:t xml:space="preserve"> for </w:t>
      </w:r>
      <w:r>
        <w:t xml:space="preserve">fiscal </w:t>
      </w:r>
      <w:r w:rsidRPr="000F796F">
        <w:t xml:space="preserve">2025 by the Revenue from </w:t>
      </w:r>
      <w:r w:rsidR="000C0B7E">
        <w:t>o</w:t>
      </w:r>
      <w:r w:rsidRPr="000F796F">
        <w:t>peration</w:t>
      </w:r>
      <w:r w:rsidR="000C0B7E">
        <w:t>s</w:t>
      </w:r>
      <w:r w:rsidRPr="000F796F">
        <w:t xml:space="preserve"> for </w:t>
      </w:r>
      <w:r>
        <w:t xml:space="preserve">fiscal </w:t>
      </w:r>
      <w:r w:rsidRPr="000F796F">
        <w:t>202</w:t>
      </w:r>
      <w:r w:rsidR="00AC5203">
        <w:t>3</w:t>
      </w:r>
      <w:r w:rsidRPr="000F796F">
        <w:t xml:space="preserve">, raising it to the power of one divided by the number of compounding periods i.e. </w:t>
      </w:r>
      <w:r w:rsidR="00AC5203">
        <w:t>2</w:t>
      </w:r>
      <w:r w:rsidRPr="000F796F">
        <w:t xml:space="preserve"> years, and subtracting by one</w:t>
      </w:r>
      <w:r>
        <w:t xml:space="preserve">, while for EIL, MECL and MECON, it is </w:t>
      </w:r>
      <w:r w:rsidRPr="000F796F">
        <w:t xml:space="preserve">calculated by dividing the Revenue from </w:t>
      </w:r>
      <w:r w:rsidR="000C0B7E">
        <w:t>o</w:t>
      </w:r>
      <w:r w:rsidRPr="000F796F">
        <w:t>peration</w:t>
      </w:r>
      <w:r w:rsidR="000C0B7E">
        <w:t>s</w:t>
      </w:r>
      <w:r w:rsidRPr="000F796F">
        <w:t xml:space="preserve"> for </w:t>
      </w:r>
      <w:r>
        <w:t xml:space="preserve">fiscal </w:t>
      </w:r>
      <w:r w:rsidRPr="000F796F">
        <w:t>202</w:t>
      </w:r>
      <w:r>
        <w:t>4</w:t>
      </w:r>
      <w:r w:rsidRPr="000F796F">
        <w:t xml:space="preserve"> by the Revenue from </w:t>
      </w:r>
      <w:r w:rsidR="000C0B7E">
        <w:t>o</w:t>
      </w:r>
      <w:r w:rsidRPr="000F796F">
        <w:t>peration</w:t>
      </w:r>
      <w:r w:rsidR="000C0B7E">
        <w:t>s</w:t>
      </w:r>
      <w:r w:rsidRPr="000F796F">
        <w:t xml:space="preserve"> for </w:t>
      </w:r>
      <w:r>
        <w:t xml:space="preserve">fiscal </w:t>
      </w:r>
      <w:r w:rsidRPr="000F796F">
        <w:t>202</w:t>
      </w:r>
      <w:r w:rsidR="000C0B7E">
        <w:t>3</w:t>
      </w:r>
      <w:r w:rsidRPr="000F796F">
        <w:t xml:space="preserve">, raising it to the power of one divided by the number of compounding periods i.e. </w:t>
      </w:r>
      <w:r w:rsidR="000C0B7E">
        <w:t>1</w:t>
      </w:r>
      <w:r w:rsidRPr="000F796F">
        <w:t xml:space="preserve"> years, and subtracting by one</w:t>
      </w:r>
    </w:p>
  </w:footnote>
  <w:footnote w:id="60">
    <w:p w14:paraId="5B9915B2" w14:textId="51DAA2C3" w:rsidR="008678D3" w:rsidRDefault="008678D3">
      <w:pPr>
        <w:pStyle w:val="FootnoteText"/>
      </w:pPr>
      <w:r>
        <w:rPr>
          <w:rStyle w:val="FootnoteReference"/>
        </w:rPr>
        <w:footnoteRef/>
      </w:r>
      <w:r>
        <w:t xml:space="preserve"> </w:t>
      </w:r>
      <w:r w:rsidR="006462CA">
        <w:t xml:space="preserve">Operating EBITDA </w:t>
      </w:r>
      <w:r w:rsidR="006462CA" w:rsidRPr="003017AB">
        <w:t>is calculated as profit / (loss) for the period / year, plus finance costs, total taxes, and depreciation and amortisation expense less other income</w:t>
      </w:r>
    </w:p>
  </w:footnote>
  <w:footnote w:id="61">
    <w:p w14:paraId="5F4E0CAF" w14:textId="082B4347" w:rsidR="00D2483D" w:rsidRDefault="00D2483D">
      <w:pPr>
        <w:pStyle w:val="FootnoteText"/>
      </w:pPr>
      <w:r>
        <w:rPr>
          <w:rStyle w:val="FootnoteReference"/>
        </w:rPr>
        <w:footnoteRef/>
      </w:r>
      <w:r>
        <w:t xml:space="preserve"> </w:t>
      </w:r>
      <w:r w:rsidRPr="003E746B">
        <w:t xml:space="preserve">Operating EBITDA </w:t>
      </w:r>
      <w:r>
        <w:t xml:space="preserve">CAGR for CMPDIL and RITES </w:t>
      </w:r>
      <w:r w:rsidRPr="003E746B">
        <w:t xml:space="preserve">is calculated by dividing the </w:t>
      </w:r>
      <w:r>
        <w:t xml:space="preserve">Operating EBITDA </w:t>
      </w:r>
      <w:r w:rsidRPr="003E746B">
        <w:t xml:space="preserve">for </w:t>
      </w:r>
      <w:r>
        <w:t xml:space="preserve">fiscal </w:t>
      </w:r>
      <w:r w:rsidRPr="003E746B">
        <w:t xml:space="preserve">2025 by the </w:t>
      </w:r>
      <w:r>
        <w:t>Operating EBITDA</w:t>
      </w:r>
      <w:r w:rsidRPr="003E746B">
        <w:t xml:space="preserve"> </w:t>
      </w:r>
      <w:r>
        <w:t>for fiscal 202</w:t>
      </w:r>
      <w:r w:rsidR="001C66BD">
        <w:t>3</w:t>
      </w:r>
      <w:r w:rsidRPr="003E746B">
        <w:t xml:space="preserve">, raising it to the power of one divided by the number of compounding periods i.e. </w:t>
      </w:r>
      <w:r w:rsidR="001C66BD">
        <w:t>2</w:t>
      </w:r>
      <w:r w:rsidRPr="003E746B">
        <w:t xml:space="preserve"> years, and subtracting by one,</w:t>
      </w:r>
      <w:r>
        <w:t xml:space="preserve"> while for EIL, MECL and MECON, it </w:t>
      </w:r>
      <w:r w:rsidRPr="003E746B">
        <w:t xml:space="preserve">is calculated by dividing the </w:t>
      </w:r>
      <w:r>
        <w:t xml:space="preserve">Operating EBITDA </w:t>
      </w:r>
      <w:r w:rsidRPr="003E746B">
        <w:t xml:space="preserve">for </w:t>
      </w:r>
      <w:r>
        <w:t xml:space="preserve">fiscal </w:t>
      </w:r>
      <w:r w:rsidRPr="003E746B">
        <w:t>202</w:t>
      </w:r>
      <w:r>
        <w:t>4</w:t>
      </w:r>
      <w:r w:rsidRPr="003E746B">
        <w:t xml:space="preserve"> by the </w:t>
      </w:r>
      <w:r>
        <w:t>Operating EBITDA</w:t>
      </w:r>
      <w:r w:rsidRPr="003E746B">
        <w:t xml:space="preserve"> </w:t>
      </w:r>
      <w:r>
        <w:t>for fiscal 202</w:t>
      </w:r>
      <w:r w:rsidR="001C66BD">
        <w:t>3</w:t>
      </w:r>
      <w:r w:rsidRPr="003E746B">
        <w:t xml:space="preserve">, raising it to the power of one divided by the number of compounding periods i.e. </w:t>
      </w:r>
      <w:r w:rsidR="001C66BD">
        <w:t>1</w:t>
      </w:r>
      <w:r w:rsidRPr="003E746B">
        <w:t xml:space="preserve"> years, and subtracting by one</w:t>
      </w:r>
    </w:p>
  </w:footnote>
  <w:footnote w:id="62">
    <w:p w14:paraId="56B57F65" w14:textId="7EC0B4B6" w:rsidR="00AA6048" w:rsidRDefault="00AA6048">
      <w:pPr>
        <w:pStyle w:val="FootnoteText"/>
      </w:pPr>
      <w:r>
        <w:rPr>
          <w:rStyle w:val="FootnoteReference"/>
        </w:rPr>
        <w:footnoteRef/>
      </w:r>
      <w:r>
        <w:t xml:space="preserve"> </w:t>
      </w:r>
      <w:r w:rsidR="00BC0D6F" w:rsidRPr="00B239D0">
        <w:t xml:space="preserve">Operating EBITDA margin (%) is calculated as EBITDA divided by </w:t>
      </w:r>
      <w:r w:rsidR="00BC0D6F">
        <w:t>R</w:t>
      </w:r>
      <w:r w:rsidR="00BC0D6F" w:rsidRPr="00B239D0">
        <w:t xml:space="preserve">evenue from </w:t>
      </w:r>
      <w:r w:rsidR="001C66BD">
        <w:t>o</w:t>
      </w:r>
      <w:r w:rsidR="00BC0D6F" w:rsidRPr="00B239D0">
        <w:t>peration</w:t>
      </w:r>
      <w:r w:rsidR="00BC0D6F">
        <w:t>s</w:t>
      </w:r>
    </w:p>
  </w:footnote>
  <w:footnote w:id="63">
    <w:p w14:paraId="3C2B6A01" w14:textId="5CADA606" w:rsidR="00151F5D" w:rsidRDefault="00151F5D">
      <w:pPr>
        <w:pStyle w:val="FootnoteText"/>
      </w:pPr>
      <w:r>
        <w:rPr>
          <w:rStyle w:val="FootnoteReference"/>
        </w:rPr>
        <w:footnoteRef/>
      </w:r>
      <w:r>
        <w:t xml:space="preserve"> </w:t>
      </w:r>
      <w:r w:rsidR="008E38BA" w:rsidRPr="00795646">
        <w:t>EBITDA refers to Earnings Before Interest, Tax, Depreciation, and Amortization, excluding exceptional/ extraordinary or prior period items</w:t>
      </w:r>
    </w:p>
  </w:footnote>
  <w:footnote w:id="64">
    <w:p w14:paraId="44FCC4C7" w14:textId="3EE8B1C4" w:rsidR="00887494" w:rsidRDefault="00887494">
      <w:pPr>
        <w:pStyle w:val="FootnoteText"/>
      </w:pPr>
      <w:r>
        <w:rPr>
          <w:rStyle w:val="FootnoteReference"/>
        </w:rPr>
        <w:footnoteRef/>
      </w:r>
      <w:r>
        <w:t xml:space="preserve"> </w:t>
      </w:r>
      <w:r w:rsidRPr="003E746B">
        <w:t xml:space="preserve">EBITDA </w:t>
      </w:r>
      <w:r>
        <w:t xml:space="preserve">CAGR for CMPDIL and RITES </w:t>
      </w:r>
      <w:r w:rsidRPr="003E746B">
        <w:t xml:space="preserve">is calculated by dividing the </w:t>
      </w:r>
      <w:r>
        <w:t xml:space="preserve">EBITDA </w:t>
      </w:r>
      <w:r w:rsidRPr="003E746B">
        <w:t xml:space="preserve">for </w:t>
      </w:r>
      <w:r>
        <w:t xml:space="preserve">fiscal </w:t>
      </w:r>
      <w:r w:rsidRPr="003E746B">
        <w:t xml:space="preserve">2025 by the </w:t>
      </w:r>
      <w:r>
        <w:t>EBITDA</w:t>
      </w:r>
      <w:r w:rsidRPr="003E746B">
        <w:t xml:space="preserve"> </w:t>
      </w:r>
      <w:r>
        <w:t>for fiscal 202</w:t>
      </w:r>
      <w:r w:rsidR="00C23FA1">
        <w:t>3</w:t>
      </w:r>
      <w:r w:rsidRPr="003E746B">
        <w:t xml:space="preserve">, raising it to the power of one divided by the number of compounding periods i.e. </w:t>
      </w:r>
      <w:r w:rsidR="00C23FA1">
        <w:t>2</w:t>
      </w:r>
      <w:r w:rsidRPr="003E746B">
        <w:t xml:space="preserve"> years, and subtracting by one,</w:t>
      </w:r>
      <w:r>
        <w:t xml:space="preserve"> while for EIL, MECL and MECON, it </w:t>
      </w:r>
      <w:r w:rsidRPr="003E746B">
        <w:t>is calculated by dividing the</w:t>
      </w:r>
      <w:r>
        <w:t xml:space="preserve"> EBITDA </w:t>
      </w:r>
      <w:r w:rsidRPr="003E746B">
        <w:t xml:space="preserve">for </w:t>
      </w:r>
      <w:r>
        <w:t xml:space="preserve">fiscal </w:t>
      </w:r>
      <w:r w:rsidRPr="003E746B">
        <w:t>202</w:t>
      </w:r>
      <w:r>
        <w:t>4</w:t>
      </w:r>
      <w:r w:rsidRPr="003E746B">
        <w:t xml:space="preserve"> by the </w:t>
      </w:r>
      <w:r>
        <w:t>EBITDA</w:t>
      </w:r>
      <w:r w:rsidRPr="003E746B">
        <w:t xml:space="preserve"> </w:t>
      </w:r>
      <w:r>
        <w:t>for fiscal 202</w:t>
      </w:r>
      <w:r w:rsidR="00C23FA1">
        <w:t>3</w:t>
      </w:r>
      <w:r w:rsidRPr="003E746B">
        <w:t xml:space="preserve">, raising it to the power of one divided by the number of compounding periods i.e. </w:t>
      </w:r>
      <w:r w:rsidR="00C23FA1">
        <w:t>1</w:t>
      </w:r>
      <w:r w:rsidRPr="003E746B">
        <w:t xml:space="preserve"> years, and subtracting by one</w:t>
      </w:r>
    </w:p>
  </w:footnote>
  <w:footnote w:id="65">
    <w:p w14:paraId="78E21C92" w14:textId="033B4019" w:rsidR="002D7136" w:rsidRDefault="002D7136">
      <w:pPr>
        <w:pStyle w:val="FootnoteText"/>
      </w:pPr>
      <w:r>
        <w:rPr>
          <w:rStyle w:val="FootnoteReference"/>
        </w:rPr>
        <w:footnoteRef/>
      </w:r>
      <w:r>
        <w:t xml:space="preserve"> </w:t>
      </w:r>
      <w:r w:rsidR="004A4B0A" w:rsidRPr="000A7C33">
        <w:t>EBIDTA Margin (%) is calculated as EBITDA divided by Total Income</w:t>
      </w:r>
      <w:r w:rsidR="004A4B0A">
        <w:t xml:space="preserve"> </w:t>
      </w:r>
      <w:r w:rsidR="004A4B0A" w:rsidRPr="00164B30">
        <w:t>Total Income comprises Revenue from Operations and Other Income.</w:t>
      </w:r>
    </w:p>
  </w:footnote>
  <w:footnote w:id="66">
    <w:p w14:paraId="25DDDE48" w14:textId="5C5B55CB" w:rsidR="008E1A5A" w:rsidRDefault="008E1A5A">
      <w:pPr>
        <w:pStyle w:val="FootnoteText"/>
      </w:pPr>
      <w:r>
        <w:rPr>
          <w:rStyle w:val="FootnoteReference"/>
        </w:rPr>
        <w:footnoteRef/>
      </w:r>
      <w:r>
        <w:t xml:space="preserve"> </w:t>
      </w:r>
      <w:r w:rsidR="00C01B3F" w:rsidRPr="00635426">
        <w:t>Profit after tax (PAT) means profit / (loss) for the period/financial year as appearing in the Financial Information</w:t>
      </w:r>
      <w:r w:rsidR="00C01B3F">
        <w:t xml:space="preserve"> of the companies</w:t>
      </w:r>
    </w:p>
  </w:footnote>
  <w:footnote w:id="67">
    <w:p w14:paraId="37809DB2" w14:textId="666D35E2" w:rsidR="0098380A" w:rsidRDefault="0098380A">
      <w:pPr>
        <w:pStyle w:val="FootnoteText"/>
      </w:pPr>
      <w:r>
        <w:rPr>
          <w:rStyle w:val="FootnoteReference"/>
        </w:rPr>
        <w:footnoteRef/>
      </w:r>
      <w:r>
        <w:t xml:space="preserve"> </w:t>
      </w:r>
      <w:r w:rsidR="00D609E2" w:rsidRPr="003971FF">
        <w:t xml:space="preserve">PAT margin </w:t>
      </w:r>
      <w:r w:rsidR="00D609E2" w:rsidRPr="000A7C33">
        <w:t xml:space="preserve">(%) is calculated as </w:t>
      </w:r>
      <w:r w:rsidR="00D609E2">
        <w:t>PAT</w:t>
      </w:r>
      <w:r w:rsidR="00D609E2" w:rsidRPr="000A7C33">
        <w:t xml:space="preserve"> divided by Total Income</w:t>
      </w:r>
    </w:p>
  </w:footnote>
  <w:footnote w:id="68">
    <w:p w14:paraId="5FB153D3" w14:textId="08BBE18C" w:rsidR="00390563" w:rsidRDefault="00390563">
      <w:pPr>
        <w:pStyle w:val="FootnoteText"/>
      </w:pPr>
      <w:r>
        <w:rPr>
          <w:rStyle w:val="FootnoteReference"/>
        </w:rPr>
        <w:footnoteRef/>
      </w:r>
      <w:r>
        <w:t xml:space="preserve"> </w:t>
      </w:r>
      <w:r w:rsidR="00E02C2E" w:rsidRPr="007370BA">
        <w:t xml:space="preserve">Return on </w:t>
      </w:r>
      <w:r w:rsidR="00E02C2E">
        <w:t>E</w:t>
      </w:r>
      <w:r w:rsidR="00E02C2E" w:rsidRPr="007370BA">
        <w:t>quity (R</w:t>
      </w:r>
      <w:r w:rsidR="00E02C2E">
        <w:t>OA</w:t>
      </w:r>
      <w:r w:rsidR="00E02C2E" w:rsidRPr="007370BA">
        <w:t xml:space="preserve">E) (%) refers to </w:t>
      </w:r>
      <w:r w:rsidR="00E02C2E">
        <w:t>P</w:t>
      </w:r>
      <w:r w:rsidR="00E02C2E" w:rsidRPr="007370BA">
        <w:t xml:space="preserve">rofit after tax divided by </w:t>
      </w:r>
      <w:r w:rsidR="00E02C2E">
        <w:t>A</w:t>
      </w:r>
      <w:r w:rsidR="00E02C2E" w:rsidRPr="007370BA">
        <w:t>verage total equity for the year/period. Average total equity is the sum of opening and closing total equity divided by two.</w:t>
      </w:r>
    </w:p>
  </w:footnote>
  <w:footnote w:id="69">
    <w:p w14:paraId="389723D5" w14:textId="7FF870D5" w:rsidR="006E5098" w:rsidRDefault="006E5098">
      <w:pPr>
        <w:pStyle w:val="FootnoteText"/>
      </w:pPr>
      <w:r>
        <w:rPr>
          <w:rStyle w:val="FootnoteReference"/>
        </w:rPr>
        <w:footnoteRef/>
      </w:r>
      <w:r>
        <w:t xml:space="preserve"> </w:t>
      </w:r>
      <w:r w:rsidR="00F31701">
        <w:t>Return on Capital Average Employed (RoACE) is calculated by dividing EBIT by Average capital employed (from the balance sheet),and then multiplying by 100. EBIT refers to Earnings Before Interest and Taxes. Capital Employed is the sum of Paid-up Share Capital, Other Equity and Non-Current Borrowings. Average Capital Employed is the simple average of the opening and closing Capital Employed figures.</w:t>
      </w:r>
    </w:p>
  </w:footnote>
  <w:footnote w:id="70">
    <w:p w14:paraId="21A11858" w14:textId="773B7EBC" w:rsidR="00000F84" w:rsidRDefault="00000F84">
      <w:pPr>
        <w:pStyle w:val="FootnoteText"/>
      </w:pPr>
      <w:r>
        <w:rPr>
          <w:rStyle w:val="FootnoteReference"/>
        </w:rPr>
        <w:footnoteRef/>
      </w:r>
      <w:r>
        <w:t xml:space="preserve"> </w:t>
      </w:r>
      <w:r w:rsidR="006769CC" w:rsidRPr="003F2951">
        <w:t>Employee Benefit Expenses</w:t>
      </w:r>
      <w:r w:rsidR="006769CC">
        <w:t xml:space="preserve"> per </w:t>
      </w:r>
      <w:r w:rsidR="006769CC" w:rsidRPr="003F2951">
        <w:t>Revenues refers Employee Benefit Expenses divided by Revenue f</w:t>
      </w:r>
      <w:r w:rsidR="006769CC">
        <w:t>ro</w:t>
      </w:r>
      <w:r w:rsidR="006769CC" w:rsidRPr="003F2951">
        <w:t xml:space="preserve">m </w:t>
      </w:r>
      <w:r w:rsidR="006769CC">
        <w:t>O</w:t>
      </w:r>
      <w:r w:rsidR="006769CC" w:rsidRPr="003F2951">
        <w:t>peration</w:t>
      </w:r>
      <w:r w:rsidR="006769CC">
        <w:t>s</w:t>
      </w:r>
    </w:p>
  </w:footnote>
  <w:footnote w:id="71">
    <w:p w14:paraId="5E6B2E01" w14:textId="5E59517A" w:rsidR="00FB0FBF" w:rsidRDefault="00FB0FBF">
      <w:pPr>
        <w:pStyle w:val="FootnoteText"/>
      </w:pPr>
      <w:r>
        <w:rPr>
          <w:rStyle w:val="FootnoteReference"/>
        </w:rPr>
        <w:footnoteRef/>
      </w:r>
      <w:r>
        <w:t xml:space="preserve"> </w:t>
      </w:r>
      <w:r w:rsidR="004B47B8" w:rsidRPr="0012208B">
        <w:t>PAT</w:t>
      </w:r>
      <w:r w:rsidR="004B47B8">
        <w:t xml:space="preserve"> per </w:t>
      </w:r>
      <w:r w:rsidR="004B47B8" w:rsidRPr="0012208B">
        <w:t>Employe</w:t>
      </w:r>
      <w:r w:rsidR="004B47B8">
        <w:t>e</w:t>
      </w:r>
      <w:r w:rsidR="004B47B8" w:rsidRPr="0012208B">
        <w:t xml:space="preserve"> Expenses refers </w:t>
      </w:r>
      <w:r w:rsidR="004B47B8">
        <w:t>P</w:t>
      </w:r>
      <w:r w:rsidR="004B47B8" w:rsidRPr="0012208B">
        <w:t>rofit after tax divided by Employe</w:t>
      </w:r>
      <w:r w:rsidR="004B47B8">
        <w:t>e</w:t>
      </w:r>
      <w:r w:rsidR="004B47B8" w:rsidRPr="0012208B">
        <w:t xml:space="preserve"> Expenses</w:t>
      </w:r>
    </w:p>
  </w:footnote>
  <w:footnote w:id="72">
    <w:p w14:paraId="0A28A317" w14:textId="638DFD2C" w:rsidR="00277117" w:rsidRDefault="00277117">
      <w:pPr>
        <w:pStyle w:val="FootnoteText"/>
      </w:pPr>
      <w:r>
        <w:rPr>
          <w:rStyle w:val="FootnoteReference"/>
        </w:rPr>
        <w:footnoteRef/>
      </w:r>
      <w:r>
        <w:t xml:space="preserve"> </w:t>
      </w:r>
      <w:r w:rsidR="00974E60">
        <w:t>A</w:t>
      </w:r>
      <w:r w:rsidR="00974E60" w:rsidRPr="00F96EE0">
        <w:t xml:space="preserve">sset </w:t>
      </w:r>
      <w:r w:rsidR="00974E60">
        <w:t>T</w:t>
      </w:r>
      <w:r w:rsidR="00974E60" w:rsidRPr="00F96EE0">
        <w:t xml:space="preserve">urnover </w:t>
      </w:r>
      <w:r w:rsidR="00974E60">
        <w:t>R</w:t>
      </w:r>
      <w:r w:rsidR="00974E60" w:rsidRPr="00F96EE0">
        <w:t>atio (%) is calculated by Total Income divided by Average Total Assets</w:t>
      </w:r>
    </w:p>
  </w:footnote>
  <w:footnote w:id="73">
    <w:p w14:paraId="4D74F140" w14:textId="2BCFB24B" w:rsidR="00160C77" w:rsidRDefault="00160C77">
      <w:pPr>
        <w:pStyle w:val="FootnoteText"/>
      </w:pPr>
      <w:r>
        <w:rPr>
          <w:rStyle w:val="FootnoteReference"/>
        </w:rPr>
        <w:footnoteRef/>
      </w:r>
      <w:r>
        <w:t xml:space="preserve"> </w:t>
      </w:r>
      <w:r w:rsidR="00BD3427" w:rsidRPr="00BA347D">
        <w:t xml:space="preserve">Net </w:t>
      </w:r>
      <w:r w:rsidR="00BD3427">
        <w:t>A</w:t>
      </w:r>
      <w:r w:rsidR="00BD3427" w:rsidRPr="00BA347D">
        <w:t>sset value per Equity Share refers to Net worth as attributable to owners of the Company at the end of the period divided by number of equity shares outstanding at the end of the period</w:t>
      </w:r>
    </w:p>
  </w:footnote>
  <w:footnote w:id="74">
    <w:p w14:paraId="7566BA2E" w14:textId="790DAA44" w:rsidR="00281190" w:rsidRDefault="00281190">
      <w:pPr>
        <w:pStyle w:val="FootnoteText"/>
      </w:pPr>
      <w:r>
        <w:rPr>
          <w:rStyle w:val="FootnoteReference"/>
        </w:rPr>
        <w:footnoteRef/>
      </w:r>
      <w:r>
        <w:t xml:space="preserve"> </w:t>
      </w:r>
      <w:r w:rsidR="00847922">
        <w:t xml:space="preserve">Revenue per Employee is calculated as Revenue from </w:t>
      </w:r>
      <w:r w:rsidR="009A799B">
        <w:t>o</w:t>
      </w:r>
      <w:r w:rsidR="00847922">
        <w:t>perations divided by Number of Employees during the fiscal year/period</w:t>
      </w:r>
    </w:p>
  </w:footnote>
  <w:footnote w:id="75">
    <w:p w14:paraId="6B8FA65F" w14:textId="29FBE6BC" w:rsidR="00BA5D01" w:rsidRDefault="00BA5D01">
      <w:pPr>
        <w:pStyle w:val="FootnoteText"/>
      </w:pPr>
      <w:r>
        <w:rPr>
          <w:rStyle w:val="FootnoteReference"/>
        </w:rPr>
        <w:footnoteRef/>
      </w:r>
      <w:r>
        <w:t xml:space="preserve"> </w:t>
      </w:r>
      <w:r w:rsidR="009B68E1">
        <w:t>PAT per Employee is calculated as Profit after tax divided by Number of Employees during the fiscal year/period</w:t>
      </w:r>
    </w:p>
  </w:footnote>
  <w:footnote w:id="76">
    <w:p w14:paraId="750064EC" w14:textId="77777777" w:rsidR="00A92298" w:rsidRPr="00AB2F3F" w:rsidRDefault="00A92298" w:rsidP="00A92298">
      <w:pPr>
        <w:pStyle w:val="FootnoteText"/>
        <w:rPr>
          <w:lang w:val="en-IN"/>
        </w:rPr>
      </w:pPr>
      <w:r>
        <w:rPr>
          <w:rStyle w:val="FootnoteReference"/>
        </w:rPr>
        <w:footnoteRef/>
      </w:r>
      <w:r>
        <w:t xml:space="preserve"> </w:t>
      </w:r>
      <w:r>
        <w:rPr>
          <w:lang w:val="en-IN"/>
        </w:rPr>
        <w:t>CMPDIL Annual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222FD8"/>
    <w:lvl w:ilvl="0">
      <w:start w:val="1"/>
      <w:numFmt w:val="bullet"/>
      <w:pStyle w:val="ListBullet"/>
      <w:lvlText w:val=""/>
      <w:lvlJc w:val="left"/>
      <w:pPr>
        <w:tabs>
          <w:tab w:val="num" w:pos="360"/>
        </w:tabs>
        <w:ind w:left="360" w:hanging="360"/>
      </w:pPr>
      <w:rPr>
        <w:rFonts w:ascii="Wingdings" w:hAnsi="Wingdings" w:hint="default"/>
        <w:color w:val="008080"/>
        <w:effect w:val="none"/>
      </w:rPr>
    </w:lvl>
  </w:abstractNum>
  <w:abstractNum w:abstractNumId="1" w15:restartNumberingAfterBreak="0">
    <w:nsid w:val="02B623AB"/>
    <w:multiLevelType w:val="hybridMultilevel"/>
    <w:tmpl w:val="146E00D4"/>
    <w:lvl w:ilvl="0" w:tplc="9BBE3642">
      <w:start w:val="1"/>
      <w:numFmt w:val="bullet"/>
      <w:pStyle w:val="bullet3"/>
      <w:lvlText w:val="o"/>
      <w:lvlJc w:val="left"/>
      <w:pPr>
        <w:ind w:left="6011" w:hanging="360"/>
      </w:pPr>
      <w:rPr>
        <w:rFonts w:ascii="Courier New" w:hAnsi="Courier New" w:cs="Courier New" w:hint="default"/>
      </w:rPr>
    </w:lvl>
    <w:lvl w:ilvl="1" w:tplc="04090003" w:tentative="1">
      <w:start w:val="1"/>
      <w:numFmt w:val="bullet"/>
      <w:lvlText w:val="o"/>
      <w:lvlJc w:val="left"/>
      <w:pPr>
        <w:ind w:left="6731" w:hanging="360"/>
      </w:pPr>
      <w:rPr>
        <w:rFonts w:ascii="Courier New" w:hAnsi="Courier New" w:cs="Courier New" w:hint="default"/>
      </w:rPr>
    </w:lvl>
    <w:lvl w:ilvl="2" w:tplc="04090005" w:tentative="1">
      <w:start w:val="1"/>
      <w:numFmt w:val="bullet"/>
      <w:lvlText w:val=""/>
      <w:lvlJc w:val="left"/>
      <w:pPr>
        <w:ind w:left="7451" w:hanging="360"/>
      </w:pPr>
      <w:rPr>
        <w:rFonts w:ascii="Wingdings" w:hAnsi="Wingdings" w:hint="default"/>
      </w:rPr>
    </w:lvl>
    <w:lvl w:ilvl="3" w:tplc="04090001" w:tentative="1">
      <w:start w:val="1"/>
      <w:numFmt w:val="bullet"/>
      <w:lvlText w:val=""/>
      <w:lvlJc w:val="left"/>
      <w:pPr>
        <w:ind w:left="8171" w:hanging="360"/>
      </w:pPr>
      <w:rPr>
        <w:rFonts w:ascii="Symbol" w:hAnsi="Symbol" w:hint="default"/>
      </w:rPr>
    </w:lvl>
    <w:lvl w:ilvl="4" w:tplc="04090003" w:tentative="1">
      <w:start w:val="1"/>
      <w:numFmt w:val="bullet"/>
      <w:lvlText w:val="o"/>
      <w:lvlJc w:val="left"/>
      <w:pPr>
        <w:ind w:left="8891" w:hanging="360"/>
      </w:pPr>
      <w:rPr>
        <w:rFonts w:ascii="Courier New" w:hAnsi="Courier New" w:cs="Courier New" w:hint="default"/>
      </w:rPr>
    </w:lvl>
    <w:lvl w:ilvl="5" w:tplc="04090005" w:tentative="1">
      <w:start w:val="1"/>
      <w:numFmt w:val="bullet"/>
      <w:lvlText w:val=""/>
      <w:lvlJc w:val="left"/>
      <w:pPr>
        <w:ind w:left="9611" w:hanging="360"/>
      </w:pPr>
      <w:rPr>
        <w:rFonts w:ascii="Wingdings" w:hAnsi="Wingdings" w:hint="default"/>
      </w:rPr>
    </w:lvl>
    <w:lvl w:ilvl="6" w:tplc="04090001" w:tentative="1">
      <w:start w:val="1"/>
      <w:numFmt w:val="bullet"/>
      <w:lvlText w:val=""/>
      <w:lvlJc w:val="left"/>
      <w:pPr>
        <w:ind w:left="10331" w:hanging="360"/>
      </w:pPr>
      <w:rPr>
        <w:rFonts w:ascii="Symbol" w:hAnsi="Symbol" w:hint="default"/>
      </w:rPr>
    </w:lvl>
    <w:lvl w:ilvl="7" w:tplc="04090003" w:tentative="1">
      <w:start w:val="1"/>
      <w:numFmt w:val="bullet"/>
      <w:lvlText w:val="o"/>
      <w:lvlJc w:val="left"/>
      <w:pPr>
        <w:ind w:left="11051" w:hanging="360"/>
      </w:pPr>
      <w:rPr>
        <w:rFonts w:ascii="Courier New" w:hAnsi="Courier New" w:cs="Courier New" w:hint="default"/>
      </w:rPr>
    </w:lvl>
    <w:lvl w:ilvl="8" w:tplc="04090005" w:tentative="1">
      <w:start w:val="1"/>
      <w:numFmt w:val="bullet"/>
      <w:lvlText w:val=""/>
      <w:lvlJc w:val="left"/>
      <w:pPr>
        <w:ind w:left="11771" w:hanging="360"/>
      </w:pPr>
      <w:rPr>
        <w:rFonts w:ascii="Wingdings" w:hAnsi="Wingdings" w:hint="default"/>
      </w:rPr>
    </w:lvl>
  </w:abstractNum>
  <w:abstractNum w:abstractNumId="2" w15:restartNumberingAfterBreak="0">
    <w:nsid w:val="046D6B79"/>
    <w:multiLevelType w:val="hybridMultilevel"/>
    <w:tmpl w:val="7E8A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F410F"/>
    <w:multiLevelType w:val="multilevel"/>
    <w:tmpl w:val="881C1A5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7020763"/>
    <w:multiLevelType w:val="hybridMultilevel"/>
    <w:tmpl w:val="46221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85744"/>
    <w:multiLevelType w:val="multilevel"/>
    <w:tmpl w:val="3F203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2D4774"/>
    <w:multiLevelType w:val="hybridMultilevel"/>
    <w:tmpl w:val="2B7456C4"/>
    <w:lvl w:ilvl="0" w:tplc="31AE5DCE">
      <w:start w:val="1"/>
      <w:numFmt w:val="bullet"/>
      <w:pStyle w:val="Bul4"/>
      <w:lvlText w:val=""/>
      <w:lvlJc w:val="left"/>
      <w:pPr>
        <w:ind w:left="1854" w:hanging="360"/>
      </w:pPr>
      <w:rPr>
        <w:rFonts w:ascii="Wingdings" w:hAnsi="Wingdings" w:hint="default"/>
        <w:sz w:val="12"/>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7" w15:restartNumberingAfterBreak="0">
    <w:nsid w:val="095079C1"/>
    <w:multiLevelType w:val="hybridMultilevel"/>
    <w:tmpl w:val="564E8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E884C92">
      <w:start w:val="1"/>
      <w:numFmt w:val="bullet"/>
      <w:pStyle w:val="BulletText1"/>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A75E7"/>
    <w:multiLevelType w:val="hybridMultilevel"/>
    <w:tmpl w:val="2C5872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913A01"/>
    <w:multiLevelType w:val="hybridMultilevel"/>
    <w:tmpl w:val="181A2336"/>
    <w:lvl w:ilvl="0" w:tplc="4314D196">
      <w:start w:val="1"/>
      <w:numFmt w:val="bullet"/>
      <w:pStyle w:val="Bul2"/>
      <w:lvlText w:val="–"/>
      <w:lvlJc w:val="left"/>
      <w:pPr>
        <w:ind w:left="720" w:hanging="360"/>
      </w:pPr>
      <w:rPr>
        <w:rFonts w:ascii="Arial" w:hAnsi="Arial" w:hint="default"/>
        <w:color w:val="000000" w:themeColor="text1"/>
        <w:sz w:val="20"/>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FD5F09"/>
    <w:multiLevelType w:val="hybridMultilevel"/>
    <w:tmpl w:val="2C587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AC39A9"/>
    <w:multiLevelType w:val="hybridMultilevel"/>
    <w:tmpl w:val="71E279F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5E631C"/>
    <w:multiLevelType w:val="hybridMultilevel"/>
    <w:tmpl w:val="F1DC43BE"/>
    <w:lvl w:ilvl="0" w:tplc="04090013">
      <w:start w:val="1"/>
      <w:numFmt w:val="upperRoman"/>
      <w:lvlText w:val="%1."/>
      <w:lvlJc w:val="righ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1D73EF"/>
    <w:multiLevelType w:val="hybridMultilevel"/>
    <w:tmpl w:val="E0A6C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C5128"/>
    <w:multiLevelType w:val="hybridMultilevel"/>
    <w:tmpl w:val="E79CC7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40D90"/>
    <w:multiLevelType w:val="hybridMultilevel"/>
    <w:tmpl w:val="0F3A6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A53C36"/>
    <w:multiLevelType w:val="hybridMultilevel"/>
    <w:tmpl w:val="CC70A264"/>
    <w:lvl w:ilvl="0" w:tplc="FFFFFFF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7" w15:restartNumberingAfterBreak="0">
    <w:nsid w:val="2F46542C"/>
    <w:multiLevelType w:val="hybridMultilevel"/>
    <w:tmpl w:val="33AE23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48203B"/>
    <w:multiLevelType w:val="multilevel"/>
    <w:tmpl w:val="881C1A5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F5F0CD6"/>
    <w:multiLevelType w:val="hybridMultilevel"/>
    <w:tmpl w:val="3596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A311E"/>
    <w:multiLevelType w:val="hybridMultilevel"/>
    <w:tmpl w:val="ECEA4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266E6"/>
    <w:multiLevelType w:val="hybridMultilevel"/>
    <w:tmpl w:val="81867252"/>
    <w:lvl w:ilvl="0" w:tplc="43766C08">
      <w:start w:val="1"/>
      <w:numFmt w:val="bullet"/>
      <w:lvlText w:val="•"/>
      <w:lvlJc w:val="left"/>
      <w:pPr>
        <w:tabs>
          <w:tab w:val="num" w:pos="360"/>
        </w:tabs>
        <w:ind w:left="360" w:hanging="360"/>
      </w:pPr>
      <w:rPr>
        <w:rFonts w:ascii="Arial" w:hAnsi="Arial" w:hint="default"/>
      </w:rPr>
    </w:lvl>
    <w:lvl w:ilvl="1" w:tplc="0E22850A" w:tentative="1">
      <w:start w:val="1"/>
      <w:numFmt w:val="bullet"/>
      <w:lvlText w:val="•"/>
      <w:lvlJc w:val="left"/>
      <w:pPr>
        <w:tabs>
          <w:tab w:val="num" w:pos="1080"/>
        </w:tabs>
        <w:ind w:left="1080" w:hanging="360"/>
      </w:pPr>
      <w:rPr>
        <w:rFonts w:ascii="Arial" w:hAnsi="Arial" w:hint="default"/>
      </w:rPr>
    </w:lvl>
    <w:lvl w:ilvl="2" w:tplc="545A82C4" w:tentative="1">
      <w:start w:val="1"/>
      <w:numFmt w:val="bullet"/>
      <w:lvlText w:val="•"/>
      <w:lvlJc w:val="left"/>
      <w:pPr>
        <w:tabs>
          <w:tab w:val="num" w:pos="1800"/>
        </w:tabs>
        <w:ind w:left="1800" w:hanging="360"/>
      </w:pPr>
      <w:rPr>
        <w:rFonts w:ascii="Arial" w:hAnsi="Arial" w:hint="default"/>
      </w:rPr>
    </w:lvl>
    <w:lvl w:ilvl="3" w:tplc="1D349FA0" w:tentative="1">
      <w:start w:val="1"/>
      <w:numFmt w:val="bullet"/>
      <w:lvlText w:val="•"/>
      <w:lvlJc w:val="left"/>
      <w:pPr>
        <w:tabs>
          <w:tab w:val="num" w:pos="2520"/>
        </w:tabs>
        <w:ind w:left="2520" w:hanging="360"/>
      </w:pPr>
      <w:rPr>
        <w:rFonts w:ascii="Arial" w:hAnsi="Arial" w:hint="default"/>
      </w:rPr>
    </w:lvl>
    <w:lvl w:ilvl="4" w:tplc="349476CA" w:tentative="1">
      <w:start w:val="1"/>
      <w:numFmt w:val="bullet"/>
      <w:lvlText w:val="•"/>
      <w:lvlJc w:val="left"/>
      <w:pPr>
        <w:tabs>
          <w:tab w:val="num" w:pos="3240"/>
        </w:tabs>
        <w:ind w:left="3240" w:hanging="360"/>
      </w:pPr>
      <w:rPr>
        <w:rFonts w:ascii="Arial" w:hAnsi="Arial" w:hint="default"/>
      </w:rPr>
    </w:lvl>
    <w:lvl w:ilvl="5" w:tplc="A4C6C9BE" w:tentative="1">
      <w:start w:val="1"/>
      <w:numFmt w:val="bullet"/>
      <w:lvlText w:val="•"/>
      <w:lvlJc w:val="left"/>
      <w:pPr>
        <w:tabs>
          <w:tab w:val="num" w:pos="3960"/>
        </w:tabs>
        <w:ind w:left="3960" w:hanging="360"/>
      </w:pPr>
      <w:rPr>
        <w:rFonts w:ascii="Arial" w:hAnsi="Arial" w:hint="default"/>
      </w:rPr>
    </w:lvl>
    <w:lvl w:ilvl="6" w:tplc="226E2646" w:tentative="1">
      <w:start w:val="1"/>
      <w:numFmt w:val="bullet"/>
      <w:lvlText w:val="•"/>
      <w:lvlJc w:val="left"/>
      <w:pPr>
        <w:tabs>
          <w:tab w:val="num" w:pos="4680"/>
        </w:tabs>
        <w:ind w:left="4680" w:hanging="360"/>
      </w:pPr>
      <w:rPr>
        <w:rFonts w:ascii="Arial" w:hAnsi="Arial" w:hint="default"/>
      </w:rPr>
    </w:lvl>
    <w:lvl w:ilvl="7" w:tplc="AD481F66" w:tentative="1">
      <w:start w:val="1"/>
      <w:numFmt w:val="bullet"/>
      <w:lvlText w:val="•"/>
      <w:lvlJc w:val="left"/>
      <w:pPr>
        <w:tabs>
          <w:tab w:val="num" w:pos="5400"/>
        </w:tabs>
        <w:ind w:left="5400" w:hanging="360"/>
      </w:pPr>
      <w:rPr>
        <w:rFonts w:ascii="Arial" w:hAnsi="Arial" w:hint="default"/>
      </w:rPr>
    </w:lvl>
    <w:lvl w:ilvl="8" w:tplc="157C92B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3EF2872"/>
    <w:multiLevelType w:val="hybridMultilevel"/>
    <w:tmpl w:val="E36888BE"/>
    <w:lvl w:ilvl="0" w:tplc="40090001">
      <w:start w:val="1"/>
      <w:numFmt w:val="bullet"/>
      <w:lvlText w:val=""/>
      <w:lvlJc w:val="left"/>
      <w:pPr>
        <w:ind w:left="1800" w:hanging="360"/>
      </w:pPr>
      <w:rPr>
        <w:rFonts w:ascii="Symbol" w:hAnsi="Symbol" w:hint="default"/>
      </w:rPr>
    </w:lvl>
    <w:lvl w:ilvl="1" w:tplc="87E2608A">
      <w:start w:val="1"/>
      <w:numFmt w:val="bullet"/>
      <w:pStyle w:val="bul20"/>
      <w:lvlText w:val="‒"/>
      <w:lvlJc w:val="left"/>
      <w:pPr>
        <w:ind w:left="2520" w:hanging="360"/>
      </w:pPr>
      <w:rPr>
        <w:rFonts w:ascii="Arial" w:hAnsi="Arial"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15:restartNumberingAfterBreak="0">
    <w:nsid w:val="37660D80"/>
    <w:multiLevelType w:val="hybridMultilevel"/>
    <w:tmpl w:val="C116FF7A"/>
    <w:lvl w:ilvl="0" w:tplc="0409001B">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7D51274"/>
    <w:multiLevelType w:val="multilevel"/>
    <w:tmpl w:val="270C3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027205"/>
    <w:multiLevelType w:val="hybridMultilevel"/>
    <w:tmpl w:val="11F42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1E0E74"/>
    <w:multiLevelType w:val="hybridMultilevel"/>
    <w:tmpl w:val="D2301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1E3515"/>
    <w:multiLevelType w:val="hybridMultilevel"/>
    <w:tmpl w:val="2FD0B61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885333"/>
    <w:multiLevelType w:val="hybridMultilevel"/>
    <w:tmpl w:val="39782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F71841"/>
    <w:multiLevelType w:val="hybridMultilevel"/>
    <w:tmpl w:val="F35CB56E"/>
    <w:lvl w:ilvl="0" w:tplc="04090011">
      <w:start w:val="1"/>
      <w:numFmt w:val="decimal"/>
      <w:lvlText w:val="%1)"/>
      <w:lvlJc w:val="left"/>
      <w:pPr>
        <w:ind w:left="720" w:hanging="360"/>
      </w:pPr>
      <w:rPr>
        <w:rFonts w:hint="default"/>
      </w:rPr>
    </w:lvl>
    <w:lvl w:ilvl="1" w:tplc="0409001B">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68D4879"/>
    <w:multiLevelType w:val="multilevel"/>
    <w:tmpl w:val="51F237E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76F2598"/>
    <w:multiLevelType w:val="hybridMultilevel"/>
    <w:tmpl w:val="6CB612DE"/>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A2D6227"/>
    <w:multiLevelType w:val="hybridMultilevel"/>
    <w:tmpl w:val="2C5872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B280676"/>
    <w:multiLevelType w:val="hybridMultilevel"/>
    <w:tmpl w:val="F7889FB2"/>
    <w:lvl w:ilvl="0" w:tplc="E3967EF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7B21A2"/>
    <w:multiLevelType w:val="hybridMultilevel"/>
    <w:tmpl w:val="0CBCEB9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0BC0C2E"/>
    <w:multiLevelType w:val="hybridMultilevel"/>
    <w:tmpl w:val="06E8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C265B9"/>
    <w:multiLevelType w:val="hybridMultilevel"/>
    <w:tmpl w:val="4D24D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3F7DC8"/>
    <w:multiLevelType w:val="hybridMultilevel"/>
    <w:tmpl w:val="89C48770"/>
    <w:lvl w:ilvl="0" w:tplc="4D7AC54C">
      <w:start w:val="1"/>
      <w:numFmt w:val="bullet"/>
      <w:lvlText w:val="•"/>
      <w:lvlJc w:val="left"/>
      <w:pPr>
        <w:tabs>
          <w:tab w:val="num" w:pos="360"/>
        </w:tabs>
        <w:ind w:left="360" w:hanging="360"/>
      </w:pPr>
      <w:rPr>
        <w:rFonts w:ascii="Arial" w:hAnsi="Arial" w:hint="default"/>
      </w:rPr>
    </w:lvl>
    <w:lvl w:ilvl="1" w:tplc="9AE8421E" w:tentative="1">
      <w:start w:val="1"/>
      <w:numFmt w:val="bullet"/>
      <w:lvlText w:val="•"/>
      <w:lvlJc w:val="left"/>
      <w:pPr>
        <w:tabs>
          <w:tab w:val="num" w:pos="1080"/>
        </w:tabs>
        <w:ind w:left="1080" w:hanging="360"/>
      </w:pPr>
      <w:rPr>
        <w:rFonts w:ascii="Arial" w:hAnsi="Arial" w:hint="default"/>
      </w:rPr>
    </w:lvl>
    <w:lvl w:ilvl="2" w:tplc="FED00728" w:tentative="1">
      <w:start w:val="1"/>
      <w:numFmt w:val="bullet"/>
      <w:lvlText w:val="•"/>
      <w:lvlJc w:val="left"/>
      <w:pPr>
        <w:tabs>
          <w:tab w:val="num" w:pos="1800"/>
        </w:tabs>
        <w:ind w:left="1800" w:hanging="360"/>
      </w:pPr>
      <w:rPr>
        <w:rFonts w:ascii="Arial" w:hAnsi="Arial" w:hint="default"/>
      </w:rPr>
    </w:lvl>
    <w:lvl w:ilvl="3" w:tplc="FEA6D782" w:tentative="1">
      <w:start w:val="1"/>
      <w:numFmt w:val="bullet"/>
      <w:lvlText w:val="•"/>
      <w:lvlJc w:val="left"/>
      <w:pPr>
        <w:tabs>
          <w:tab w:val="num" w:pos="2520"/>
        </w:tabs>
        <w:ind w:left="2520" w:hanging="360"/>
      </w:pPr>
      <w:rPr>
        <w:rFonts w:ascii="Arial" w:hAnsi="Arial" w:hint="default"/>
      </w:rPr>
    </w:lvl>
    <w:lvl w:ilvl="4" w:tplc="4FEC6EAE" w:tentative="1">
      <w:start w:val="1"/>
      <w:numFmt w:val="bullet"/>
      <w:lvlText w:val="•"/>
      <w:lvlJc w:val="left"/>
      <w:pPr>
        <w:tabs>
          <w:tab w:val="num" w:pos="3240"/>
        </w:tabs>
        <w:ind w:left="3240" w:hanging="360"/>
      </w:pPr>
      <w:rPr>
        <w:rFonts w:ascii="Arial" w:hAnsi="Arial" w:hint="default"/>
      </w:rPr>
    </w:lvl>
    <w:lvl w:ilvl="5" w:tplc="69A2F528" w:tentative="1">
      <w:start w:val="1"/>
      <w:numFmt w:val="bullet"/>
      <w:lvlText w:val="•"/>
      <w:lvlJc w:val="left"/>
      <w:pPr>
        <w:tabs>
          <w:tab w:val="num" w:pos="3960"/>
        </w:tabs>
        <w:ind w:left="3960" w:hanging="360"/>
      </w:pPr>
      <w:rPr>
        <w:rFonts w:ascii="Arial" w:hAnsi="Arial" w:hint="default"/>
      </w:rPr>
    </w:lvl>
    <w:lvl w:ilvl="6" w:tplc="B42A6530" w:tentative="1">
      <w:start w:val="1"/>
      <w:numFmt w:val="bullet"/>
      <w:lvlText w:val="•"/>
      <w:lvlJc w:val="left"/>
      <w:pPr>
        <w:tabs>
          <w:tab w:val="num" w:pos="4680"/>
        </w:tabs>
        <w:ind w:left="4680" w:hanging="360"/>
      </w:pPr>
      <w:rPr>
        <w:rFonts w:ascii="Arial" w:hAnsi="Arial" w:hint="default"/>
      </w:rPr>
    </w:lvl>
    <w:lvl w:ilvl="7" w:tplc="5CFA5934" w:tentative="1">
      <w:start w:val="1"/>
      <w:numFmt w:val="bullet"/>
      <w:lvlText w:val="•"/>
      <w:lvlJc w:val="left"/>
      <w:pPr>
        <w:tabs>
          <w:tab w:val="num" w:pos="5400"/>
        </w:tabs>
        <w:ind w:left="5400" w:hanging="360"/>
      </w:pPr>
      <w:rPr>
        <w:rFonts w:ascii="Arial" w:hAnsi="Arial" w:hint="default"/>
      </w:rPr>
    </w:lvl>
    <w:lvl w:ilvl="8" w:tplc="81EE27CE"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540B752D"/>
    <w:multiLevelType w:val="hybridMultilevel"/>
    <w:tmpl w:val="2F90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5B5DD2"/>
    <w:multiLevelType w:val="hybridMultilevel"/>
    <w:tmpl w:val="D480D504"/>
    <w:lvl w:ilvl="0" w:tplc="C1545F3A">
      <w:start w:val="1"/>
      <w:numFmt w:val="bullet"/>
      <w:pStyle w:val="Bul1"/>
      <w:lvlText w:val=""/>
      <w:lvlJc w:val="left"/>
      <w:pPr>
        <w:ind w:left="360" w:hanging="360"/>
      </w:pPr>
      <w:rPr>
        <w:rFonts w:ascii="Symbol" w:hAnsi="Symbol" w:hint="default"/>
        <w:color w:val="auto"/>
        <w:sz w:val="20"/>
        <w:szCs w:val="16"/>
      </w:rPr>
    </w:lvl>
    <w:lvl w:ilvl="1" w:tplc="C7940EBA">
      <w:start w:val="1"/>
      <w:numFmt w:val="bullet"/>
      <w:lvlText w:val="–"/>
      <w:lvlJc w:val="left"/>
      <w:pPr>
        <w:tabs>
          <w:tab w:val="num" w:pos="720"/>
        </w:tabs>
        <w:ind w:left="720" w:hanging="360"/>
      </w:pPr>
      <w:rPr>
        <w:rFonts w:ascii="Arial" w:hAnsi="Arial" w:hint="default"/>
        <w:color w:val="0E2841" w:themeColor="text2"/>
        <w:sz w:val="16"/>
        <w:szCs w:val="16"/>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7B3404A"/>
    <w:multiLevelType w:val="hybridMultilevel"/>
    <w:tmpl w:val="3F143666"/>
    <w:lvl w:ilvl="0" w:tplc="FFFFFFF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41" w15:restartNumberingAfterBreak="0">
    <w:nsid w:val="5AFD6CF7"/>
    <w:multiLevelType w:val="hybridMultilevel"/>
    <w:tmpl w:val="3F143666"/>
    <w:lvl w:ilvl="0" w:tplc="0409000F">
      <w:start w:val="1"/>
      <w:numFmt w:val="decimal"/>
      <w:lvlText w:val="%1."/>
      <w:lvlJc w:val="left"/>
      <w:pPr>
        <w:ind w:left="426" w:hanging="360"/>
      </w:pPr>
      <w:rPr>
        <w:rFonts w:hint="default"/>
      </w:rPr>
    </w:lvl>
    <w:lvl w:ilvl="1" w:tplc="FFFFFFFF">
      <w:start w:val="1"/>
      <w:numFmt w:val="bullet"/>
      <w:lvlText w:val="o"/>
      <w:lvlJc w:val="left"/>
      <w:pPr>
        <w:ind w:left="1146" w:hanging="360"/>
      </w:pPr>
      <w:rPr>
        <w:rFonts w:ascii="Courier New" w:hAnsi="Courier New" w:cs="Courier New" w:hint="default"/>
      </w:rPr>
    </w:lvl>
    <w:lvl w:ilvl="2" w:tplc="FFFFFFFF">
      <w:start w:val="1"/>
      <w:numFmt w:val="bullet"/>
      <w:lvlText w:val=""/>
      <w:lvlJc w:val="left"/>
      <w:pPr>
        <w:ind w:left="1866" w:hanging="360"/>
      </w:pPr>
      <w:rPr>
        <w:rFonts w:ascii="Wingdings" w:hAnsi="Wingdings" w:hint="default"/>
      </w:rPr>
    </w:lvl>
    <w:lvl w:ilvl="3" w:tplc="FFFFFFFF">
      <w:start w:val="1"/>
      <w:numFmt w:val="bullet"/>
      <w:lvlText w:val=""/>
      <w:lvlJc w:val="left"/>
      <w:pPr>
        <w:ind w:left="2586" w:hanging="360"/>
      </w:pPr>
      <w:rPr>
        <w:rFonts w:ascii="Symbol" w:hAnsi="Symbol" w:hint="default"/>
      </w:rPr>
    </w:lvl>
    <w:lvl w:ilvl="4" w:tplc="FFFFFFFF">
      <w:start w:val="1"/>
      <w:numFmt w:val="bullet"/>
      <w:lvlText w:val="o"/>
      <w:lvlJc w:val="left"/>
      <w:pPr>
        <w:ind w:left="3306" w:hanging="360"/>
      </w:pPr>
      <w:rPr>
        <w:rFonts w:ascii="Courier New" w:hAnsi="Courier New" w:cs="Courier New" w:hint="default"/>
      </w:rPr>
    </w:lvl>
    <w:lvl w:ilvl="5" w:tplc="FFFFFFFF">
      <w:start w:val="1"/>
      <w:numFmt w:val="bullet"/>
      <w:lvlText w:val=""/>
      <w:lvlJc w:val="left"/>
      <w:pPr>
        <w:ind w:left="4026" w:hanging="360"/>
      </w:pPr>
      <w:rPr>
        <w:rFonts w:ascii="Wingdings" w:hAnsi="Wingdings" w:hint="default"/>
      </w:rPr>
    </w:lvl>
    <w:lvl w:ilvl="6" w:tplc="FFFFFFFF">
      <w:start w:val="1"/>
      <w:numFmt w:val="bullet"/>
      <w:lvlText w:val=""/>
      <w:lvlJc w:val="left"/>
      <w:pPr>
        <w:ind w:left="4746" w:hanging="360"/>
      </w:pPr>
      <w:rPr>
        <w:rFonts w:ascii="Symbol" w:hAnsi="Symbol" w:hint="default"/>
      </w:rPr>
    </w:lvl>
    <w:lvl w:ilvl="7" w:tplc="FFFFFFFF">
      <w:start w:val="1"/>
      <w:numFmt w:val="bullet"/>
      <w:lvlText w:val="o"/>
      <w:lvlJc w:val="left"/>
      <w:pPr>
        <w:ind w:left="5466" w:hanging="360"/>
      </w:pPr>
      <w:rPr>
        <w:rFonts w:ascii="Courier New" w:hAnsi="Courier New" w:cs="Courier New" w:hint="default"/>
      </w:rPr>
    </w:lvl>
    <w:lvl w:ilvl="8" w:tplc="FFFFFFFF">
      <w:start w:val="1"/>
      <w:numFmt w:val="bullet"/>
      <w:lvlText w:val=""/>
      <w:lvlJc w:val="left"/>
      <w:pPr>
        <w:ind w:left="6186" w:hanging="360"/>
      </w:pPr>
      <w:rPr>
        <w:rFonts w:ascii="Wingdings" w:hAnsi="Wingdings" w:hint="default"/>
      </w:rPr>
    </w:lvl>
  </w:abstractNum>
  <w:abstractNum w:abstractNumId="42" w15:restartNumberingAfterBreak="0">
    <w:nsid w:val="5B047FCC"/>
    <w:multiLevelType w:val="hybridMultilevel"/>
    <w:tmpl w:val="E79CC7B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807703"/>
    <w:multiLevelType w:val="hybridMultilevel"/>
    <w:tmpl w:val="C5BEBEE0"/>
    <w:lvl w:ilvl="0" w:tplc="0409001B">
      <w:start w:val="1"/>
      <w:numFmt w:val="lowerRoman"/>
      <w:lvlText w:val="%1."/>
      <w:lvlJc w:val="right"/>
      <w:pPr>
        <w:ind w:left="1080" w:hanging="360"/>
      </w:pPr>
    </w:lvl>
    <w:lvl w:ilvl="1" w:tplc="FFFFFFFF">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BD129B0"/>
    <w:multiLevelType w:val="hybridMultilevel"/>
    <w:tmpl w:val="5B1EFC3C"/>
    <w:lvl w:ilvl="0" w:tplc="31B2D914">
      <w:start w:val="1"/>
      <w:numFmt w:val="bullet"/>
      <w:pStyle w:val="Bullet02"/>
      <w:lvlText w:val="–"/>
      <w:lvlJc w:val="left"/>
      <w:pPr>
        <w:ind w:left="15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EE0E76"/>
    <w:multiLevelType w:val="multilevel"/>
    <w:tmpl w:val="236A1EE2"/>
    <w:lvl w:ilvl="0">
      <w:start w:val="1"/>
      <w:numFmt w:val="decimal"/>
      <w:pStyle w:val="heading1"/>
      <w:lvlText w:val="%1."/>
      <w:lvlJc w:val="left"/>
      <w:pPr>
        <w:ind w:left="360" w:hanging="360"/>
      </w:pPr>
      <w:rPr>
        <w:rFonts w:hint="default"/>
        <w:i w:val="0"/>
        <w:iCs/>
        <w:sz w:val="36"/>
        <w:szCs w:val="36"/>
      </w:rPr>
    </w:lvl>
    <w:lvl w:ilvl="1">
      <w:start w:val="1"/>
      <w:numFmt w:val="decimal"/>
      <w:pStyle w:val="Heading02"/>
      <w:isLgl/>
      <w:lvlText w:val="%1.%2"/>
      <w:lvlJc w:val="left"/>
      <w:pPr>
        <w:ind w:left="3330" w:hanging="720"/>
      </w:pPr>
      <w:rPr>
        <w:rFonts w:hint="default"/>
        <w:sz w:val="28"/>
        <w:szCs w:val="28"/>
      </w:rPr>
    </w:lvl>
    <w:lvl w:ilvl="2">
      <w:start w:val="1"/>
      <w:numFmt w:val="decimal"/>
      <w:pStyle w:val="Heading3"/>
      <w:isLgl/>
      <w:lvlText w:val="%1.%2.%3"/>
      <w:lvlJc w:val="left"/>
      <w:pPr>
        <w:ind w:left="1778" w:hanging="720"/>
      </w:pPr>
    </w:lvl>
    <w:lvl w:ilvl="3">
      <w:start w:val="1"/>
      <w:numFmt w:val="decimal"/>
      <w:pStyle w:val="Heading4"/>
      <w:isLgl/>
      <w:lvlText w:val="%1.%2.%3.%4"/>
      <w:lvlJc w:val="left"/>
      <w:pPr>
        <w:ind w:left="2487" w:hanging="1080"/>
      </w:pPr>
      <w:rPr>
        <w:rFonts w:hint="default"/>
        <w:b/>
        <w:bCs/>
        <w:sz w:val="20"/>
        <w:szCs w:val="20"/>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6" w15:restartNumberingAfterBreak="0">
    <w:nsid w:val="5D124AC1"/>
    <w:multiLevelType w:val="hybridMultilevel"/>
    <w:tmpl w:val="3C60BE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1B0953"/>
    <w:multiLevelType w:val="hybridMultilevel"/>
    <w:tmpl w:val="AB209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4A3F47"/>
    <w:multiLevelType w:val="hybridMultilevel"/>
    <w:tmpl w:val="86004108"/>
    <w:lvl w:ilvl="0" w:tplc="FFFFFFF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49" w15:restartNumberingAfterBreak="0">
    <w:nsid w:val="64AD0FBC"/>
    <w:multiLevelType w:val="hybridMultilevel"/>
    <w:tmpl w:val="AC9678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7561AC3"/>
    <w:multiLevelType w:val="hybridMultilevel"/>
    <w:tmpl w:val="DDA6A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9A0B04"/>
    <w:multiLevelType w:val="hybridMultilevel"/>
    <w:tmpl w:val="8C96EC5C"/>
    <w:lvl w:ilvl="0" w:tplc="3BB8530E">
      <w:start w:val="1"/>
      <w:numFmt w:val="decimal"/>
      <w:lvlText w:val="%1."/>
      <w:lvlJc w:val="left"/>
      <w:pPr>
        <w:ind w:left="720" w:hanging="360"/>
      </w:pPr>
    </w:lvl>
    <w:lvl w:ilvl="1" w:tplc="CE1C85B6">
      <w:start w:val="1"/>
      <w:numFmt w:val="decimal"/>
      <w:lvlText w:val="%2."/>
      <w:lvlJc w:val="left"/>
      <w:pPr>
        <w:ind w:left="720" w:hanging="360"/>
      </w:pPr>
    </w:lvl>
    <w:lvl w:ilvl="2" w:tplc="09046288">
      <w:start w:val="1"/>
      <w:numFmt w:val="decimal"/>
      <w:lvlText w:val="%3."/>
      <w:lvlJc w:val="left"/>
      <w:pPr>
        <w:ind w:left="720" w:hanging="360"/>
      </w:pPr>
    </w:lvl>
    <w:lvl w:ilvl="3" w:tplc="7B944F44">
      <w:start w:val="1"/>
      <w:numFmt w:val="decimal"/>
      <w:lvlText w:val="%4."/>
      <w:lvlJc w:val="left"/>
      <w:pPr>
        <w:ind w:left="720" w:hanging="360"/>
      </w:pPr>
    </w:lvl>
    <w:lvl w:ilvl="4" w:tplc="50DA142E">
      <w:start w:val="1"/>
      <w:numFmt w:val="decimal"/>
      <w:lvlText w:val="%5."/>
      <w:lvlJc w:val="left"/>
      <w:pPr>
        <w:ind w:left="720" w:hanging="360"/>
      </w:pPr>
    </w:lvl>
    <w:lvl w:ilvl="5" w:tplc="9F423100">
      <w:start w:val="1"/>
      <w:numFmt w:val="decimal"/>
      <w:lvlText w:val="%6."/>
      <w:lvlJc w:val="left"/>
      <w:pPr>
        <w:ind w:left="720" w:hanging="360"/>
      </w:pPr>
    </w:lvl>
    <w:lvl w:ilvl="6" w:tplc="589AA59A">
      <w:start w:val="1"/>
      <w:numFmt w:val="decimal"/>
      <w:lvlText w:val="%7."/>
      <w:lvlJc w:val="left"/>
      <w:pPr>
        <w:ind w:left="720" w:hanging="360"/>
      </w:pPr>
    </w:lvl>
    <w:lvl w:ilvl="7" w:tplc="845AD53E">
      <w:start w:val="1"/>
      <w:numFmt w:val="decimal"/>
      <w:lvlText w:val="%8."/>
      <w:lvlJc w:val="left"/>
      <w:pPr>
        <w:ind w:left="720" w:hanging="360"/>
      </w:pPr>
    </w:lvl>
    <w:lvl w:ilvl="8" w:tplc="3C12CA94">
      <w:start w:val="1"/>
      <w:numFmt w:val="decimal"/>
      <w:lvlText w:val="%9."/>
      <w:lvlJc w:val="left"/>
      <w:pPr>
        <w:ind w:left="720" w:hanging="360"/>
      </w:pPr>
    </w:lvl>
  </w:abstractNum>
  <w:abstractNum w:abstractNumId="52" w15:restartNumberingAfterBreak="0">
    <w:nsid w:val="6A6328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AE35972"/>
    <w:multiLevelType w:val="hybridMultilevel"/>
    <w:tmpl w:val="DB10875E"/>
    <w:lvl w:ilvl="0" w:tplc="FFFFFFFF">
      <w:start w:val="1"/>
      <w:numFmt w:val="decimal"/>
      <w:lvlText w:val="%1)"/>
      <w:lvlJc w:val="left"/>
      <w:pPr>
        <w:ind w:left="720" w:hanging="360"/>
      </w:pPr>
      <w:rPr>
        <w:rFonts w:hint="default"/>
      </w:rPr>
    </w:lvl>
    <w:lvl w:ilvl="1" w:tplc="04090015">
      <w:start w:val="1"/>
      <w:numFmt w:val="upp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AE47ADC"/>
    <w:multiLevelType w:val="hybridMultilevel"/>
    <w:tmpl w:val="762CE54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05374C2"/>
    <w:multiLevelType w:val="multilevel"/>
    <w:tmpl w:val="E3E0BC16"/>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1120061"/>
    <w:multiLevelType w:val="multilevel"/>
    <w:tmpl w:val="C03A0EBA"/>
    <w:lvl w:ilvl="0">
      <w:start w:val="1"/>
      <w:numFmt w:val="decimal"/>
      <w:pStyle w:val="Heading10"/>
      <w:lvlText w:val="%1"/>
      <w:lvlJc w:val="left"/>
      <w:pPr>
        <w:ind w:left="432" w:hanging="432"/>
      </w:pPr>
    </w:lvl>
    <w:lvl w:ilvl="1">
      <w:start w:val="1"/>
      <w:numFmt w:val="decimal"/>
      <w:pStyle w:val="Heading2"/>
      <w:lvlText w:val="%1.%2"/>
      <w:lvlJc w:val="left"/>
      <w:pPr>
        <w:ind w:left="576" w:hanging="576"/>
      </w:pPr>
    </w:lvl>
    <w:lvl w:ilvl="2">
      <w:start w:val="1"/>
      <w:numFmt w:val="decimal"/>
      <w:pStyle w:val="Heading30"/>
      <w:lvlText w:val="%1.%2.%3"/>
      <w:lvlJc w:val="left"/>
      <w:pPr>
        <w:ind w:left="810" w:hanging="720"/>
      </w:pPr>
      <w:rPr>
        <w:i w:val="0"/>
        <w:iCs/>
      </w:rPr>
    </w:lvl>
    <w:lvl w:ilvl="3">
      <w:start w:val="1"/>
      <w:numFmt w:val="decimal"/>
      <w:pStyle w:val="Heading40"/>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735A1E02"/>
    <w:multiLevelType w:val="hybridMultilevel"/>
    <w:tmpl w:val="F2C4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C85436"/>
    <w:multiLevelType w:val="hybridMultilevel"/>
    <w:tmpl w:val="C720C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1E248A"/>
    <w:multiLevelType w:val="hybridMultilevel"/>
    <w:tmpl w:val="B4BAF6EC"/>
    <w:lvl w:ilvl="0" w:tplc="84B6E46C">
      <w:start w:val="1"/>
      <w:numFmt w:val="bullet"/>
      <w:pStyle w:val="Bul3"/>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99A5727"/>
    <w:multiLevelType w:val="hybridMultilevel"/>
    <w:tmpl w:val="5EDE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047109">
    <w:abstractNumId w:val="39"/>
  </w:num>
  <w:num w:numId="2" w16cid:durableId="905650776">
    <w:abstractNumId w:val="59"/>
  </w:num>
  <w:num w:numId="3" w16cid:durableId="1809276091">
    <w:abstractNumId w:val="9"/>
  </w:num>
  <w:num w:numId="4" w16cid:durableId="1333989135">
    <w:abstractNumId w:val="6"/>
  </w:num>
  <w:num w:numId="5" w16cid:durableId="1527521685">
    <w:abstractNumId w:val="13"/>
  </w:num>
  <w:num w:numId="6" w16cid:durableId="596058222">
    <w:abstractNumId w:val="38"/>
  </w:num>
  <w:num w:numId="7" w16cid:durableId="218826057">
    <w:abstractNumId w:val="57"/>
  </w:num>
  <w:num w:numId="8" w16cid:durableId="1953512713">
    <w:abstractNumId w:val="33"/>
  </w:num>
  <w:num w:numId="9" w16cid:durableId="497237934">
    <w:abstractNumId w:val="29"/>
  </w:num>
  <w:num w:numId="10" w16cid:durableId="406729755">
    <w:abstractNumId w:val="41"/>
  </w:num>
  <w:num w:numId="11" w16cid:durableId="539051921">
    <w:abstractNumId w:val="40"/>
  </w:num>
  <w:num w:numId="12" w16cid:durableId="1276406385">
    <w:abstractNumId w:val="48"/>
  </w:num>
  <w:num w:numId="13" w16cid:durableId="603417155">
    <w:abstractNumId w:val="16"/>
  </w:num>
  <w:num w:numId="14" w16cid:durableId="2058551875">
    <w:abstractNumId w:val="44"/>
  </w:num>
  <w:num w:numId="15" w16cid:durableId="1895509338">
    <w:abstractNumId w:val="7"/>
  </w:num>
  <w:num w:numId="16" w16cid:durableId="344333078">
    <w:abstractNumId w:val="21"/>
  </w:num>
  <w:num w:numId="17" w16cid:durableId="1043098836">
    <w:abstractNumId w:val="37"/>
  </w:num>
  <w:num w:numId="18" w16cid:durableId="867838809">
    <w:abstractNumId w:val="14"/>
  </w:num>
  <w:num w:numId="19" w16cid:durableId="697896454">
    <w:abstractNumId w:val="25"/>
  </w:num>
  <w:num w:numId="20" w16cid:durableId="1312638134">
    <w:abstractNumId w:val="19"/>
  </w:num>
  <w:num w:numId="21" w16cid:durableId="946695927">
    <w:abstractNumId w:val="35"/>
  </w:num>
  <w:num w:numId="22" w16cid:durableId="1124156735">
    <w:abstractNumId w:val="34"/>
  </w:num>
  <w:num w:numId="23" w16cid:durableId="1588119">
    <w:abstractNumId w:val="43"/>
  </w:num>
  <w:num w:numId="24" w16cid:durableId="297342760">
    <w:abstractNumId w:val="11"/>
  </w:num>
  <w:num w:numId="25" w16cid:durableId="2057197442">
    <w:abstractNumId w:val="46"/>
  </w:num>
  <w:num w:numId="26" w16cid:durableId="1399015530">
    <w:abstractNumId w:val="27"/>
  </w:num>
  <w:num w:numId="27" w16cid:durableId="1059550852">
    <w:abstractNumId w:val="53"/>
  </w:num>
  <w:num w:numId="28" w16cid:durableId="704058330">
    <w:abstractNumId w:val="54"/>
  </w:num>
  <w:num w:numId="29" w16cid:durableId="729425408">
    <w:abstractNumId w:val="10"/>
  </w:num>
  <w:num w:numId="30" w16cid:durableId="1373727190">
    <w:abstractNumId w:val="49"/>
  </w:num>
  <w:num w:numId="31" w16cid:durableId="2072269350">
    <w:abstractNumId w:val="22"/>
  </w:num>
  <w:num w:numId="32" w16cid:durableId="1801344250">
    <w:abstractNumId w:val="45"/>
  </w:num>
  <w:num w:numId="33" w16cid:durableId="330525194">
    <w:abstractNumId w:val="0"/>
  </w:num>
  <w:num w:numId="34" w16cid:durableId="920870521">
    <w:abstractNumId w:val="1"/>
  </w:num>
  <w:num w:numId="35" w16cid:durableId="117452867">
    <w:abstractNumId w:val="23"/>
  </w:num>
  <w:num w:numId="36" w16cid:durableId="1329408485">
    <w:abstractNumId w:val="58"/>
  </w:num>
  <w:num w:numId="37" w16cid:durableId="1936863196">
    <w:abstractNumId w:val="31"/>
  </w:num>
  <w:num w:numId="38" w16cid:durableId="1600020482">
    <w:abstractNumId w:val="60"/>
  </w:num>
  <w:num w:numId="39" w16cid:durableId="490370955">
    <w:abstractNumId w:val="36"/>
  </w:num>
  <w:num w:numId="40" w16cid:durableId="126777403">
    <w:abstractNumId w:val="20"/>
  </w:num>
  <w:num w:numId="41" w16cid:durableId="945161098">
    <w:abstractNumId w:val="4"/>
  </w:num>
  <w:num w:numId="42" w16cid:durableId="92677225">
    <w:abstractNumId w:val="55"/>
  </w:num>
  <w:num w:numId="43" w16cid:durableId="2050371169">
    <w:abstractNumId w:val="24"/>
  </w:num>
  <w:num w:numId="44" w16cid:durableId="389884569">
    <w:abstractNumId w:val="42"/>
  </w:num>
  <w:num w:numId="45" w16cid:durableId="1805737855">
    <w:abstractNumId w:val="47"/>
  </w:num>
  <w:num w:numId="46" w16cid:durableId="273366518">
    <w:abstractNumId w:val="28"/>
  </w:num>
  <w:num w:numId="47" w16cid:durableId="341399902">
    <w:abstractNumId w:val="30"/>
  </w:num>
  <w:num w:numId="48" w16cid:durableId="1193686425">
    <w:abstractNumId w:val="56"/>
  </w:num>
  <w:num w:numId="49" w16cid:durableId="1610310465">
    <w:abstractNumId w:val="8"/>
  </w:num>
  <w:num w:numId="50" w16cid:durableId="1455056980">
    <w:abstractNumId w:val="17"/>
  </w:num>
  <w:num w:numId="51" w16cid:durableId="1632009856">
    <w:abstractNumId w:val="26"/>
  </w:num>
  <w:num w:numId="52" w16cid:durableId="571933019">
    <w:abstractNumId w:val="51"/>
  </w:num>
  <w:num w:numId="53" w16cid:durableId="608199436">
    <w:abstractNumId w:val="2"/>
  </w:num>
  <w:num w:numId="54" w16cid:durableId="14761430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99210725">
    <w:abstractNumId w:val="12"/>
  </w:num>
  <w:num w:numId="56" w16cid:durableId="888880713">
    <w:abstractNumId w:val="18"/>
  </w:num>
  <w:num w:numId="57" w16cid:durableId="1418014556">
    <w:abstractNumId w:val="3"/>
  </w:num>
  <w:num w:numId="58" w16cid:durableId="1800342721">
    <w:abstractNumId w:val="52"/>
  </w:num>
  <w:num w:numId="59" w16cid:durableId="1291714677">
    <w:abstractNumId w:val="15"/>
  </w:num>
  <w:num w:numId="60" w16cid:durableId="917204287">
    <w:abstractNumId w:val="32"/>
  </w:num>
  <w:num w:numId="61" w16cid:durableId="1355618396">
    <w:abstractNumId w:val="56"/>
  </w:num>
  <w:num w:numId="62" w16cid:durableId="974874165">
    <w:abstractNumId w:val="56"/>
  </w:num>
  <w:num w:numId="63" w16cid:durableId="217210168">
    <w:abstractNumId w:val="5"/>
  </w:num>
  <w:num w:numId="64" w16cid:durableId="1037119547">
    <w:abstractNumId w:val="56"/>
  </w:num>
  <w:num w:numId="65" w16cid:durableId="1997147783">
    <w:abstractNumId w:val="56"/>
  </w:num>
  <w:num w:numId="66" w16cid:durableId="7640336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01439527">
    <w:abstractNumId w:val="56"/>
  </w:num>
  <w:num w:numId="68" w16cid:durableId="11358740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49840390">
    <w:abstractNumId w:val="56"/>
  </w:num>
  <w:num w:numId="70" w16cid:durableId="426577526">
    <w:abstractNumId w:val="56"/>
  </w:num>
  <w:num w:numId="71" w16cid:durableId="529687465">
    <w:abstractNumId w:val="56"/>
  </w:num>
  <w:num w:numId="72" w16cid:durableId="1931692497">
    <w:abstractNumId w:val="56"/>
  </w:num>
  <w:num w:numId="73" w16cid:durableId="50735608">
    <w:abstractNumId w:val="56"/>
  </w:num>
  <w:num w:numId="74" w16cid:durableId="683359091">
    <w:abstractNumId w:val="56"/>
  </w:num>
  <w:num w:numId="75" w16cid:durableId="2085103863">
    <w:abstractNumId w:val="56"/>
  </w:num>
  <w:num w:numId="76" w16cid:durableId="1471435513">
    <w:abstractNumId w:val="56"/>
  </w:num>
  <w:num w:numId="77" w16cid:durableId="617222480">
    <w:abstractNumId w:val="50"/>
  </w:num>
  <w:num w:numId="78" w16cid:durableId="835848546">
    <w:abstractNumId w:val="56"/>
  </w:num>
  <w:num w:numId="79" w16cid:durableId="1000043893">
    <w:abstractNumId w:val="56"/>
  </w:num>
  <w:num w:numId="80" w16cid:durableId="2396774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45498081">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1A"/>
    <w:rsid w:val="000002FB"/>
    <w:rsid w:val="00000878"/>
    <w:rsid w:val="00000F42"/>
    <w:rsid w:val="00000F84"/>
    <w:rsid w:val="000048AE"/>
    <w:rsid w:val="00005001"/>
    <w:rsid w:val="00005A22"/>
    <w:rsid w:val="000070DA"/>
    <w:rsid w:val="00007691"/>
    <w:rsid w:val="000077D5"/>
    <w:rsid w:val="0001049A"/>
    <w:rsid w:val="00010928"/>
    <w:rsid w:val="00010EAD"/>
    <w:rsid w:val="000110EA"/>
    <w:rsid w:val="000111F1"/>
    <w:rsid w:val="00011403"/>
    <w:rsid w:val="00013297"/>
    <w:rsid w:val="00014F84"/>
    <w:rsid w:val="00015032"/>
    <w:rsid w:val="0001515D"/>
    <w:rsid w:val="000152DA"/>
    <w:rsid w:val="00016437"/>
    <w:rsid w:val="0001720C"/>
    <w:rsid w:val="000177B9"/>
    <w:rsid w:val="00017A7D"/>
    <w:rsid w:val="00020031"/>
    <w:rsid w:val="000200BF"/>
    <w:rsid w:val="000206F9"/>
    <w:rsid w:val="00020778"/>
    <w:rsid w:val="00021194"/>
    <w:rsid w:val="000228C8"/>
    <w:rsid w:val="00022ADE"/>
    <w:rsid w:val="00022D32"/>
    <w:rsid w:val="0002392C"/>
    <w:rsid w:val="00024565"/>
    <w:rsid w:val="0002459A"/>
    <w:rsid w:val="00026599"/>
    <w:rsid w:val="0002746E"/>
    <w:rsid w:val="00030164"/>
    <w:rsid w:val="00030DB4"/>
    <w:rsid w:val="00031450"/>
    <w:rsid w:val="0003291A"/>
    <w:rsid w:val="000330BA"/>
    <w:rsid w:val="00033DBB"/>
    <w:rsid w:val="00034518"/>
    <w:rsid w:val="0003460B"/>
    <w:rsid w:val="000348A3"/>
    <w:rsid w:val="00034E65"/>
    <w:rsid w:val="00035554"/>
    <w:rsid w:val="0003603C"/>
    <w:rsid w:val="00036216"/>
    <w:rsid w:val="000410C2"/>
    <w:rsid w:val="000410ED"/>
    <w:rsid w:val="000413B7"/>
    <w:rsid w:val="00041A97"/>
    <w:rsid w:val="000421A5"/>
    <w:rsid w:val="000421A8"/>
    <w:rsid w:val="00042AD1"/>
    <w:rsid w:val="0004326B"/>
    <w:rsid w:val="00043C3E"/>
    <w:rsid w:val="00043D91"/>
    <w:rsid w:val="00044916"/>
    <w:rsid w:val="00044A96"/>
    <w:rsid w:val="00044EB5"/>
    <w:rsid w:val="0004749C"/>
    <w:rsid w:val="000478FC"/>
    <w:rsid w:val="000502FF"/>
    <w:rsid w:val="00050971"/>
    <w:rsid w:val="00050A81"/>
    <w:rsid w:val="000518F7"/>
    <w:rsid w:val="00051B3D"/>
    <w:rsid w:val="00052300"/>
    <w:rsid w:val="0005253B"/>
    <w:rsid w:val="00054333"/>
    <w:rsid w:val="0005502C"/>
    <w:rsid w:val="00056F42"/>
    <w:rsid w:val="00057473"/>
    <w:rsid w:val="00057917"/>
    <w:rsid w:val="0006016C"/>
    <w:rsid w:val="00061559"/>
    <w:rsid w:val="000617A4"/>
    <w:rsid w:val="00061B85"/>
    <w:rsid w:val="0006295A"/>
    <w:rsid w:val="000636B8"/>
    <w:rsid w:val="00063743"/>
    <w:rsid w:val="0006489C"/>
    <w:rsid w:val="00064AD9"/>
    <w:rsid w:val="00065186"/>
    <w:rsid w:val="0006531E"/>
    <w:rsid w:val="00066962"/>
    <w:rsid w:val="00067986"/>
    <w:rsid w:val="000704AF"/>
    <w:rsid w:val="00070618"/>
    <w:rsid w:val="000709CA"/>
    <w:rsid w:val="00070D2D"/>
    <w:rsid w:val="000714DE"/>
    <w:rsid w:val="000727C2"/>
    <w:rsid w:val="000737C1"/>
    <w:rsid w:val="000740F8"/>
    <w:rsid w:val="00075AE1"/>
    <w:rsid w:val="0008044B"/>
    <w:rsid w:val="00080617"/>
    <w:rsid w:val="00081886"/>
    <w:rsid w:val="00081C1F"/>
    <w:rsid w:val="00082790"/>
    <w:rsid w:val="00082B2C"/>
    <w:rsid w:val="000835C7"/>
    <w:rsid w:val="000837BF"/>
    <w:rsid w:val="000856EE"/>
    <w:rsid w:val="00085A54"/>
    <w:rsid w:val="00087A49"/>
    <w:rsid w:val="00087B96"/>
    <w:rsid w:val="000900A4"/>
    <w:rsid w:val="00091A05"/>
    <w:rsid w:val="00092105"/>
    <w:rsid w:val="0009305E"/>
    <w:rsid w:val="00093774"/>
    <w:rsid w:val="00094C16"/>
    <w:rsid w:val="00094C23"/>
    <w:rsid w:val="00094ED4"/>
    <w:rsid w:val="00096ADB"/>
    <w:rsid w:val="00096E86"/>
    <w:rsid w:val="00097879"/>
    <w:rsid w:val="00097E2E"/>
    <w:rsid w:val="00097ED8"/>
    <w:rsid w:val="000A08B5"/>
    <w:rsid w:val="000A0B08"/>
    <w:rsid w:val="000A1220"/>
    <w:rsid w:val="000A1653"/>
    <w:rsid w:val="000A1728"/>
    <w:rsid w:val="000A1A3C"/>
    <w:rsid w:val="000A1C77"/>
    <w:rsid w:val="000A243D"/>
    <w:rsid w:val="000A5D42"/>
    <w:rsid w:val="000A5E1E"/>
    <w:rsid w:val="000A5F43"/>
    <w:rsid w:val="000A67EB"/>
    <w:rsid w:val="000A6F84"/>
    <w:rsid w:val="000B1252"/>
    <w:rsid w:val="000B1E77"/>
    <w:rsid w:val="000B36DF"/>
    <w:rsid w:val="000B3E62"/>
    <w:rsid w:val="000B4DD0"/>
    <w:rsid w:val="000B5A65"/>
    <w:rsid w:val="000B7F7D"/>
    <w:rsid w:val="000C06CD"/>
    <w:rsid w:val="000C0B7E"/>
    <w:rsid w:val="000C1C49"/>
    <w:rsid w:val="000C30AD"/>
    <w:rsid w:val="000C3213"/>
    <w:rsid w:val="000C3CBE"/>
    <w:rsid w:val="000C41A4"/>
    <w:rsid w:val="000C45C0"/>
    <w:rsid w:val="000C4901"/>
    <w:rsid w:val="000C4B86"/>
    <w:rsid w:val="000C608A"/>
    <w:rsid w:val="000C734B"/>
    <w:rsid w:val="000C7E1E"/>
    <w:rsid w:val="000C7EA0"/>
    <w:rsid w:val="000D1A12"/>
    <w:rsid w:val="000D2127"/>
    <w:rsid w:val="000D2BEE"/>
    <w:rsid w:val="000D2F88"/>
    <w:rsid w:val="000D32EC"/>
    <w:rsid w:val="000D377F"/>
    <w:rsid w:val="000D5C72"/>
    <w:rsid w:val="000D73C6"/>
    <w:rsid w:val="000E1423"/>
    <w:rsid w:val="000E14F0"/>
    <w:rsid w:val="000E242D"/>
    <w:rsid w:val="000E47C2"/>
    <w:rsid w:val="000E693E"/>
    <w:rsid w:val="000E6AB8"/>
    <w:rsid w:val="000E6FA0"/>
    <w:rsid w:val="000E79F4"/>
    <w:rsid w:val="000F0741"/>
    <w:rsid w:val="000F1BAE"/>
    <w:rsid w:val="000F297F"/>
    <w:rsid w:val="000F2B84"/>
    <w:rsid w:val="000F35F2"/>
    <w:rsid w:val="000F4482"/>
    <w:rsid w:val="000F5A0A"/>
    <w:rsid w:val="000F633F"/>
    <w:rsid w:val="000F6A14"/>
    <w:rsid w:val="000F6A7C"/>
    <w:rsid w:val="00100908"/>
    <w:rsid w:val="0010126E"/>
    <w:rsid w:val="00101CE4"/>
    <w:rsid w:val="00102640"/>
    <w:rsid w:val="00102964"/>
    <w:rsid w:val="00102D0C"/>
    <w:rsid w:val="00103739"/>
    <w:rsid w:val="00104262"/>
    <w:rsid w:val="00104AC8"/>
    <w:rsid w:val="001053A3"/>
    <w:rsid w:val="001054DA"/>
    <w:rsid w:val="001058DA"/>
    <w:rsid w:val="001059CB"/>
    <w:rsid w:val="00107CCF"/>
    <w:rsid w:val="0011146E"/>
    <w:rsid w:val="00112548"/>
    <w:rsid w:val="001127A1"/>
    <w:rsid w:val="0011337A"/>
    <w:rsid w:val="0011447E"/>
    <w:rsid w:val="00114681"/>
    <w:rsid w:val="001148A1"/>
    <w:rsid w:val="0011497C"/>
    <w:rsid w:val="00115630"/>
    <w:rsid w:val="001157D7"/>
    <w:rsid w:val="00115975"/>
    <w:rsid w:val="00115B91"/>
    <w:rsid w:val="00115BF0"/>
    <w:rsid w:val="001173C2"/>
    <w:rsid w:val="0012059C"/>
    <w:rsid w:val="00121E8E"/>
    <w:rsid w:val="0012259A"/>
    <w:rsid w:val="00122A56"/>
    <w:rsid w:val="00122C61"/>
    <w:rsid w:val="00122E31"/>
    <w:rsid w:val="00122FC4"/>
    <w:rsid w:val="001235BF"/>
    <w:rsid w:val="0012375F"/>
    <w:rsid w:val="0012771F"/>
    <w:rsid w:val="00127D79"/>
    <w:rsid w:val="00130996"/>
    <w:rsid w:val="00130B0E"/>
    <w:rsid w:val="00131038"/>
    <w:rsid w:val="001314CF"/>
    <w:rsid w:val="00131993"/>
    <w:rsid w:val="00131D3B"/>
    <w:rsid w:val="00131F3E"/>
    <w:rsid w:val="001321FE"/>
    <w:rsid w:val="001324D4"/>
    <w:rsid w:val="00133AB7"/>
    <w:rsid w:val="001359CD"/>
    <w:rsid w:val="00137A8A"/>
    <w:rsid w:val="00140C9A"/>
    <w:rsid w:val="00140E1E"/>
    <w:rsid w:val="00141DB3"/>
    <w:rsid w:val="00143269"/>
    <w:rsid w:val="001437AD"/>
    <w:rsid w:val="00143A80"/>
    <w:rsid w:val="00144FEC"/>
    <w:rsid w:val="0014724B"/>
    <w:rsid w:val="001476BE"/>
    <w:rsid w:val="00147A51"/>
    <w:rsid w:val="00151F5D"/>
    <w:rsid w:val="00152DAF"/>
    <w:rsid w:val="001534EA"/>
    <w:rsid w:val="0015461C"/>
    <w:rsid w:val="00160797"/>
    <w:rsid w:val="00160C77"/>
    <w:rsid w:val="00160DA0"/>
    <w:rsid w:val="00160E16"/>
    <w:rsid w:val="001614DF"/>
    <w:rsid w:val="0016293B"/>
    <w:rsid w:val="0016339A"/>
    <w:rsid w:val="00164306"/>
    <w:rsid w:val="00164365"/>
    <w:rsid w:val="00164F68"/>
    <w:rsid w:val="00165E4E"/>
    <w:rsid w:val="00165FAE"/>
    <w:rsid w:val="00165FEC"/>
    <w:rsid w:val="00166076"/>
    <w:rsid w:val="00166355"/>
    <w:rsid w:val="001670B3"/>
    <w:rsid w:val="0016782C"/>
    <w:rsid w:val="00170309"/>
    <w:rsid w:val="001707F2"/>
    <w:rsid w:val="00170E87"/>
    <w:rsid w:val="001710BD"/>
    <w:rsid w:val="0017255A"/>
    <w:rsid w:val="00174221"/>
    <w:rsid w:val="00174CF3"/>
    <w:rsid w:val="0017590A"/>
    <w:rsid w:val="00176381"/>
    <w:rsid w:val="00176AE0"/>
    <w:rsid w:val="00176F99"/>
    <w:rsid w:val="001804BE"/>
    <w:rsid w:val="00180530"/>
    <w:rsid w:val="00180B49"/>
    <w:rsid w:val="00181307"/>
    <w:rsid w:val="00183905"/>
    <w:rsid w:val="001845DC"/>
    <w:rsid w:val="001849C4"/>
    <w:rsid w:val="0018558C"/>
    <w:rsid w:val="001869E1"/>
    <w:rsid w:val="00186FC9"/>
    <w:rsid w:val="00187436"/>
    <w:rsid w:val="00187F7E"/>
    <w:rsid w:val="00190D8C"/>
    <w:rsid w:val="001917CF"/>
    <w:rsid w:val="0019227D"/>
    <w:rsid w:val="001925AF"/>
    <w:rsid w:val="00193204"/>
    <w:rsid w:val="001934B1"/>
    <w:rsid w:val="001934E3"/>
    <w:rsid w:val="00194E94"/>
    <w:rsid w:val="00196029"/>
    <w:rsid w:val="00197C3E"/>
    <w:rsid w:val="00197FD2"/>
    <w:rsid w:val="001A107D"/>
    <w:rsid w:val="001A168F"/>
    <w:rsid w:val="001A1813"/>
    <w:rsid w:val="001A2494"/>
    <w:rsid w:val="001A3602"/>
    <w:rsid w:val="001A38D2"/>
    <w:rsid w:val="001A3DC6"/>
    <w:rsid w:val="001A45B6"/>
    <w:rsid w:val="001A489A"/>
    <w:rsid w:val="001A52A1"/>
    <w:rsid w:val="001A646E"/>
    <w:rsid w:val="001A73FD"/>
    <w:rsid w:val="001B0C91"/>
    <w:rsid w:val="001B0FB1"/>
    <w:rsid w:val="001B1068"/>
    <w:rsid w:val="001B106B"/>
    <w:rsid w:val="001B2510"/>
    <w:rsid w:val="001B27DB"/>
    <w:rsid w:val="001B2A27"/>
    <w:rsid w:val="001B3824"/>
    <w:rsid w:val="001B45FA"/>
    <w:rsid w:val="001B4BF1"/>
    <w:rsid w:val="001B4D19"/>
    <w:rsid w:val="001B4DEF"/>
    <w:rsid w:val="001B5310"/>
    <w:rsid w:val="001B5DE4"/>
    <w:rsid w:val="001B6650"/>
    <w:rsid w:val="001B6F73"/>
    <w:rsid w:val="001B7423"/>
    <w:rsid w:val="001B769E"/>
    <w:rsid w:val="001C0281"/>
    <w:rsid w:val="001C0A19"/>
    <w:rsid w:val="001C11E0"/>
    <w:rsid w:val="001C12CC"/>
    <w:rsid w:val="001C3090"/>
    <w:rsid w:val="001C3D4A"/>
    <w:rsid w:val="001C44FE"/>
    <w:rsid w:val="001C4923"/>
    <w:rsid w:val="001C548C"/>
    <w:rsid w:val="001C5F9D"/>
    <w:rsid w:val="001C619F"/>
    <w:rsid w:val="001C6251"/>
    <w:rsid w:val="001C66BD"/>
    <w:rsid w:val="001C6BB2"/>
    <w:rsid w:val="001D0CF7"/>
    <w:rsid w:val="001D252D"/>
    <w:rsid w:val="001D2BF0"/>
    <w:rsid w:val="001D38B4"/>
    <w:rsid w:val="001D5C0C"/>
    <w:rsid w:val="001D6C23"/>
    <w:rsid w:val="001D739C"/>
    <w:rsid w:val="001D765B"/>
    <w:rsid w:val="001D766F"/>
    <w:rsid w:val="001D789C"/>
    <w:rsid w:val="001D7F50"/>
    <w:rsid w:val="001E053A"/>
    <w:rsid w:val="001E2D5C"/>
    <w:rsid w:val="001E307D"/>
    <w:rsid w:val="001E3C49"/>
    <w:rsid w:val="001E486C"/>
    <w:rsid w:val="001E4CED"/>
    <w:rsid w:val="001E500D"/>
    <w:rsid w:val="001E54B0"/>
    <w:rsid w:val="001E54C4"/>
    <w:rsid w:val="001E64F5"/>
    <w:rsid w:val="001E6551"/>
    <w:rsid w:val="001E68EB"/>
    <w:rsid w:val="001E6D62"/>
    <w:rsid w:val="001E6EDB"/>
    <w:rsid w:val="001F016A"/>
    <w:rsid w:val="001F18E8"/>
    <w:rsid w:val="001F1C53"/>
    <w:rsid w:val="001F1FA0"/>
    <w:rsid w:val="001F2165"/>
    <w:rsid w:val="001F2177"/>
    <w:rsid w:val="001F23CA"/>
    <w:rsid w:val="001F3652"/>
    <w:rsid w:val="001F3B5E"/>
    <w:rsid w:val="001F3BCC"/>
    <w:rsid w:val="001F411A"/>
    <w:rsid w:val="001F48AE"/>
    <w:rsid w:val="001F4993"/>
    <w:rsid w:val="001F5764"/>
    <w:rsid w:val="001F5810"/>
    <w:rsid w:val="001F604D"/>
    <w:rsid w:val="001F6545"/>
    <w:rsid w:val="001F658A"/>
    <w:rsid w:val="001F67E0"/>
    <w:rsid w:val="001F6A67"/>
    <w:rsid w:val="001F6AAA"/>
    <w:rsid w:val="001F6F2F"/>
    <w:rsid w:val="00201867"/>
    <w:rsid w:val="00201B98"/>
    <w:rsid w:val="00201C5A"/>
    <w:rsid w:val="00203186"/>
    <w:rsid w:val="0020376C"/>
    <w:rsid w:val="00204B79"/>
    <w:rsid w:val="002065E5"/>
    <w:rsid w:val="0020727C"/>
    <w:rsid w:val="00210B80"/>
    <w:rsid w:val="00213256"/>
    <w:rsid w:val="0021352E"/>
    <w:rsid w:val="002142B9"/>
    <w:rsid w:val="00214BD3"/>
    <w:rsid w:val="00215EB7"/>
    <w:rsid w:val="00216133"/>
    <w:rsid w:val="00216E52"/>
    <w:rsid w:val="00217A8D"/>
    <w:rsid w:val="00217B75"/>
    <w:rsid w:val="00217D74"/>
    <w:rsid w:val="0022032C"/>
    <w:rsid w:val="00220ED6"/>
    <w:rsid w:val="00221648"/>
    <w:rsid w:val="00221A2A"/>
    <w:rsid w:val="00221DD1"/>
    <w:rsid w:val="00222390"/>
    <w:rsid w:val="0022327E"/>
    <w:rsid w:val="00223943"/>
    <w:rsid w:val="002243C8"/>
    <w:rsid w:val="0022540A"/>
    <w:rsid w:val="002279E1"/>
    <w:rsid w:val="00230462"/>
    <w:rsid w:val="00230463"/>
    <w:rsid w:val="00230D3E"/>
    <w:rsid w:val="00231472"/>
    <w:rsid w:val="00231582"/>
    <w:rsid w:val="00231946"/>
    <w:rsid w:val="00232268"/>
    <w:rsid w:val="002326AD"/>
    <w:rsid w:val="0023495B"/>
    <w:rsid w:val="00235B28"/>
    <w:rsid w:val="00235D51"/>
    <w:rsid w:val="002364AB"/>
    <w:rsid w:val="00236A35"/>
    <w:rsid w:val="00237E9C"/>
    <w:rsid w:val="00240FB3"/>
    <w:rsid w:val="002435F0"/>
    <w:rsid w:val="00243F86"/>
    <w:rsid w:val="00244013"/>
    <w:rsid w:val="00244473"/>
    <w:rsid w:val="00244FB7"/>
    <w:rsid w:val="0024514B"/>
    <w:rsid w:val="002468A0"/>
    <w:rsid w:val="00246D92"/>
    <w:rsid w:val="002473DA"/>
    <w:rsid w:val="0024778E"/>
    <w:rsid w:val="00247A09"/>
    <w:rsid w:val="00250DE0"/>
    <w:rsid w:val="00251A33"/>
    <w:rsid w:val="00252364"/>
    <w:rsid w:val="002531FD"/>
    <w:rsid w:val="00254A27"/>
    <w:rsid w:val="00255B3E"/>
    <w:rsid w:val="00256183"/>
    <w:rsid w:val="002569F9"/>
    <w:rsid w:val="00256DFF"/>
    <w:rsid w:val="00257703"/>
    <w:rsid w:val="00257C32"/>
    <w:rsid w:val="00261426"/>
    <w:rsid w:val="00261911"/>
    <w:rsid w:val="0026199F"/>
    <w:rsid w:val="002631F7"/>
    <w:rsid w:val="00263DED"/>
    <w:rsid w:val="002642C4"/>
    <w:rsid w:val="0026456B"/>
    <w:rsid w:val="00264910"/>
    <w:rsid w:val="0026492D"/>
    <w:rsid w:val="00265BF2"/>
    <w:rsid w:val="00266046"/>
    <w:rsid w:val="0026654E"/>
    <w:rsid w:val="00267172"/>
    <w:rsid w:val="00267405"/>
    <w:rsid w:val="00267758"/>
    <w:rsid w:val="00267A5E"/>
    <w:rsid w:val="0027062B"/>
    <w:rsid w:val="00270698"/>
    <w:rsid w:val="002717A7"/>
    <w:rsid w:val="0027209A"/>
    <w:rsid w:val="002729E0"/>
    <w:rsid w:val="002739AE"/>
    <w:rsid w:val="002748C8"/>
    <w:rsid w:val="00274B29"/>
    <w:rsid w:val="00275625"/>
    <w:rsid w:val="0027665E"/>
    <w:rsid w:val="00276677"/>
    <w:rsid w:val="00277117"/>
    <w:rsid w:val="002776F5"/>
    <w:rsid w:val="00277DF7"/>
    <w:rsid w:val="00280375"/>
    <w:rsid w:val="00280491"/>
    <w:rsid w:val="0028063B"/>
    <w:rsid w:val="00280E7F"/>
    <w:rsid w:val="00281190"/>
    <w:rsid w:val="0028275E"/>
    <w:rsid w:val="00290881"/>
    <w:rsid w:val="00291011"/>
    <w:rsid w:val="00291634"/>
    <w:rsid w:val="002918B1"/>
    <w:rsid w:val="00292D95"/>
    <w:rsid w:val="00293B4D"/>
    <w:rsid w:val="00294B52"/>
    <w:rsid w:val="00295067"/>
    <w:rsid w:val="00295856"/>
    <w:rsid w:val="00295965"/>
    <w:rsid w:val="00296B21"/>
    <w:rsid w:val="00296C60"/>
    <w:rsid w:val="002A036F"/>
    <w:rsid w:val="002A0907"/>
    <w:rsid w:val="002A2E5B"/>
    <w:rsid w:val="002A3880"/>
    <w:rsid w:val="002A42F1"/>
    <w:rsid w:val="002A57ED"/>
    <w:rsid w:val="002A5CD1"/>
    <w:rsid w:val="002B0F87"/>
    <w:rsid w:val="002B0FAA"/>
    <w:rsid w:val="002B1A68"/>
    <w:rsid w:val="002B2BFF"/>
    <w:rsid w:val="002B3613"/>
    <w:rsid w:val="002B3743"/>
    <w:rsid w:val="002B6CA8"/>
    <w:rsid w:val="002B6D5E"/>
    <w:rsid w:val="002B7964"/>
    <w:rsid w:val="002B7E6A"/>
    <w:rsid w:val="002C0E95"/>
    <w:rsid w:val="002C10DA"/>
    <w:rsid w:val="002C264C"/>
    <w:rsid w:val="002C29DD"/>
    <w:rsid w:val="002C328B"/>
    <w:rsid w:val="002C3335"/>
    <w:rsid w:val="002C3A4C"/>
    <w:rsid w:val="002C3FB8"/>
    <w:rsid w:val="002C5008"/>
    <w:rsid w:val="002C52C2"/>
    <w:rsid w:val="002C5443"/>
    <w:rsid w:val="002C66E0"/>
    <w:rsid w:val="002C6729"/>
    <w:rsid w:val="002C6ADB"/>
    <w:rsid w:val="002C6C40"/>
    <w:rsid w:val="002C71B0"/>
    <w:rsid w:val="002C778F"/>
    <w:rsid w:val="002C79D0"/>
    <w:rsid w:val="002C7E6C"/>
    <w:rsid w:val="002D063C"/>
    <w:rsid w:val="002D0A63"/>
    <w:rsid w:val="002D2276"/>
    <w:rsid w:val="002D2D7D"/>
    <w:rsid w:val="002D48E5"/>
    <w:rsid w:val="002D4AD4"/>
    <w:rsid w:val="002D4C7E"/>
    <w:rsid w:val="002D5227"/>
    <w:rsid w:val="002D68B7"/>
    <w:rsid w:val="002D6D19"/>
    <w:rsid w:val="002D6E6D"/>
    <w:rsid w:val="002D7136"/>
    <w:rsid w:val="002D7A06"/>
    <w:rsid w:val="002D7BA3"/>
    <w:rsid w:val="002E05CB"/>
    <w:rsid w:val="002E0C90"/>
    <w:rsid w:val="002E0DC9"/>
    <w:rsid w:val="002E2188"/>
    <w:rsid w:val="002E2F20"/>
    <w:rsid w:val="002E3213"/>
    <w:rsid w:val="002E39D4"/>
    <w:rsid w:val="002E418F"/>
    <w:rsid w:val="002E428E"/>
    <w:rsid w:val="002E5511"/>
    <w:rsid w:val="002E6213"/>
    <w:rsid w:val="002E7990"/>
    <w:rsid w:val="002F0702"/>
    <w:rsid w:val="002F1159"/>
    <w:rsid w:val="002F1EDF"/>
    <w:rsid w:val="002F34E9"/>
    <w:rsid w:val="002F395F"/>
    <w:rsid w:val="002F3AD7"/>
    <w:rsid w:val="002F4119"/>
    <w:rsid w:val="002F44B9"/>
    <w:rsid w:val="002F4D65"/>
    <w:rsid w:val="002F4DF7"/>
    <w:rsid w:val="002F5320"/>
    <w:rsid w:val="002F5C60"/>
    <w:rsid w:val="002F5E90"/>
    <w:rsid w:val="002F67C5"/>
    <w:rsid w:val="002F7E18"/>
    <w:rsid w:val="00300176"/>
    <w:rsid w:val="00300A0B"/>
    <w:rsid w:val="0030146A"/>
    <w:rsid w:val="00301B5E"/>
    <w:rsid w:val="003032F3"/>
    <w:rsid w:val="00303414"/>
    <w:rsid w:val="003037B6"/>
    <w:rsid w:val="00305164"/>
    <w:rsid w:val="00305EBF"/>
    <w:rsid w:val="00306883"/>
    <w:rsid w:val="00307856"/>
    <w:rsid w:val="0031045E"/>
    <w:rsid w:val="00310A6E"/>
    <w:rsid w:val="003135DE"/>
    <w:rsid w:val="00313A2E"/>
    <w:rsid w:val="003143AE"/>
    <w:rsid w:val="00315A6C"/>
    <w:rsid w:val="00315C80"/>
    <w:rsid w:val="00316635"/>
    <w:rsid w:val="00316E36"/>
    <w:rsid w:val="00317B05"/>
    <w:rsid w:val="00317F94"/>
    <w:rsid w:val="00320BD9"/>
    <w:rsid w:val="003241B8"/>
    <w:rsid w:val="00324380"/>
    <w:rsid w:val="00324713"/>
    <w:rsid w:val="00324D6E"/>
    <w:rsid w:val="00324DE3"/>
    <w:rsid w:val="00326203"/>
    <w:rsid w:val="003271F9"/>
    <w:rsid w:val="003278CE"/>
    <w:rsid w:val="003303A0"/>
    <w:rsid w:val="00331F2F"/>
    <w:rsid w:val="003321AB"/>
    <w:rsid w:val="00332786"/>
    <w:rsid w:val="00332957"/>
    <w:rsid w:val="00333E3A"/>
    <w:rsid w:val="00333FDA"/>
    <w:rsid w:val="00335344"/>
    <w:rsid w:val="0033541E"/>
    <w:rsid w:val="00335BAC"/>
    <w:rsid w:val="00335E23"/>
    <w:rsid w:val="00340D86"/>
    <w:rsid w:val="003413E4"/>
    <w:rsid w:val="00341D62"/>
    <w:rsid w:val="00341FAF"/>
    <w:rsid w:val="00342509"/>
    <w:rsid w:val="00342516"/>
    <w:rsid w:val="00343594"/>
    <w:rsid w:val="00343AA7"/>
    <w:rsid w:val="00343D66"/>
    <w:rsid w:val="003448F5"/>
    <w:rsid w:val="0034523B"/>
    <w:rsid w:val="00345348"/>
    <w:rsid w:val="0034671F"/>
    <w:rsid w:val="00347231"/>
    <w:rsid w:val="00347430"/>
    <w:rsid w:val="00347532"/>
    <w:rsid w:val="00350DBA"/>
    <w:rsid w:val="0035134E"/>
    <w:rsid w:val="00351750"/>
    <w:rsid w:val="00351A4C"/>
    <w:rsid w:val="0035236C"/>
    <w:rsid w:val="00353280"/>
    <w:rsid w:val="003540CF"/>
    <w:rsid w:val="00354880"/>
    <w:rsid w:val="00355549"/>
    <w:rsid w:val="00356233"/>
    <w:rsid w:val="00356A4F"/>
    <w:rsid w:val="00357698"/>
    <w:rsid w:val="003579C8"/>
    <w:rsid w:val="003604F3"/>
    <w:rsid w:val="00361F3F"/>
    <w:rsid w:val="00362E0F"/>
    <w:rsid w:val="00362EB2"/>
    <w:rsid w:val="00363018"/>
    <w:rsid w:val="00363885"/>
    <w:rsid w:val="00363AFD"/>
    <w:rsid w:val="0036454A"/>
    <w:rsid w:val="00364AFC"/>
    <w:rsid w:val="00365773"/>
    <w:rsid w:val="0036772D"/>
    <w:rsid w:val="0037195D"/>
    <w:rsid w:val="003750C2"/>
    <w:rsid w:val="00375983"/>
    <w:rsid w:val="00375DDE"/>
    <w:rsid w:val="00375E86"/>
    <w:rsid w:val="00376906"/>
    <w:rsid w:val="003769F0"/>
    <w:rsid w:val="00381475"/>
    <w:rsid w:val="003826F8"/>
    <w:rsid w:val="00383997"/>
    <w:rsid w:val="00383F57"/>
    <w:rsid w:val="003842D8"/>
    <w:rsid w:val="0038501F"/>
    <w:rsid w:val="00385337"/>
    <w:rsid w:val="0038586D"/>
    <w:rsid w:val="00386A4C"/>
    <w:rsid w:val="003878A4"/>
    <w:rsid w:val="00390431"/>
    <w:rsid w:val="00390563"/>
    <w:rsid w:val="00390A58"/>
    <w:rsid w:val="00390D5D"/>
    <w:rsid w:val="00390D95"/>
    <w:rsid w:val="003912BE"/>
    <w:rsid w:val="003915E9"/>
    <w:rsid w:val="003919F9"/>
    <w:rsid w:val="00391D1D"/>
    <w:rsid w:val="0039216B"/>
    <w:rsid w:val="00392297"/>
    <w:rsid w:val="003927EF"/>
    <w:rsid w:val="00392ABD"/>
    <w:rsid w:val="00392DC9"/>
    <w:rsid w:val="00394811"/>
    <w:rsid w:val="00395005"/>
    <w:rsid w:val="00395B85"/>
    <w:rsid w:val="0039615E"/>
    <w:rsid w:val="003965CF"/>
    <w:rsid w:val="003966EB"/>
    <w:rsid w:val="0039685B"/>
    <w:rsid w:val="003968A4"/>
    <w:rsid w:val="003A0491"/>
    <w:rsid w:val="003A08AA"/>
    <w:rsid w:val="003A106D"/>
    <w:rsid w:val="003A1109"/>
    <w:rsid w:val="003A13AF"/>
    <w:rsid w:val="003A189B"/>
    <w:rsid w:val="003A1B29"/>
    <w:rsid w:val="003A1CB2"/>
    <w:rsid w:val="003A22DE"/>
    <w:rsid w:val="003A2930"/>
    <w:rsid w:val="003A3744"/>
    <w:rsid w:val="003A4256"/>
    <w:rsid w:val="003A60EB"/>
    <w:rsid w:val="003A70CE"/>
    <w:rsid w:val="003A7992"/>
    <w:rsid w:val="003B1F7B"/>
    <w:rsid w:val="003B25FA"/>
    <w:rsid w:val="003B2780"/>
    <w:rsid w:val="003B29CF"/>
    <w:rsid w:val="003B2E97"/>
    <w:rsid w:val="003B2FBB"/>
    <w:rsid w:val="003B3216"/>
    <w:rsid w:val="003B3EA9"/>
    <w:rsid w:val="003B403E"/>
    <w:rsid w:val="003B4BF5"/>
    <w:rsid w:val="003B4E42"/>
    <w:rsid w:val="003B604C"/>
    <w:rsid w:val="003B6AD9"/>
    <w:rsid w:val="003B6BBE"/>
    <w:rsid w:val="003B73C6"/>
    <w:rsid w:val="003B73D5"/>
    <w:rsid w:val="003B777C"/>
    <w:rsid w:val="003C11B1"/>
    <w:rsid w:val="003C154C"/>
    <w:rsid w:val="003C1569"/>
    <w:rsid w:val="003C214A"/>
    <w:rsid w:val="003C2D27"/>
    <w:rsid w:val="003C3A89"/>
    <w:rsid w:val="003C476A"/>
    <w:rsid w:val="003C4886"/>
    <w:rsid w:val="003C4986"/>
    <w:rsid w:val="003C5323"/>
    <w:rsid w:val="003C55A6"/>
    <w:rsid w:val="003C5F8B"/>
    <w:rsid w:val="003C6CE9"/>
    <w:rsid w:val="003C7685"/>
    <w:rsid w:val="003D05C1"/>
    <w:rsid w:val="003D0D69"/>
    <w:rsid w:val="003D1B09"/>
    <w:rsid w:val="003D202C"/>
    <w:rsid w:val="003D2441"/>
    <w:rsid w:val="003D2620"/>
    <w:rsid w:val="003D3AA8"/>
    <w:rsid w:val="003D3BEC"/>
    <w:rsid w:val="003D4425"/>
    <w:rsid w:val="003D4899"/>
    <w:rsid w:val="003D52BE"/>
    <w:rsid w:val="003D5A71"/>
    <w:rsid w:val="003D7166"/>
    <w:rsid w:val="003E0619"/>
    <w:rsid w:val="003E1257"/>
    <w:rsid w:val="003E1517"/>
    <w:rsid w:val="003E17C6"/>
    <w:rsid w:val="003E24EE"/>
    <w:rsid w:val="003E31B4"/>
    <w:rsid w:val="003E3453"/>
    <w:rsid w:val="003E373B"/>
    <w:rsid w:val="003E4B77"/>
    <w:rsid w:val="003E59FA"/>
    <w:rsid w:val="003E5F4C"/>
    <w:rsid w:val="003E6665"/>
    <w:rsid w:val="003E7CA3"/>
    <w:rsid w:val="003E7CBE"/>
    <w:rsid w:val="003F0F29"/>
    <w:rsid w:val="003F1482"/>
    <w:rsid w:val="003F18F2"/>
    <w:rsid w:val="003F1E88"/>
    <w:rsid w:val="003F3DEE"/>
    <w:rsid w:val="003F45D9"/>
    <w:rsid w:val="003F4BCB"/>
    <w:rsid w:val="003F57B4"/>
    <w:rsid w:val="003F6C2E"/>
    <w:rsid w:val="003F6D43"/>
    <w:rsid w:val="003F7784"/>
    <w:rsid w:val="0040026E"/>
    <w:rsid w:val="004003D5"/>
    <w:rsid w:val="00400611"/>
    <w:rsid w:val="00400930"/>
    <w:rsid w:val="00400A70"/>
    <w:rsid w:val="00401543"/>
    <w:rsid w:val="00401C5F"/>
    <w:rsid w:val="00402CF9"/>
    <w:rsid w:val="004031ED"/>
    <w:rsid w:val="00403801"/>
    <w:rsid w:val="00403904"/>
    <w:rsid w:val="00403A92"/>
    <w:rsid w:val="00403B6E"/>
    <w:rsid w:val="004041FB"/>
    <w:rsid w:val="00404722"/>
    <w:rsid w:val="004060E1"/>
    <w:rsid w:val="004060F8"/>
    <w:rsid w:val="00406ABE"/>
    <w:rsid w:val="00406C4C"/>
    <w:rsid w:val="004105AD"/>
    <w:rsid w:val="00410FA2"/>
    <w:rsid w:val="004119DC"/>
    <w:rsid w:val="00411AFD"/>
    <w:rsid w:val="00411C2C"/>
    <w:rsid w:val="00411CA6"/>
    <w:rsid w:val="0041274F"/>
    <w:rsid w:val="004132CA"/>
    <w:rsid w:val="00413A1F"/>
    <w:rsid w:val="004145E0"/>
    <w:rsid w:val="0041461F"/>
    <w:rsid w:val="004152AB"/>
    <w:rsid w:val="004162CB"/>
    <w:rsid w:val="00416C7A"/>
    <w:rsid w:val="00420194"/>
    <w:rsid w:val="00420940"/>
    <w:rsid w:val="004212AB"/>
    <w:rsid w:val="00425FA7"/>
    <w:rsid w:val="004262E6"/>
    <w:rsid w:val="0042671B"/>
    <w:rsid w:val="00426952"/>
    <w:rsid w:val="00427793"/>
    <w:rsid w:val="00427BCE"/>
    <w:rsid w:val="00430D17"/>
    <w:rsid w:val="0043224C"/>
    <w:rsid w:val="00432498"/>
    <w:rsid w:val="004329DE"/>
    <w:rsid w:val="0043350B"/>
    <w:rsid w:val="00433D27"/>
    <w:rsid w:val="004344D1"/>
    <w:rsid w:val="00434AE0"/>
    <w:rsid w:val="00434E5D"/>
    <w:rsid w:val="0043625E"/>
    <w:rsid w:val="00437509"/>
    <w:rsid w:val="00437864"/>
    <w:rsid w:val="004403F6"/>
    <w:rsid w:val="00440D11"/>
    <w:rsid w:val="004415D2"/>
    <w:rsid w:val="00441826"/>
    <w:rsid w:val="004421AA"/>
    <w:rsid w:val="004427B5"/>
    <w:rsid w:val="00442C7E"/>
    <w:rsid w:val="00442E30"/>
    <w:rsid w:val="0044338E"/>
    <w:rsid w:val="00443408"/>
    <w:rsid w:val="00443427"/>
    <w:rsid w:val="00443C79"/>
    <w:rsid w:val="00444E08"/>
    <w:rsid w:val="00444FBB"/>
    <w:rsid w:val="00445878"/>
    <w:rsid w:val="00445E8B"/>
    <w:rsid w:val="00447DCE"/>
    <w:rsid w:val="00447FF5"/>
    <w:rsid w:val="004502C8"/>
    <w:rsid w:val="004513B4"/>
    <w:rsid w:val="00451638"/>
    <w:rsid w:val="004526D4"/>
    <w:rsid w:val="00453AEE"/>
    <w:rsid w:val="00454B8E"/>
    <w:rsid w:val="00455CFD"/>
    <w:rsid w:val="00455E0B"/>
    <w:rsid w:val="0045764E"/>
    <w:rsid w:val="00460750"/>
    <w:rsid w:val="004608DC"/>
    <w:rsid w:val="00460A26"/>
    <w:rsid w:val="00460A92"/>
    <w:rsid w:val="00462640"/>
    <w:rsid w:val="00462B9B"/>
    <w:rsid w:val="0046350C"/>
    <w:rsid w:val="00463A3A"/>
    <w:rsid w:val="0046486B"/>
    <w:rsid w:val="00465C82"/>
    <w:rsid w:val="0046631D"/>
    <w:rsid w:val="00467227"/>
    <w:rsid w:val="00467D74"/>
    <w:rsid w:val="0047088F"/>
    <w:rsid w:val="0047096D"/>
    <w:rsid w:val="00470FDD"/>
    <w:rsid w:val="0047159E"/>
    <w:rsid w:val="00472408"/>
    <w:rsid w:val="00472884"/>
    <w:rsid w:val="004748FC"/>
    <w:rsid w:val="0047619D"/>
    <w:rsid w:val="004761CF"/>
    <w:rsid w:val="00477E4C"/>
    <w:rsid w:val="00480C0A"/>
    <w:rsid w:val="00481153"/>
    <w:rsid w:val="00481381"/>
    <w:rsid w:val="00481E1B"/>
    <w:rsid w:val="00482464"/>
    <w:rsid w:val="00483026"/>
    <w:rsid w:val="004831BC"/>
    <w:rsid w:val="004840B5"/>
    <w:rsid w:val="00484308"/>
    <w:rsid w:val="0048458A"/>
    <w:rsid w:val="004849C0"/>
    <w:rsid w:val="00484FF1"/>
    <w:rsid w:val="00485080"/>
    <w:rsid w:val="00485111"/>
    <w:rsid w:val="00485448"/>
    <w:rsid w:val="00486757"/>
    <w:rsid w:val="004867E1"/>
    <w:rsid w:val="0049092C"/>
    <w:rsid w:val="00491636"/>
    <w:rsid w:val="00492740"/>
    <w:rsid w:val="004927FD"/>
    <w:rsid w:val="00492835"/>
    <w:rsid w:val="00494552"/>
    <w:rsid w:val="00494F08"/>
    <w:rsid w:val="00495787"/>
    <w:rsid w:val="00495BAB"/>
    <w:rsid w:val="00496652"/>
    <w:rsid w:val="004973C3"/>
    <w:rsid w:val="0049772C"/>
    <w:rsid w:val="004A020C"/>
    <w:rsid w:val="004A08CA"/>
    <w:rsid w:val="004A2B5D"/>
    <w:rsid w:val="004A30F2"/>
    <w:rsid w:val="004A4B0A"/>
    <w:rsid w:val="004A4B8A"/>
    <w:rsid w:val="004A50E3"/>
    <w:rsid w:val="004A5CDF"/>
    <w:rsid w:val="004A5E6A"/>
    <w:rsid w:val="004A6259"/>
    <w:rsid w:val="004A68CC"/>
    <w:rsid w:val="004B04B1"/>
    <w:rsid w:val="004B0DA6"/>
    <w:rsid w:val="004B1E68"/>
    <w:rsid w:val="004B29AE"/>
    <w:rsid w:val="004B47B8"/>
    <w:rsid w:val="004B4E58"/>
    <w:rsid w:val="004B4EB5"/>
    <w:rsid w:val="004B4EB9"/>
    <w:rsid w:val="004B588C"/>
    <w:rsid w:val="004B655F"/>
    <w:rsid w:val="004B7B98"/>
    <w:rsid w:val="004C0B3B"/>
    <w:rsid w:val="004C1FF1"/>
    <w:rsid w:val="004C2269"/>
    <w:rsid w:val="004C2E76"/>
    <w:rsid w:val="004C4F98"/>
    <w:rsid w:val="004C5C69"/>
    <w:rsid w:val="004D0E51"/>
    <w:rsid w:val="004D1026"/>
    <w:rsid w:val="004D1E55"/>
    <w:rsid w:val="004D204C"/>
    <w:rsid w:val="004D2581"/>
    <w:rsid w:val="004D2E69"/>
    <w:rsid w:val="004D3BA4"/>
    <w:rsid w:val="004D3BC6"/>
    <w:rsid w:val="004D3D25"/>
    <w:rsid w:val="004D4261"/>
    <w:rsid w:val="004D4C0D"/>
    <w:rsid w:val="004D4E90"/>
    <w:rsid w:val="004D5E5A"/>
    <w:rsid w:val="004D6801"/>
    <w:rsid w:val="004D7243"/>
    <w:rsid w:val="004D7713"/>
    <w:rsid w:val="004E21E2"/>
    <w:rsid w:val="004E2665"/>
    <w:rsid w:val="004E2DAC"/>
    <w:rsid w:val="004E3496"/>
    <w:rsid w:val="004E3556"/>
    <w:rsid w:val="004E369B"/>
    <w:rsid w:val="004E3C8F"/>
    <w:rsid w:val="004E5F93"/>
    <w:rsid w:val="004E6DCB"/>
    <w:rsid w:val="004E7063"/>
    <w:rsid w:val="004E7548"/>
    <w:rsid w:val="004E77F6"/>
    <w:rsid w:val="004F10DA"/>
    <w:rsid w:val="004F1399"/>
    <w:rsid w:val="004F21E0"/>
    <w:rsid w:val="004F2EBE"/>
    <w:rsid w:val="004F33C0"/>
    <w:rsid w:val="004F3DC9"/>
    <w:rsid w:val="004F5720"/>
    <w:rsid w:val="004F5BE0"/>
    <w:rsid w:val="004F615F"/>
    <w:rsid w:val="004F717D"/>
    <w:rsid w:val="004F7A98"/>
    <w:rsid w:val="004F7AD3"/>
    <w:rsid w:val="00500062"/>
    <w:rsid w:val="00500E45"/>
    <w:rsid w:val="005015F5"/>
    <w:rsid w:val="00501BDA"/>
    <w:rsid w:val="00502444"/>
    <w:rsid w:val="005024A4"/>
    <w:rsid w:val="00502C75"/>
    <w:rsid w:val="00502C92"/>
    <w:rsid w:val="00502DEB"/>
    <w:rsid w:val="00503322"/>
    <w:rsid w:val="00503CDB"/>
    <w:rsid w:val="00504845"/>
    <w:rsid w:val="005057C9"/>
    <w:rsid w:val="00505A0C"/>
    <w:rsid w:val="00505A74"/>
    <w:rsid w:val="00505F0D"/>
    <w:rsid w:val="00507B1F"/>
    <w:rsid w:val="00507EDF"/>
    <w:rsid w:val="005106E1"/>
    <w:rsid w:val="00510C57"/>
    <w:rsid w:val="00511197"/>
    <w:rsid w:val="00511333"/>
    <w:rsid w:val="00511AC8"/>
    <w:rsid w:val="0051281E"/>
    <w:rsid w:val="00513894"/>
    <w:rsid w:val="00513A95"/>
    <w:rsid w:val="00513F4F"/>
    <w:rsid w:val="005147B1"/>
    <w:rsid w:val="00514E8E"/>
    <w:rsid w:val="005167F2"/>
    <w:rsid w:val="00516823"/>
    <w:rsid w:val="005172EF"/>
    <w:rsid w:val="005210FA"/>
    <w:rsid w:val="005215D3"/>
    <w:rsid w:val="00522A17"/>
    <w:rsid w:val="00522C5A"/>
    <w:rsid w:val="00523714"/>
    <w:rsid w:val="0052502A"/>
    <w:rsid w:val="00525C25"/>
    <w:rsid w:val="00526975"/>
    <w:rsid w:val="00527626"/>
    <w:rsid w:val="00530482"/>
    <w:rsid w:val="005318A4"/>
    <w:rsid w:val="00532021"/>
    <w:rsid w:val="00532C50"/>
    <w:rsid w:val="005336D5"/>
    <w:rsid w:val="00533BDF"/>
    <w:rsid w:val="00533C65"/>
    <w:rsid w:val="00535139"/>
    <w:rsid w:val="00535A41"/>
    <w:rsid w:val="00535C9A"/>
    <w:rsid w:val="00536118"/>
    <w:rsid w:val="00536E8A"/>
    <w:rsid w:val="00540719"/>
    <w:rsid w:val="00540DFE"/>
    <w:rsid w:val="00541177"/>
    <w:rsid w:val="005414A1"/>
    <w:rsid w:val="005428F0"/>
    <w:rsid w:val="00542EC0"/>
    <w:rsid w:val="0054435F"/>
    <w:rsid w:val="00545E81"/>
    <w:rsid w:val="00546B42"/>
    <w:rsid w:val="00546D3E"/>
    <w:rsid w:val="005471C1"/>
    <w:rsid w:val="0054768C"/>
    <w:rsid w:val="00547A3E"/>
    <w:rsid w:val="0055074A"/>
    <w:rsid w:val="0055212C"/>
    <w:rsid w:val="0055319F"/>
    <w:rsid w:val="005534C0"/>
    <w:rsid w:val="005536D4"/>
    <w:rsid w:val="00553CFA"/>
    <w:rsid w:val="00553DD6"/>
    <w:rsid w:val="00554255"/>
    <w:rsid w:val="00554298"/>
    <w:rsid w:val="00554942"/>
    <w:rsid w:val="005553B0"/>
    <w:rsid w:val="0055608D"/>
    <w:rsid w:val="0055715E"/>
    <w:rsid w:val="005576B6"/>
    <w:rsid w:val="005576C4"/>
    <w:rsid w:val="00560421"/>
    <w:rsid w:val="0056239A"/>
    <w:rsid w:val="005629E1"/>
    <w:rsid w:val="00562C92"/>
    <w:rsid w:val="005637F0"/>
    <w:rsid w:val="00563E8E"/>
    <w:rsid w:val="005648F7"/>
    <w:rsid w:val="00565EB7"/>
    <w:rsid w:val="00566E3F"/>
    <w:rsid w:val="00567A1F"/>
    <w:rsid w:val="00570405"/>
    <w:rsid w:val="00570D2F"/>
    <w:rsid w:val="00571399"/>
    <w:rsid w:val="0057239F"/>
    <w:rsid w:val="00572AE9"/>
    <w:rsid w:val="005735BB"/>
    <w:rsid w:val="00574D9A"/>
    <w:rsid w:val="00574ED0"/>
    <w:rsid w:val="00575298"/>
    <w:rsid w:val="005754AF"/>
    <w:rsid w:val="00575B69"/>
    <w:rsid w:val="00577264"/>
    <w:rsid w:val="00577593"/>
    <w:rsid w:val="005776E0"/>
    <w:rsid w:val="00584272"/>
    <w:rsid w:val="00584416"/>
    <w:rsid w:val="0058525E"/>
    <w:rsid w:val="00585365"/>
    <w:rsid w:val="0058592A"/>
    <w:rsid w:val="00585A55"/>
    <w:rsid w:val="00585A80"/>
    <w:rsid w:val="005866E8"/>
    <w:rsid w:val="00586B0C"/>
    <w:rsid w:val="005879FC"/>
    <w:rsid w:val="005907DF"/>
    <w:rsid w:val="00591741"/>
    <w:rsid w:val="00591ADB"/>
    <w:rsid w:val="00593043"/>
    <w:rsid w:val="005937D5"/>
    <w:rsid w:val="00594473"/>
    <w:rsid w:val="00594ACA"/>
    <w:rsid w:val="00594D7B"/>
    <w:rsid w:val="0059793E"/>
    <w:rsid w:val="00597C6E"/>
    <w:rsid w:val="005A019C"/>
    <w:rsid w:val="005A0D7C"/>
    <w:rsid w:val="005A0E33"/>
    <w:rsid w:val="005A1A4C"/>
    <w:rsid w:val="005A1B9D"/>
    <w:rsid w:val="005A4649"/>
    <w:rsid w:val="005A4D6C"/>
    <w:rsid w:val="005A608B"/>
    <w:rsid w:val="005A703E"/>
    <w:rsid w:val="005A7206"/>
    <w:rsid w:val="005A7FB3"/>
    <w:rsid w:val="005B2EFC"/>
    <w:rsid w:val="005B3650"/>
    <w:rsid w:val="005B384E"/>
    <w:rsid w:val="005B3C78"/>
    <w:rsid w:val="005B47CA"/>
    <w:rsid w:val="005B53DA"/>
    <w:rsid w:val="005B5835"/>
    <w:rsid w:val="005B7074"/>
    <w:rsid w:val="005B7431"/>
    <w:rsid w:val="005C03E8"/>
    <w:rsid w:val="005C06C4"/>
    <w:rsid w:val="005C0B1E"/>
    <w:rsid w:val="005C181D"/>
    <w:rsid w:val="005C288A"/>
    <w:rsid w:val="005C32E3"/>
    <w:rsid w:val="005C38BC"/>
    <w:rsid w:val="005C3B5F"/>
    <w:rsid w:val="005C3BD0"/>
    <w:rsid w:val="005C3CC8"/>
    <w:rsid w:val="005C4C7E"/>
    <w:rsid w:val="005C4F01"/>
    <w:rsid w:val="005C5C43"/>
    <w:rsid w:val="005C66E3"/>
    <w:rsid w:val="005C6F4E"/>
    <w:rsid w:val="005D439A"/>
    <w:rsid w:val="005D45D8"/>
    <w:rsid w:val="005D4BD2"/>
    <w:rsid w:val="005D4F39"/>
    <w:rsid w:val="005D7C68"/>
    <w:rsid w:val="005E05F0"/>
    <w:rsid w:val="005E0B77"/>
    <w:rsid w:val="005E0CF0"/>
    <w:rsid w:val="005E128B"/>
    <w:rsid w:val="005E1612"/>
    <w:rsid w:val="005E1BF6"/>
    <w:rsid w:val="005E1D6C"/>
    <w:rsid w:val="005E24FD"/>
    <w:rsid w:val="005E400E"/>
    <w:rsid w:val="005E4CD0"/>
    <w:rsid w:val="005E597B"/>
    <w:rsid w:val="005E6357"/>
    <w:rsid w:val="005E69BD"/>
    <w:rsid w:val="005F039D"/>
    <w:rsid w:val="005F2093"/>
    <w:rsid w:val="005F2B91"/>
    <w:rsid w:val="005F34C5"/>
    <w:rsid w:val="005F422F"/>
    <w:rsid w:val="005F571C"/>
    <w:rsid w:val="005F6311"/>
    <w:rsid w:val="005F767C"/>
    <w:rsid w:val="005F7A66"/>
    <w:rsid w:val="00600706"/>
    <w:rsid w:val="00600C12"/>
    <w:rsid w:val="00602059"/>
    <w:rsid w:val="0060225D"/>
    <w:rsid w:val="006033DC"/>
    <w:rsid w:val="006033FB"/>
    <w:rsid w:val="0060343C"/>
    <w:rsid w:val="00604AFC"/>
    <w:rsid w:val="00604BCF"/>
    <w:rsid w:val="00604E5F"/>
    <w:rsid w:val="00604FC2"/>
    <w:rsid w:val="00605DE8"/>
    <w:rsid w:val="006066B5"/>
    <w:rsid w:val="0060689D"/>
    <w:rsid w:val="00606CC3"/>
    <w:rsid w:val="0060794E"/>
    <w:rsid w:val="00610883"/>
    <w:rsid w:val="00610BF9"/>
    <w:rsid w:val="00610D61"/>
    <w:rsid w:val="0061112A"/>
    <w:rsid w:val="0061226B"/>
    <w:rsid w:val="00612720"/>
    <w:rsid w:val="00612946"/>
    <w:rsid w:val="006133D6"/>
    <w:rsid w:val="00614698"/>
    <w:rsid w:val="00615933"/>
    <w:rsid w:val="00615C7B"/>
    <w:rsid w:val="00615F26"/>
    <w:rsid w:val="006163AF"/>
    <w:rsid w:val="00616AE8"/>
    <w:rsid w:val="00616C4F"/>
    <w:rsid w:val="006170E1"/>
    <w:rsid w:val="00620589"/>
    <w:rsid w:val="006209AB"/>
    <w:rsid w:val="00621042"/>
    <w:rsid w:val="00621C0F"/>
    <w:rsid w:val="006233B2"/>
    <w:rsid w:val="00623692"/>
    <w:rsid w:val="00624EE2"/>
    <w:rsid w:val="006256B0"/>
    <w:rsid w:val="006267D9"/>
    <w:rsid w:val="00627AB7"/>
    <w:rsid w:val="00627AD4"/>
    <w:rsid w:val="00627BD9"/>
    <w:rsid w:val="00630BD2"/>
    <w:rsid w:val="00630DE2"/>
    <w:rsid w:val="00631492"/>
    <w:rsid w:val="00631D58"/>
    <w:rsid w:val="0063251D"/>
    <w:rsid w:val="00632A8D"/>
    <w:rsid w:val="00633CA1"/>
    <w:rsid w:val="00635116"/>
    <w:rsid w:val="006351F9"/>
    <w:rsid w:val="0063592C"/>
    <w:rsid w:val="00635B9D"/>
    <w:rsid w:val="00635D87"/>
    <w:rsid w:val="0063664E"/>
    <w:rsid w:val="00636E08"/>
    <w:rsid w:val="00637222"/>
    <w:rsid w:val="0063764C"/>
    <w:rsid w:val="00640C46"/>
    <w:rsid w:val="00640DFD"/>
    <w:rsid w:val="00641886"/>
    <w:rsid w:val="0064282F"/>
    <w:rsid w:val="0064302C"/>
    <w:rsid w:val="00643748"/>
    <w:rsid w:val="00644EFA"/>
    <w:rsid w:val="006453AA"/>
    <w:rsid w:val="00645875"/>
    <w:rsid w:val="006462CA"/>
    <w:rsid w:val="006469C1"/>
    <w:rsid w:val="00647218"/>
    <w:rsid w:val="0065093F"/>
    <w:rsid w:val="00652723"/>
    <w:rsid w:val="00652871"/>
    <w:rsid w:val="0065357C"/>
    <w:rsid w:val="00653951"/>
    <w:rsid w:val="00653CA4"/>
    <w:rsid w:val="00654A69"/>
    <w:rsid w:val="00655204"/>
    <w:rsid w:val="00655562"/>
    <w:rsid w:val="00656575"/>
    <w:rsid w:val="0065697D"/>
    <w:rsid w:val="006573C3"/>
    <w:rsid w:val="00657F53"/>
    <w:rsid w:val="00660071"/>
    <w:rsid w:val="006600AD"/>
    <w:rsid w:val="0066156B"/>
    <w:rsid w:val="00661F36"/>
    <w:rsid w:val="00662938"/>
    <w:rsid w:val="00662BF5"/>
    <w:rsid w:val="00662FAA"/>
    <w:rsid w:val="00663365"/>
    <w:rsid w:val="00664015"/>
    <w:rsid w:val="00664617"/>
    <w:rsid w:val="00664C5D"/>
    <w:rsid w:val="006659EB"/>
    <w:rsid w:val="00665FD6"/>
    <w:rsid w:val="00666610"/>
    <w:rsid w:val="0066709C"/>
    <w:rsid w:val="00667899"/>
    <w:rsid w:val="00667CF6"/>
    <w:rsid w:val="006708E2"/>
    <w:rsid w:val="00670975"/>
    <w:rsid w:val="006712D2"/>
    <w:rsid w:val="00672803"/>
    <w:rsid w:val="00672A8C"/>
    <w:rsid w:val="00672AD0"/>
    <w:rsid w:val="006739B7"/>
    <w:rsid w:val="00673B66"/>
    <w:rsid w:val="0067466C"/>
    <w:rsid w:val="00674E0F"/>
    <w:rsid w:val="00674E57"/>
    <w:rsid w:val="006752BC"/>
    <w:rsid w:val="006754EA"/>
    <w:rsid w:val="006758A6"/>
    <w:rsid w:val="006758E6"/>
    <w:rsid w:val="006769CC"/>
    <w:rsid w:val="00677ACC"/>
    <w:rsid w:val="0068024D"/>
    <w:rsid w:val="006803D2"/>
    <w:rsid w:val="00680D1C"/>
    <w:rsid w:val="00681A0E"/>
    <w:rsid w:val="006843A3"/>
    <w:rsid w:val="00684A75"/>
    <w:rsid w:val="00684C48"/>
    <w:rsid w:val="006852BE"/>
    <w:rsid w:val="006858E0"/>
    <w:rsid w:val="0069020B"/>
    <w:rsid w:val="006903EE"/>
    <w:rsid w:val="00690B65"/>
    <w:rsid w:val="0069129D"/>
    <w:rsid w:val="006913DA"/>
    <w:rsid w:val="00692138"/>
    <w:rsid w:val="00692ACC"/>
    <w:rsid w:val="00694AA5"/>
    <w:rsid w:val="00694C4E"/>
    <w:rsid w:val="006962B3"/>
    <w:rsid w:val="00696FA0"/>
    <w:rsid w:val="006A321D"/>
    <w:rsid w:val="006A3476"/>
    <w:rsid w:val="006A405D"/>
    <w:rsid w:val="006A4555"/>
    <w:rsid w:val="006A4D7D"/>
    <w:rsid w:val="006A5358"/>
    <w:rsid w:val="006A53BD"/>
    <w:rsid w:val="006A559B"/>
    <w:rsid w:val="006A6735"/>
    <w:rsid w:val="006A6E39"/>
    <w:rsid w:val="006B0239"/>
    <w:rsid w:val="006B13F5"/>
    <w:rsid w:val="006B1EC4"/>
    <w:rsid w:val="006B2A87"/>
    <w:rsid w:val="006B31D2"/>
    <w:rsid w:val="006B36D3"/>
    <w:rsid w:val="006B3A4D"/>
    <w:rsid w:val="006B4FE2"/>
    <w:rsid w:val="006B5052"/>
    <w:rsid w:val="006B5791"/>
    <w:rsid w:val="006B5BB2"/>
    <w:rsid w:val="006B5EAB"/>
    <w:rsid w:val="006B6041"/>
    <w:rsid w:val="006B638F"/>
    <w:rsid w:val="006B721E"/>
    <w:rsid w:val="006B76C2"/>
    <w:rsid w:val="006B7B9C"/>
    <w:rsid w:val="006B7BA0"/>
    <w:rsid w:val="006B7BF2"/>
    <w:rsid w:val="006C0EAD"/>
    <w:rsid w:val="006C181C"/>
    <w:rsid w:val="006C2898"/>
    <w:rsid w:val="006C2DD7"/>
    <w:rsid w:val="006C420F"/>
    <w:rsid w:val="006C4A0B"/>
    <w:rsid w:val="006C4D0B"/>
    <w:rsid w:val="006C4E34"/>
    <w:rsid w:val="006C6095"/>
    <w:rsid w:val="006D04F8"/>
    <w:rsid w:val="006D0735"/>
    <w:rsid w:val="006D0787"/>
    <w:rsid w:val="006D0DD9"/>
    <w:rsid w:val="006D165C"/>
    <w:rsid w:val="006D2082"/>
    <w:rsid w:val="006D3024"/>
    <w:rsid w:val="006D3A5F"/>
    <w:rsid w:val="006D4304"/>
    <w:rsid w:val="006D4B44"/>
    <w:rsid w:val="006D5E24"/>
    <w:rsid w:val="006D64F7"/>
    <w:rsid w:val="006D67E3"/>
    <w:rsid w:val="006D6EDF"/>
    <w:rsid w:val="006E09D6"/>
    <w:rsid w:val="006E0A03"/>
    <w:rsid w:val="006E2650"/>
    <w:rsid w:val="006E5098"/>
    <w:rsid w:val="006E5F20"/>
    <w:rsid w:val="006E5FAD"/>
    <w:rsid w:val="006E663F"/>
    <w:rsid w:val="006E6EC0"/>
    <w:rsid w:val="006F02CF"/>
    <w:rsid w:val="006F0CAB"/>
    <w:rsid w:val="006F16E9"/>
    <w:rsid w:val="006F1D7E"/>
    <w:rsid w:val="006F1F5A"/>
    <w:rsid w:val="006F3F37"/>
    <w:rsid w:val="006F428B"/>
    <w:rsid w:val="006F5362"/>
    <w:rsid w:val="006F53C5"/>
    <w:rsid w:val="006F6334"/>
    <w:rsid w:val="006F63AB"/>
    <w:rsid w:val="006F663B"/>
    <w:rsid w:val="00702113"/>
    <w:rsid w:val="00703106"/>
    <w:rsid w:val="0070316C"/>
    <w:rsid w:val="00703EFC"/>
    <w:rsid w:val="0070412E"/>
    <w:rsid w:val="007053D6"/>
    <w:rsid w:val="0070582F"/>
    <w:rsid w:val="00705DDA"/>
    <w:rsid w:val="0070633B"/>
    <w:rsid w:val="0070718A"/>
    <w:rsid w:val="007079AF"/>
    <w:rsid w:val="00710A05"/>
    <w:rsid w:val="0071324F"/>
    <w:rsid w:val="00713EBE"/>
    <w:rsid w:val="007145D1"/>
    <w:rsid w:val="0071600A"/>
    <w:rsid w:val="007164B7"/>
    <w:rsid w:val="007168D1"/>
    <w:rsid w:val="00717022"/>
    <w:rsid w:val="007172BF"/>
    <w:rsid w:val="0071761D"/>
    <w:rsid w:val="00720950"/>
    <w:rsid w:val="00721229"/>
    <w:rsid w:val="007215DA"/>
    <w:rsid w:val="00721756"/>
    <w:rsid w:val="007220DD"/>
    <w:rsid w:val="007221EA"/>
    <w:rsid w:val="007221F3"/>
    <w:rsid w:val="0072357C"/>
    <w:rsid w:val="007235F6"/>
    <w:rsid w:val="00723D7C"/>
    <w:rsid w:val="00723E8C"/>
    <w:rsid w:val="00724E14"/>
    <w:rsid w:val="0072636B"/>
    <w:rsid w:val="00726C5B"/>
    <w:rsid w:val="00726CC0"/>
    <w:rsid w:val="0072702D"/>
    <w:rsid w:val="0073194C"/>
    <w:rsid w:val="00733553"/>
    <w:rsid w:val="0073384C"/>
    <w:rsid w:val="00733D09"/>
    <w:rsid w:val="00734C29"/>
    <w:rsid w:val="00734FE0"/>
    <w:rsid w:val="0073758C"/>
    <w:rsid w:val="00737B21"/>
    <w:rsid w:val="00737EC6"/>
    <w:rsid w:val="00740824"/>
    <w:rsid w:val="00740BFB"/>
    <w:rsid w:val="00740F65"/>
    <w:rsid w:val="007420EB"/>
    <w:rsid w:val="00742806"/>
    <w:rsid w:val="007465D6"/>
    <w:rsid w:val="00746D8E"/>
    <w:rsid w:val="00746F49"/>
    <w:rsid w:val="0075056F"/>
    <w:rsid w:val="00750C77"/>
    <w:rsid w:val="007511DF"/>
    <w:rsid w:val="0075168D"/>
    <w:rsid w:val="00751A2D"/>
    <w:rsid w:val="00751BC9"/>
    <w:rsid w:val="00752DA3"/>
    <w:rsid w:val="00753743"/>
    <w:rsid w:val="00753EC3"/>
    <w:rsid w:val="00754241"/>
    <w:rsid w:val="00754A43"/>
    <w:rsid w:val="00754C2B"/>
    <w:rsid w:val="00755DB4"/>
    <w:rsid w:val="007562E6"/>
    <w:rsid w:val="007564DB"/>
    <w:rsid w:val="00756622"/>
    <w:rsid w:val="00756A88"/>
    <w:rsid w:val="00756DB5"/>
    <w:rsid w:val="00756EAE"/>
    <w:rsid w:val="0075747C"/>
    <w:rsid w:val="0075773D"/>
    <w:rsid w:val="00760681"/>
    <w:rsid w:val="00760C85"/>
    <w:rsid w:val="00760E7A"/>
    <w:rsid w:val="00760F8C"/>
    <w:rsid w:val="007616DF"/>
    <w:rsid w:val="00761737"/>
    <w:rsid w:val="00762D60"/>
    <w:rsid w:val="00762FB1"/>
    <w:rsid w:val="007631A6"/>
    <w:rsid w:val="00763E1B"/>
    <w:rsid w:val="0076606D"/>
    <w:rsid w:val="007668AA"/>
    <w:rsid w:val="00770467"/>
    <w:rsid w:val="0077066D"/>
    <w:rsid w:val="00770CE6"/>
    <w:rsid w:val="00771B7F"/>
    <w:rsid w:val="00772711"/>
    <w:rsid w:val="0077368C"/>
    <w:rsid w:val="007739A0"/>
    <w:rsid w:val="007748C0"/>
    <w:rsid w:val="00774CF9"/>
    <w:rsid w:val="00774D41"/>
    <w:rsid w:val="007757E8"/>
    <w:rsid w:val="00775E52"/>
    <w:rsid w:val="00776322"/>
    <w:rsid w:val="00776DF4"/>
    <w:rsid w:val="007778FE"/>
    <w:rsid w:val="00777B0C"/>
    <w:rsid w:val="00781B6E"/>
    <w:rsid w:val="00786696"/>
    <w:rsid w:val="00786E52"/>
    <w:rsid w:val="0078793C"/>
    <w:rsid w:val="0079002F"/>
    <w:rsid w:val="007913C8"/>
    <w:rsid w:val="00791446"/>
    <w:rsid w:val="0079241E"/>
    <w:rsid w:val="007929B9"/>
    <w:rsid w:val="00792A0A"/>
    <w:rsid w:val="00792DE2"/>
    <w:rsid w:val="00792E8D"/>
    <w:rsid w:val="00793F9D"/>
    <w:rsid w:val="007947BA"/>
    <w:rsid w:val="007A1205"/>
    <w:rsid w:val="007A14E3"/>
    <w:rsid w:val="007A2F76"/>
    <w:rsid w:val="007A4A1C"/>
    <w:rsid w:val="007A566E"/>
    <w:rsid w:val="007A639D"/>
    <w:rsid w:val="007A66E4"/>
    <w:rsid w:val="007A6C73"/>
    <w:rsid w:val="007A7215"/>
    <w:rsid w:val="007B048E"/>
    <w:rsid w:val="007B258A"/>
    <w:rsid w:val="007B2B4A"/>
    <w:rsid w:val="007B3292"/>
    <w:rsid w:val="007B38EF"/>
    <w:rsid w:val="007B3B80"/>
    <w:rsid w:val="007B3D13"/>
    <w:rsid w:val="007B3E56"/>
    <w:rsid w:val="007B5A3B"/>
    <w:rsid w:val="007B63AA"/>
    <w:rsid w:val="007B7FCC"/>
    <w:rsid w:val="007C0299"/>
    <w:rsid w:val="007C14DF"/>
    <w:rsid w:val="007C16FE"/>
    <w:rsid w:val="007C17E5"/>
    <w:rsid w:val="007C29CD"/>
    <w:rsid w:val="007C2CE7"/>
    <w:rsid w:val="007C3E05"/>
    <w:rsid w:val="007C4182"/>
    <w:rsid w:val="007C4568"/>
    <w:rsid w:val="007C5407"/>
    <w:rsid w:val="007C64F6"/>
    <w:rsid w:val="007D09F3"/>
    <w:rsid w:val="007D111C"/>
    <w:rsid w:val="007D18F5"/>
    <w:rsid w:val="007D1B6A"/>
    <w:rsid w:val="007D2006"/>
    <w:rsid w:val="007D3356"/>
    <w:rsid w:val="007D5917"/>
    <w:rsid w:val="007D5A0C"/>
    <w:rsid w:val="007D5D7B"/>
    <w:rsid w:val="007D63A3"/>
    <w:rsid w:val="007D6FE5"/>
    <w:rsid w:val="007D7B5A"/>
    <w:rsid w:val="007D7DCA"/>
    <w:rsid w:val="007E0857"/>
    <w:rsid w:val="007E0BB7"/>
    <w:rsid w:val="007E2303"/>
    <w:rsid w:val="007E2FCD"/>
    <w:rsid w:val="007E3605"/>
    <w:rsid w:val="007E3D58"/>
    <w:rsid w:val="007E45D7"/>
    <w:rsid w:val="007E52A3"/>
    <w:rsid w:val="007E5EDA"/>
    <w:rsid w:val="007E618C"/>
    <w:rsid w:val="007E74FB"/>
    <w:rsid w:val="007E7856"/>
    <w:rsid w:val="007E7FC2"/>
    <w:rsid w:val="007F009A"/>
    <w:rsid w:val="007F0B81"/>
    <w:rsid w:val="007F13A0"/>
    <w:rsid w:val="007F20C8"/>
    <w:rsid w:val="007F268D"/>
    <w:rsid w:val="007F2742"/>
    <w:rsid w:val="007F2FCD"/>
    <w:rsid w:val="007F3023"/>
    <w:rsid w:val="007F5D9F"/>
    <w:rsid w:val="007F6DBD"/>
    <w:rsid w:val="007F7A05"/>
    <w:rsid w:val="007F7A9F"/>
    <w:rsid w:val="0080172D"/>
    <w:rsid w:val="008018E7"/>
    <w:rsid w:val="00803535"/>
    <w:rsid w:val="0080388B"/>
    <w:rsid w:val="008039B5"/>
    <w:rsid w:val="00805AAD"/>
    <w:rsid w:val="00807182"/>
    <w:rsid w:val="00807645"/>
    <w:rsid w:val="00810600"/>
    <w:rsid w:val="00811341"/>
    <w:rsid w:val="0081302D"/>
    <w:rsid w:val="00814A63"/>
    <w:rsid w:val="00815A46"/>
    <w:rsid w:val="00816133"/>
    <w:rsid w:val="00816CC7"/>
    <w:rsid w:val="008171FC"/>
    <w:rsid w:val="00817612"/>
    <w:rsid w:val="008203EF"/>
    <w:rsid w:val="00820A5F"/>
    <w:rsid w:val="00820C2A"/>
    <w:rsid w:val="00820EA1"/>
    <w:rsid w:val="008210E2"/>
    <w:rsid w:val="008216B6"/>
    <w:rsid w:val="008216C9"/>
    <w:rsid w:val="00822945"/>
    <w:rsid w:val="00822C5B"/>
    <w:rsid w:val="00823D46"/>
    <w:rsid w:val="00823F6C"/>
    <w:rsid w:val="00824001"/>
    <w:rsid w:val="00824193"/>
    <w:rsid w:val="00825C03"/>
    <w:rsid w:val="00826472"/>
    <w:rsid w:val="008302A1"/>
    <w:rsid w:val="00831C19"/>
    <w:rsid w:val="00832131"/>
    <w:rsid w:val="00833E3C"/>
    <w:rsid w:val="00834E5B"/>
    <w:rsid w:val="00835D3A"/>
    <w:rsid w:val="00836803"/>
    <w:rsid w:val="0084281D"/>
    <w:rsid w:val="00842CE8"/>
    <w:rsid w:val="008433C5"/>
    <w:rsid w:val="008435EE"/>
    <w:rsid w:val="008438E2"/>
    <w:rsid w:val="00844255"/>
    <w:rsid w:val="00844294"/>
    <w:rsid w:val="00844770"/>
    <w:rsid w:val="008459A2"/>
    <w:rsid w:val="00846454"/>
    <w:rsid w:val="00846C59"/>
    <w:rsid w:val="00847922"/>
    <w:rsid w:val="00850121"/>
    <w:rsid w:val="008517CF"/>
    <w:rsid w:val="0085191C"/>
    <w:rsid w:val="00851C24"/>
    <w:rsid w:val="00852100"/>
    <w:rsid w:val="0085303D"/>
    <w:rsid w:val="00853783"/>
    <w:rsid w:val="008537C3"/>
    <w:rsid w:val="00853F7F"/>
    <w:rsid w:val="008547D9"/>
    <w:rsid w:val="00854DAD"/>
    <w:rsid w:val="0085615D"/>
    <w:rsid w:val="008566A3"/>
    <w:rsid w:val="008567D4"/>
    <w:rsid w:val="00856839"/>
    <w:rsid w:val="00857F60"/>
    <w:rsid w:val="0086076E"/>
    <w:rsid w:val="00860916"/>
    <w:rsid w:val="00861070"/>
    <w:rsid w:val="0086248E"/>
    <w:rsid w:val="008628DB"/>
    <w:rsid w:val="00863C45"/>
    <w:rsid w:val="00863F17"/>
    <w:rsid w:val="00863FFB"/>
    <w:rsid w:val="008649D4"/>
    <w:rsid w:val="008650E0"/>
    <w:rsid w:val="008669F1"/>
    <w:rsid w:val="00866EE1"/>
    <w:rsid w:val="008678D3"/>
    <w:rsid w:val="00867A67"/>
    <w:rsid w:val="0087098B"/>
    <w:rsid w:val="00872A35"/>
    <w:rsid w:val="00873220"/>
    <w:rsid w:val="0087355A"/>
    <w:rsid w:val="0087365D"/>
    <w:rsid w:val="00873DD4"/>
    <w:rsid w:val="00874001"/>
    <w:rsid w:val="008750D4"/>
    <w:rsid w:val="00875512"/>
    <w:rsid w:val="00875BFD"/>
    <w:rsid w:val="00875E4B"/>
    <w:rsid w:val="00876717"/>
    <w:rsid w:val="008779A3"/>
    <w:rsid w:val="00880660"/>
    <w:rsid w:val="00881A56"/>
    <w:rsid w:val="00881BB4"/>
    <w:rsid w:val="00881F7D"/>
    <w:rsid w:val="00883817"/>
    <w:rsid w:val="00883D2B"/>
    <w:rsid w:val="008845F7"/>
    <w:rsid w:val="00884BB7"/>
    <w:rsid w:val="00885F04"/>
    <w:rsid w:val="00886D0D"/>
    <w:rsid w:val="00887494"/>
    <w:rsid w:val="00890111"/>
    <w:rsid w:val="00890E51"/>
    <w:rsid w:val="00891497"/>
    <w:rsid w:val="00891B32"/>
    <w:rsid w:val="00892879"/>
    <w:rsid w:val="0089362B"/>
    <w:rsid w:val="00893701"/>
    <w:rsid w:val="00893852"/>
    <w:rsid w:val="00895263"/>
    <w:rsid w:val="00895610"/>
    <w:rsid w:val="008A0025"/>
    <w:rsid w:val="008A016F"/>
    <w:rsid w:val="008A0287"/>
    <w:rsid w:val="008A02D9"/>
    <w:rsid w:val="008A310E"/>
    <w:rsid w:val="008A5569"/>
    <w:rsid w:val="008A6275"/>
    <w:rsid w:val="008A644D"/>
    <w:rsid w:val="008A6BAD"/>
    <w:rsid w:val="008A6D30"/>
    <w:rsid w:val="008B01CB"/>
    <w:rsid w:val="008B072F"/>
    <w:rsid w:val="008B0CEA"/>
    <w:rsid w:val="008B1050"/>
    <w:rsid w:val="008B2508"/>
    <w:rsid w:val="008B2E7D"/>
    <w:rsid w:val="008B481B"/>
    <w:rsid w:val="008B4959"/>
    <w:rsid w:val="008B5260"/>
    <w:rsid w:val="008B52C3"/>
    <w:rsid w:val="008B5946"/>
    <w:rsid w:val="008B5C5E"/>
    <w:rsid w:val="008B6656"/>
    <w:rsid w:val="008B6A20"/>
    <w:rsid w:val="008B7310"/>
    <w:rsid w:val="008C1439"/>
    <w:rsid w:val="008C216E"/>
    <w:rsid w:val="008C2691"/>
    <w:rsid w:val="008C2C99"/>
    <w:rsid w:val="008C2FDC"/>
    <w:rsid w:val="008C47C0"/>
    <w:rsid w:val="008C4D0D"/>
    <w:rsid w:val="008C4EE0"/>
    <w:rsid w:val="008C506C"/>
    <w:rsid w:val="008C6FC8"/>
    <w:rsid w:val="008C7372"/>
    <w:rsid w:val="008C7896"/>
    <w:rsid w:val="008D0EF1"/>
    <w:rsid w:val="008D25F7"/>
    <w:rsid w:val="008D2658"/>
    <w:rsid w:val="008D3426"/>
    <w:rsid w:val="008D350E"/>
    <w:rsid w:val="008D36A5"/>
    <w:rsid w:val="008D4118"/>
    <w:rsid w:val="008D4605"/>
    <w:rsid w:val="008D5917"/>
    <w:rsid w:val="008D5FF4"/>
    <w:rsid w:val="008D605D"/>
    <w:rsid w:val="008D6752"/>
    <w:rsid w:val="008D6A14"/>
    <w:rsid w:val="008E019C"/>
    <w:rsid w:val="008E04C2"/>
    <w:rsid w:val="008E07FE"/>
    <w:rsid w:val="008E094E"/>
    <w:rsid w:val="008E12AC"/>
    <w:rsid w:val="008E160A"/>
    <w:rsid w:val="008E16FC"/>
    <w:rsid w:val="008E1A2F"/>
    <w:rsid w:val="008E1A5A"/>
    <w:rsid w:val="008E2165"/>
    <w:rsid w:val="008E38BA"/>
    <w:rsid w:val="008E3B6A"/>
    <w:rsid w:val="008E3CD5"/>
    <w:rsid w:val="008E3E6C"/>
    <w:rsid w:val="008E475D"/>
    <w:rsid w:val="008E4AB2"/>
    <w:rsid w:val="008E5418"/>
    <w:rsid w:val="008E5943"/>
    <w:rsid w:val="008E5BC5"/>
    <w:rsid w:val="008E6154"/>
    <w:rsid w:val="008E6525"/>
    <w:rsid w:val="008E780B"/>
    <w:rsid w:val="008F02F5"/>
    <w:rsid w:val="008F0B70"/>
    <w:rsid w:val="008F2637"/>
    <w:rsid w:val="008F35B9"/>
    <w:rsid w:val="008F384B"/>
    <w:rsid w:val="008F3B46"/>
    <w:rsid w:val="008F5491"/>
    <w:rsid w:val="008F5BE2"/>
    <w:rsid w:val="008F74AF"/>
    <w:rsid w:val="008F7BCB"/>
    <w:rsid w:val="0090001B"/>
    <w:rsid w:val="00900E95"/>
    <w:rsid w:val="009011AC"/>
    <w:rsid w:val="00901921"/>
    <w:rsid w:val="00901C36"/>
    <w:rsid w:val="00902266"/>
    <w:rsid w:val="00903FCA"/>
    <w:rsid w:val="009042F1"/>
    <w:rsid w:val="00905A2F"/>
    <w:rsid w:val="009062F1"/>
    <w:rsid w:val="00906B56"/>
    <w:rsid w:val="00907156"/>
    <w:rsid w:val="00907D01"/>
    <w:rsid w:val="00907E44"/>
    <w:rsid w:val="00907F99"/>
    <w:rsid w:val="00910026"/>
    <w:rsid w:val="00911202"/>
    <w:rsid w:val="009116C9"/>
    <w:rsid w:val="00912F42"/>
    <w:rsid w:val="00914F6D"/>
    <w:rsid w:val="00915EAC"/>
    <w:rsid w:val="009167A4"/>
    <w:rsid w:val="009169E7"/>
    <w:rsid w:val="00917DD2"/>
    <w:rsid w:val="00917F4E"/>
    <w:rsid w:val="00920390"/>
    <w:rsid w:val="0092149B"/>
    <w:rsid w:val="0092160F"/>
    <w:rsid w:val="009216C9"/>
    <w:rsid w:val="0092176D"/>
    <w:rsid w:val="00923B7F"/>
    <w:rsid w:val="00923F72"/>
    <w:rsid w:val="009249C7"/>
    <w:rsid w:val="00924DB3"/>
    <w:rsid w:val="009251BF"/>
    <w:rsid w:val="0092546B"/>
    <w:rsid w:val="00926278"/>
    <w:rsid w:val="009275A7"/>
    <w:rsid w:val="00930A55"/>
    <w:rsid w:val="00930AF5"/>
    <w:rsid w:val="009313E7"/>
    <w:rsid w:val="009314C5"/>
    <w:rsid w:val="00931810"/>
    <w:rsid w:val="009322C6"/>
    <w:rsid w:val="009322E5"/>
    <w:rsid w:val="00932C40"/>
    <w:rsid w:val="0093321F"/>
    <w:rsid w:val="00933491"/>
    <w:rsid w:val="00933FC8"/>
    <w:rsid w:val="00934669"/>
    <w:rsid w:val="00934730"/>
    <w:rsid w:val="00934DCE"/>
    <w:rsid w:val="00934FA3"/>
    <w:rsid w:val="00935D46"/>
    <w:rsid w:val="00936B83"/>
    <w:rsid w:val="00937896"/>
    <w:rsid w:val="0094113A"/>
    <w:rsid w:val="0094159C"/>
    <w:rsid w:val="00941F9E"/>
    <w:rsid w:val="009420FC"/>
    <w:rsid w:val="00942B34"/>
    <w:rsid w:val="00942EFA"/>
    <w:rsid w:val="00944756"/>
    <w:rsid w:val="00944887"/>
    <w:rsid w:val="00945047"/>
    <w:rsid w:val="00945971"/>
    <w:rsid w:val="00945ED9"/>
    <w:rsid w:val="00946990"/>
    <w:rsid w:val="009473D6"/>
    <w:rsid w:val="00947A4E"/>
    <w:rsid w:val="00950017"/>
    <w:rsid w:val="0095040D"/>
    <w:rsid w:val="00951661"/>
    <w:rsid w:val="00951816"/>
    <w:rsid w:val="00952B77"/>
    <w:rsid w:val="009542C0"/>
    <w:rsid w:val="0095607C"/>
    <w:rsid w:val="00956358"/>
    <w:rsid w:val="00956DCD"/>
    <w:rsid w:val="00957C7C"/>
    <w:rsid w:val="009602FC"/>
    <w:rsid w:val="00960F97"/>
    <w:rsid w:val="00961B73"/>
    <w:rsid w:val="00962864"/>
    <w:rsid w:val="00962BFF"/>
    <w:rsid w:val="00962E49"/>
    <w:rsid w:val="00962FD3"/>
    <w:rsid w:val="009630C8"/>
    <w:rsid w:val="0096325F"/>
    <w:rsid w:val="00963589"/>
    <w:rsid w:val="0096389B"/>
    <w:rsid w:val="00964420"/>
    <w:rsid w:val="00964BD9"/>
    <w:rsid w:val="00965C8E"/>
    <w:rsid w:val="00966056"/>
    <w:rsid w:val="0096710D"/>
    <w:rsid w:val="00967AFD"/>
    <w:rsid w:val="00970E80"/>
    <w:rsid w:val="00970F3B"/>
    <w:rsid w:val="009717B1"/>
    <w:rsid w:val="00972595"/>
    <w:rsid w:val="009727E8"/>
    <w:rsid w:val="00972D07"/>
    <w:rsid w:val="00973551"/>
    <w:rsid w:val="009743B2"/>
    <w:rsid w:val="009743E3"/>
    <w:rsid w:val="00974766"/>
    <w:rsid w:val="00974A26"/>
    <w:rsid w:val="00974E60"/>
    <w:rsid w:val="00974F90"/>
    <w:rsid w:val="0097584B"/>
    <w:rsid w:val="00975AC1"/>
    <w:rsid w:val="00975F97"/>
    <w:rsid w:val="009762F2"/>
    <w:rsid w:val="00976951"/>
    <w:rsid w:val="00977A16"/>
    <w:rsid w:val="00977DB5"/>
    <w:rsid w:val="0098292E"/>
    <w:rsid w:val="0098345A"/>
    <w:rsid w:val="0098380A"/>
    <w:rsid w:val="00983B80"/>
    <w:rsid w:val="00984B41"/>
    <w:rsid w:val="00984F65"/>
    <w:rsid w:val="0098547C"/>
    <w:rsid w:val="0098726C"/>
    <w:rsid w:val="009904E0"/>
    <w:rsid w:val="00991247"/>
    <w:rsid w:val="00991464"/>
    <w:rsid w:val="0099161B"/>
    <w:rsid w:val="00991F10"/>
    <w:rsid w:val="0099333E"/>
    <w:rsid w:val="009933EB"/>
    <w:rsid w:val="009949C4"/>
    <w:rsid w:val="00994A3D"/>
    <w:rsid w:val="00995590"/>
    <w:rsid w:val="00997153"/>
    <w:rsid w:val="00997388"/>
    <w:rsid w:val="009974CD"/>
    <w:rsid w:val="00997B26"/>
    <w:rsid w:val="009A08EA"/>
    <w:rsid w:val="009A1553"/>
    <w:rsid w:val="009A1971"/>
    <w:rsid w:val="009A1A87"/>
    <w:rsid w:val="009A31CD"/>
    <w:rsid w:val="009A3895"/>
    <w:rsid w:val="009A3C36"/>
    <w:rsid w:val="009A418E"/>
    <w:rsid w:val="009A4374"/>
    <w:rsid w:val="009A4988"/>
    <w:rsid w:val="009A6342"/>
    <w:rsid w:val="009A6BF1"/>
    <w:rsid w:val="009A7108"/>
    <w:rsid w:val="009A799B"/>
    <w:rsid w:val="009A7A05"/>
    <w:rsid w:val="009B05D9"/>
    <w:rsid w:val="009B0853"/>
    <w:rsid w:val="009B2FFA"/>
    <w:rsid w:val="009B3427"/>
    <w:rsid w:val="009B3FC6"/>
    <w:rsid w:val="009B4008"/>
    <w:rsid w:val="009B404E"/>
    <w:rsid w:val="009B405A"/>
    <w:rsid w:val="009B47FA"/>
    <w:rsid w:val="009B4ADC"/>
    <w:rsid w:val="009B5675"/>
    <w:rsid w:val="009B5B08"/>
    <w:rsid w:val="009B68DB"/>
    <w:rsid w:val="009B68DF"/>
    <w:rsid w:val="009B68E1"/>
    <w:rsid w:val="009B6B66"/>
    <w:rsid w:val="009C06EB"/>
    <w:rsid w:val="009C2BBB"/>
    <w:rsid w:val="009C49CB"/>
    <w:rsid w:val="009C5247"/>
    <w:rsid w:val="009C6153"/>
    <w:rsid w:val="009C6301"/>
    <w:rsid w:val="009C7062"/>
    <w:rsid w:val="009C72C9"/>
    <w:rsid w:val="009D0B5D"/>
    <w:rsid w:val="009D0BE3"/>
    <w:rsid w:val="009D0D34"/>
    <w:rsid w:val="009D291E"/>
    <w:rsid w:val="009D2A51"/>
    <w:rsid w:val="009D2BCD"/>
    <w:rsid w:val="009D3F9D"/>
    <w:rsid w:val="009D5010"/>
    <w:rsid w:val="009D57C7"/>
    <w:rsid w:val="009D62A8"/>
    <w:rsid w:val="009D6A3C"/>
    <w:rsid w:val="009D6B9D"/>
    <w:rsid w:val="009D6FCA"/>
    <w:rsid w:val="009D7D9F"/>
    <w:rsid w:val="009D7E02"/>
    <w:rsid w:val="009E0436"/>
    <w:rsid w:val="009E07DB"/>
    <w:rsid w:val="009E0F69"/>
    <w:rsid w:val="009E2646"/>
    <w:rsid w:val="009E2C97"/>
    <w:rsid w:val="009E2F60"/>
    <w:rsid w:val="009E3769"/>
    <w:rsid w:val="009E51D0"/>
    <w:rsid w:val="009E5359"/>
    <w:rsid w:val="009E5B43"/>
    <w:rsid w:val="009E5BCB"/>
    <w:rsid w:val="009E6677"/>
    <w:rsid w:val="009E6686"/>
    <w:rsid w:val="009E6CE2"/>
    <w:rsid w:val="009E7B1E"/>
    <w:rsid w:val="009E7C58"/>
    <w:rsid w:val="009F19BF"/>
    <w:rsid w:val="009F1C31"/>
    <w:rsid w:val="009F2D49"/>
    <w:rsid w:val="009F2F6E"/>
    <w:rsid w:val="009F5531"/>
    <w:rsid w:val="009F5ABA"/>
    <w:rsid w:val="009F5F14"/>
    <w:rsid w:val="009F6AE2"/>
    <w:rsid w:val="009F72A3"/>
    <w:rsid w:val="009F7CCE"/>
    <w:rsid w:val="00A002A9"/>
    <w:rsid w:val="00A005B3"/>
    <w:rsid w:val="00A00C6B"/>
    <w:rsid w:val="00A00E74"/>
    <w:rsid w:val="00A02E53"/>
    <w:rsid w:val="00A04818"/>
    <w:rsid w:val="00A053F4"/>
    <w:rsid w:val="00A061FC"/>
    <w:rsid w:val="00A07EAF"/>
    <w:rsid w:val="00A10DFB"/>
    <w:rsid w:val="00A113ED"/>
    <w:rsid w:val="00A11DC4"/>
    <w:rsid w:val="00A11F62"/>
    <w:rsid w:val="00A122E6"/>
    <w:rsid w:val="00A1335B"/>
    <w:rsid w:val="00A1496F"/>
    <w:rsid w:val="00A156E2"/>
    <w:rsid w:val="00A16022"/>
    <w:rsid w:val="00A16331"/>
    <w:rsid w:val="00A165D0"/>
    <w:rsid w:val="00A1723A"/>
    <w:rsid w:val="00A1734C"/>
    <w:rsid w:val="00A17839"/>
    <w:rsid w:val="00A20476"/>
    <w:rsid w:val="00A204FF"/>
    <w:rsid w:val="00A206BB"/>
    <w:rsid w:val="00A21795"/>
    <w:rsid w:val="00A22037"/>
    <w:rsid w:val="00A220DC"/>
    <w:rsid w:val="00A223C5"/>
    <w:rsid w:val="00A22D4B"/>
    <w:rsid w:val="00A22DB3"/>
    <w:rsid w:val="00A23A80"/>
    <w:rsid w:val="00A24913"/>
    <w:rsid w:val="00A256A4"/>
    <w:rsid w:val="00A262B6"/>
    <w:rsid w:val="00A26D84"/>
    <w:rsid w:val="00A27514"/>
    <w:rsid w:val="00A27858"/>
    <w:rsid w:val="00A30BD0"/>
    <w:rsid w:val="00A31998"/>
    <w:rsid w:val="00A332C1"/>
    <w:rsid w:val="00A332C5"/>
    <w:rsid w:val="00A33960"/>
    <w:rsid w:val="00A34A3A"/>
    <w:rsid w:val="00A34ACB"/>
    <w:rsid w:val="00A35DAA"/>
    <w:rsid w:val="00A3791B"/>
    <w:rsid w:val="00A40204"/>
    <w:rsid w:val="00A40325"/>
    <w:rsid w:val="00A40A52"/>
    <w:rsid w:val="00A425E2"/>
    <w:rsid w:val="00A42C56"/>
    <w:rsid w:val="00A42DD2"/>
    <w:rsid w:val="00A43B26"/>
    <w:rsid w:val="00A44041"/>
    <w:rsid w:val="00A44385"/>
    <w:rsid w:val="00A45659"/>
    <w:rsid w:val="00A4796D"/>
    <w:rsid w:val="00A47E91"/>
    <w:rsid w:val="00A50A89"/>
    <w:rsid w:val="00A5121D"/>
    <w:rsid w:val="00A51E5F"/>
    <w:rsid w:val="00A53B42"/>
    <w:rsid w:val="00A56308"/>
    <w:rsid w:val="00A56817"/>
    <w:rsid w:val="00A56FC0"/>
    <w:rsid w:val="00A57071"/>
    <w:rsid w:val="00A571D9"/>
    <w:rsid w:val="00A579ED"/>
    <w:rsid w:val="00A60A51"/>
    <w:rsid w:val="00A60C28"/>
    <w:rsid w:val="00A61781"/>
    <w:rsid w:val="00A6190A"/>
    <w:rsid w:val="00A6226D"/>
    <w:rsid w:val="00A643D2"/>
    <w:rsid w:val="00A64EAD"/>
    <w:rsid w:val="00A658CE"/>
    <w:rsid w:val="00A658F8"/>
    <w:rsid w:val="00A65988"/>
    <w:rsid w:val="00A67148"/>
    <w:rsid w:val="00A706B8"/>
    <w:rsid w:val="00A70BE5"/>
    <w:rsid w:val="00A70C51"/>
    <w:rsid w:val="00A71601"/>
    <w:rsid w:val="00A7263E"/>
    <w:rsid w:val="00A72F2F"/>
    <w:rsid w:val="00A73E4D"/>
    <w:rsid w:val="00A74CB1"/>
    <w:rsid w:val="00A76CC3"/>
    <w:rsid w:val="00A7710F"/>
    <w:rsid w:val="00A7790F"/>
    <w:rsid w:val="00A77A7C"/>
    <w:rsid w:val="00A80B79"/>
    <w:rsid w:val="00A80F66"/>
    <w:rsid w:val="00A81193"/>
    <w:rsid w:val="00A81D28"/>
    <w:rsid w:val="00A8258E"/>
    <w:rsid w:val="00A829F0"/>
    <w:rsid w:val="00A82AA7"/>
    <w:rsid w:val="00A8306A"/>
    <w:rsid w:val="00A83DA0"/>
    <w:rsid w:val="00A8432F"/>
    <w:rsid w:val="00A85553"/>
    <w:rsid w:val="00A85664"/>
    <w:rsid w:val="00A85739"/>
    <w:rsid w:val="00A86A04"/>
    <w:rsid w:val="00A87082"/>
    <w:rsid w:val="00A873F4"/>
    <w:rsid w:val="00A900DD"/>
    <w:rsid w:val="00A92298"/>
    <w:rsid w:val="00A92EEA"/>
    <w:rsid w:val="00A94345"/>
    <w:rsid w:val="00A948E5"/>
    <w:rsid w:val="00A94ED6"/>
    <w:rsid w:val="00A958FC"/>
    <w:rsid w:val="00A9631A"/>
    <w:rsid w:val="00A96C75"/>
    <w:rsid w:val="00A9711F"/>
    <w:rsid w:val="00A97FD3"/>
    <w:rsid w:val="00AA1908"/>
    <w:rsid w:val="00AA28ED"/>
    <w:rsid w:val="00AA2FC6"/>
    <w:rsid w:val="00AA3034"/>
    <w:rsid w:val="00AA3256"/>
    <w:rsid w:val="00AA3F7C"/>
    <w:rsid w:val="00AA4466"/>
    <w:rsid w:val="00AA494A"/>
    <w:rsid w:val="00AA4F6C"/>
    <w:rsid w:val="00AA5C03"/>
    <w:rsid w:val="00AA5EF3"/>
    <w:rsid w:val="00AA6048"/>
    <w:rsid w:val="00AA64A3"/>
    <w:rsid w:val="00AA68A4"/>
    <w:rsid w:val="00AA71CA"/>
    <w:rsid w:val="00AA74D6"/>
    <w:rsid w:val="00AA7C0D"/>
    <w:rsid w:val="00AA7E79"/>
    <w:rsid w:val="00AB0081"/>
    <w:rsid w:val="00AB10E9"/>
    <w:rsid w:val="00AB1227"/>
    <w:rsid w:val="00AB1786"/>
    <w:rsid w:val="00AB2187"/>
    <w:rsid w:val="00AB2224"/>
    <w:rsid w:val="00AB3AEA"/>
    <w:rsid w:val="00AB4581"/>
    <w:rsid w:val="00AB551D"/>
    <w:rsid w:val="00AB74C4"/>
    <w:rsid w:val="00AC07BB"/>
    <w:rsid w:val="00AC0C2C"/>
    <w:rsid w:val="00AC0CD4"/>
    <w:rsid w:val="00AC0CD6"/>
    <w:rsid w:val="00AC0E63"/>
    <w:rsid w:val="00AC2691"/>
    <w:rsid w:val="00AC2BCA"/>
    <w:rsid w:val="00AC41FF"/>
    <w:rsid w:val="00AC5203"/>
    <w:rsid w:val="00AC6DD8"/>
    <w:rsid w:val="00AD2AFB"/>
    <w:rsid w:val="00AD2F44"/>
    <w:rsid w:val="00AD33D6"/>
    <w:rsid w:val="00AD38A6"/>
    <w:rsid w:val="00AD3C2F"/>
    <w:rsid w:val="00AD4008"/>
    <w:rsid w:val="00AD403C"/>
    <w:rsid w:val="00AD406E"/>
    <w:rsid w:val="00AD4497"/>
    <w:rsid w:val="00AD4791"/>
    <w:rsid w:val="00AD5156"/>
    <w:rsid w:val="00AD6491"/>
    <w:rsid w:val="00AD6C67"/>
    <w:rsid w:val="00AD70A8"/>
    <w:rsid w:val="00AD783B"/>
    <w:rsid w:val="00AE16B6"/>
    <w:rsid w:val="00AE3EFA"/>
    <w:rsid w:val="00AE45E9"/>
    <w:rsid w:val="00AE474D"/>
    <w:rsid w:val="00AE56CE"/>
    <w:rsid w:val="00AE6914"/>
    <w:rsid w:val="00AE6D10"/>
    <w:rsid w:val="00AE6D2F"/>
    <w:rsid w:val="00AE75F9"/>
    <w:rsid w:val="00AE7A23"/>
    <w:rsid w:val="00AF0652"/>
    <w:rsid w:val="00AF10F3"/>
    <w:rsid w:val="00AF22EC"/>
    <w:rsid w:val="00AF2577"/>
    <w:rsid w:val="00AF460B"/>
    <w:rsid w:val="00AF55CF"/>
    <w:rsid w:val="00AF590B"/>
    <w:rsid w:val="00AF5BBE"/>
    <w:rsid w:val="00AF6A72"/>
    <w:rsid w:val="00AF701E"/>
    <w:rsid w:val="00AF7ADE"/>
    <w:rsid w:val="00AF7D15"/>
    <w:rsid w:val="00B00165"/>
    <w:rsid w:val="00B006D3"/>
    <w:rsid w:val="00B00DD4"/>
    <w:rsid w:val="00B010F5"/>
    <w:rsid w:val="00B01293"/>
    <w:rsid w:val="00B025A9"/>
    <w:rsid w:val="00B02EC3"/>
    <w:rsid w:val="00B031FE"/>
    <w:rsid w:val="00B03207"/>
    <w:rsid w:val="00B03810"/>
    <w:rsid w:val="00B038D7"/>
    <w:rsid w:val="00B03A1B"/>
    <w:rsid w:val="00B042BA"/>
    <w:rsid w:val="00B04703"/>
    <w:rsid w:val="00B05752"/>
    <w:rsid w:val="00B05AFF"/>
    <w:rsid w:val="00B06035"/>
    <w:rsid w:val="00B068FB"/>
    <w:rsid w:val="00B079C0"/>
    <w:rsid w:val="00B110D2"/>
    <w:rsid w:val="00B11385"/>
    <w:rsid w:val="00B11A43"/>
    <w:rsid w:val="00B122B8"/>
    <w:rsid w:val="00B123BB"/>
    <w:rsid w:val="00B12C3D"/>
    <w:rsid w:val="00B14AD0"/>
    <w:rsid w:val="00B14D3C"/>
    <w:rsid w:val="00B15162"/>
    <w:rsid w:val="00B16995"/>
    <w:rsid w:val="00B20118"/>
    <w:rsid w:val="00B21A5D"/>
    <w:rsid w:val="00B21CE0"/>
    <w:rsid w:val="00B21D99"/>
    <w:rsid w:val="00B220EF"/>
    <w:rsid w:val="00B224FF"/>
    <w:rsid w:val="00B22A70"/>
    <w:rsid w:val="00B22F3B"/>
    <w:rsid w:val="00B232ED"/>
    <w:rsid w:val="00B240E5"/>
    <w:rsid w:val="00B2565B"/>
    <w:rsid w:val="00B2673A"/>
    <w:rsid w:val="00B26A5E"/>
    <w:rsid w:val="00B2707C"/>
    <w:rsid w:val="00B27CD5"/>
    <w:rsid w:val="00B27E28"/>
    <w:rsid w:val="00B301A2"/>
    <w:rsid w:val="00B3099A"/>
    <w:rsid w:val="00B30C86"/>
    <w:rsid w:val="00B32402"/>
    <w:rsid w:val="00B3322E"/>
    <w:rsid w:val="00B335A3"/>
    <w:rsid w:val="00B3447E"/>
    <w:rsid w:val="00B34E74"/>
    <w:rsid w:val="00B365ED"/>
    <w:rsid w:val="00B36640"/>
    <w:rsid w:val="00B4105E"/>
    <w:rsid w:val="00B41226"/>
    <w:rsid w:val="00B413EC"/>
    <w:rsid w:val="00B4181D"/>
    <w:rsid w:val="00B42447"/>
    <w:rsid w:val="00B42BC7"/>
    <w:rsid w:val="00B42CBF"/>
    <w:rsid w:val="00B42CC9"/>
    <w:rsid w:val="00B43D68"/>
    <w:rsid w:val="00B44487"/>
    <w:rsid w:val="00B44E95"/>
    <w:rsid w:val="00B47251"/>
    <w:rsid w:val="00B4725D"/>
    <w:rsid w:val="00B5073C"/>
    <w:rsid w:val="00B513D5"/>
    <w:rsid w:val="00B529A2"/>
    <w:rsid w:val="00B535DB"/>
    <w:rsid w:val="00B538AA"/>
    <w:rsid w:val="00B53ADB"/>
    <w:rsid w:val="00B53DCF"/>
    <w:rsid w:val="00B542C6"/>
    <w:rsid w:val="00B55408"/>
    <w:rsid w:val="00B55D52"/>
    <w:rsid w:val="00B56659"/>
    <w:rsid w:val="00B6177F"/>
    <w:rsid w:val="00B635D1"/>
    <w:rsid w:val="00B63652"/>
    <w:rsid w:val="00B6388F"/>
    <w:rsid w:val="00B63A48"/>
    <w:rsid w:val="00B6420B"/>
    <w:rsid w:val="00B64E56"/>
    <w:rsid w:val="00B653F9"/>
    <w:rsid w:val="00B654DC"/>
    <w:rsid w:val="00B657B0"/>
    <w:rsid w:val="00B65B9E"/>
    <w:rsid w:val="00B66A0B"/>
    <w:rsid w:val="00B678B0"/>
    <w:rsid w:val="00B70191"/>
    <w:rsid w:val="00B704C5"/>
    <w:rsid w:val="00B706F2"/>
    <w:rsid w:val="00B70726"/>
    <w:rsid w:val="00B70921"/>
    <w:rsid w:val="00B70E82"/>
    <w:rsid w:val="00B71048"/>
    <w:rsid w:val="00B710A0"/>
    <w:rsid w:val="00B710FA"/>
    <w:rsid w:val="00B73386"/>
    <w:rsid w:val="00B73B52"/>
    <w:rsid w:val="00B73E04"/>
    <w:rsid w:val="00B75385"/>
    <w:rsid w:val="00B75B6B"/>
    <w:rsid w:val="00B75FC6"/>
    <w:rsid w:val="00B76519"/>
    <w:rsid w:val="00B76AAB"/>
    <w:rsid w:val="00B77CC0"/>
    <w:rsid w:val="00B808D7"/>
    <w:rsid w:val="00B80AC9"/>
    <w:rsid w:val="00B814D3"/>
    <w:rsid w:val="00B819C3"/>
    <w:rsid w:val="00B82061"/>
    <w:rsid w:val="00B83829"/>
    <w:rsid w:val="00B83C15"/>
    <w:rsid w:val="00B8426F"/>
    <w:rsid w:val="00B84646"/>
    <w:rsid w:val="00B848A0"/>
    <w:rsid w:val="00B849F2"/>
    <w:rsid w:val="00B8514F"/>
    <w:rsid w:val="00B86517"/>
    <w:rsid w:val="00B870CC"/>
    <w:rsid w:val="00B87603"/>
    <w:rsid w:val="00B87E38"/>
    <w:rsid w:val="00B905FB"/>
    <w:rsid w:val="00B909A8"/>
    <w:rsid w:val="00B91281"/>
    <w:rsid w:val="00B91CFC"/>
    <w:rsid w:val="00B91D38"/>
    <w:rsid w:val="00B92798"/>
    <w:rsid w:val="00B935B7"/>
    <w:rsid w:val="00B95D00"/>
    <w:rsid w:val="00B96B7C"/>
    <w:rsid w:val="00BA15DB"/>
    <w:rsid w:val="00BA2175"/>
    <w:rsid w:val="00BA39BF"/>
    <w:rsid w:val="00BA5D01"/>
    <w:rsid w:val="00BA696E"/>
    <w:rsid w:val="00BA6B83"/>
    <w:rsid w:val="00BA7378"/>
    <w:rsid w:val="00BB053C"/>
    <w:rsid w:val="00BB0836"/>
    <w:rsid w:val="00BB3478"/>
    <w:rsid w:val="00BB41A9"/>
    <w:rsid w:val="00BB4A1A"/>
    <w:rsid w:val="00BB666C"/>
    <w:rsid w:val="00BB78A5"/>
    <w:rsid w:val="00BB78B5"/>
    <w:rsid w:val="00BB7C02"/>
    <w:rsid w:val="00BC097A"/>
    <w:rsid w:val="00BC0D6F"/>
    <w:rsid w:val="00BC1179"/>
    <w:rsid w:val="00BC1B41"/>
    <w:rsid w:val="00BC205A"/>
    <w:rsid w:val="00BC23C5"/>
    <w:rsid w:val="00BC41A4"/>
    <w:rsid w:val="00BC437B"/>
    <w:rsid w:val="00BC4B80"/>
    <w:rsid w:val="00BC4DF7"/>
    <w:rsid w:val="00BC508A"/>
    <w:rsid w:val="00BC50A2"/>
    <w:rsid w:val="00BC54FC"/>
    <w:rsid w:val="00BC58C9"/>
    <w:rsid w:val="00BC66D9"/>
    <w:rsid w:val="00BC6BB6"/>
    <w:rsid w:val="00BC7255"/>
    <w:rsid w:val="00BD01B2"/>
    <w:rsid w:val="00BD046B"/>
    <w:rsid w:val="00BD056E"/>
    <w:rsid w:val="00BD09CB"/>
    <w:rsid w:val="00BD0D80"/>
    <w:rsid w:val="00BD164D"/>
    <w:rsid w:val="00BD1A13"/>
    <w:rsid w:val="00BD1F57"/>
    <w:rsid w:val="00BD1F5A"/>
    <w:rsid w:val="00BD3427"/>
    <w:rsid w:val="00BD380D"/>
    <w:rsid w:val="00BD3EF2"/>
    <w:rsid w:val="00BD3EF6"/>
    <w:rsid w:val="00BD3F94"/>
    <w:rsid w:val="00BD4622"/>
    <w:rsid w:val="00BD5212"/>
    <w:rsid w:val="00BD555F"/>
    <w:rsid w:val="00BE0311"/>
    <w:rsid w:val="00BE07B7"/>
    <w:rsid w:val="00BE0A26"/>
    <w:rsid w:val="00BE2701"/>
    <w:rsid w:val="00BE2B04"/>
    <w:rsid w:val="00BE37F6"/>
    <w:rsid w:val="00BE3AFC"/>
    <w:rsid w:val="00BE4D0A"/>
    <w:rsid w:val="00BE4D55"/>
    <w:rsid w:val="00BE548D"/>
    <w:rsid w:val="00BE5FC6"/>
    <w:rsid w:val="00BE7CA6"/>
    <w:rsid w:val="00BE7F56"/>
    <w:rsid w:val="00BF01AA"/>
    <w:rsid w:val="00BF075D"/>
    <w:rsid w:val="00BF0EF0"/>
    <w:rsid w:val="00BF1B3B"/>
    <w:rsid w:val="00BF292F"/>
    <w:rsid w:val="00BF297B"/>
    <w:rsid w:val="00BF2CC7"/>
    <w:rsid w:val="00BF3009"/>
    <w:rsid w:val="00BF44E7"/>
    <w:rsid w:val="00BF666E"/>
    <w:rsid w:val="00BF6FEF"/>
    <w:rsid w:val="00BF7AF5"/>
    <w:rsid w:val="00BF7CE0"/>
    <w:rsid w:val="00C01B3F"/>
    <w:rsid w:val="00C01BA2"/>
    <w:rsid w:val="00C02158"/>
    <w:rsid w:val="00C03433"/>
    <w:rsid w:val="00C034BB"/>
    <w:rsid w:val="00C03E46"/>
    <w:rsid w:val="00C03F94"/>
    <w:rsid w:val="00C044D7"/>
    <w:rsid w:val="00C04AEC"/>
    <w:rsid w:val="00C054B6"/>
    <w:rsid w:val="00C05C45"/>
    <w:rsid w:val="00C0699B"/>
    <w:rsid w:val="00C07583"/>
    <w:rsid w:val="00C07D1C"/>
    <w:rsid w:val="00C07F26"/>
    <w:rsid w:val="00C10461"/>
    <w:rsid w:val="00C10640"/>
    <w:rsid w:val="00C10779"/>
    <w:rsid w:val="00C119AD"/>
    <w:rsid w:val="00C11B78"/>
    <w:rsid w:val="00C1333B"/>
    <w:rsid w:val="00C13593"/>
    <w:rsid w:val="00C141D6"/>
    <w:rsid w:val="00C143FA"/>
    <w:rsid w:val="00C14F95"/>
    <w:rsid w:val="00C158EA"/>
    <w:rsid w:val="00C15EC1"/>
    <w:rsid w:val="00C162D7"/>
    <w:rsid w:val="00C166A0"/>
    <w:rsid w:val="00C17B94"/>
    <w:rsid w:val="00C17C02"/>
    <w:rsid w:val="00C20F54"/>
    <w:rsid w:val="00C2163E"/>
    <w:rsid w:val="00C21BD0"/>
    <w:rsid w:val="00C22FE2"/>
    <w:rsid w:val="00C2313B"/>
    <w:rsid w:val="00C23FA1"/>
    <w:rsid w:val="00C2620A"/>
    <w:rsid w:val="00C2656D"/>
    <w:rsid w:val="00C2700A"/>
    <w:rsid w:val="00C272A4"/>
    <w:rsid w:val="00C273B1"/>
    <w:rsid w:val="00C27A57"/>
    <w:rsid w:val="00C30445"/>
    <w:rsid w:val="00C3282E"/>
    <w:rsid w:val="00C33001"/>
    <w:rsid w:val="00C33122"/>
    <w:rsid w:val="00C332DF"/>
    <w:rsid w:val="00C33ED8"/>
    <w:rsid w:val="00C35E70"/>
    <w:rsid w:val="00C36871"/>
    <w:rsid w:val="00C36C8B"/>
    <w:rsid w:val="00C3724E"/>
    <w:rsid w:val="00C41492"/>
    <w:rsid w:val="00C41ABD"/>
    <w:rsid w:val="00C42EE2"/>
    <w:rsid w:val="00C44291"/>
    <w:rsid w:val="00C44AE6"/>
    <w:rsid w:val="00C44E1F"/>
    <w:rsid w:val="00C457E9"/>
    <w:rsid w:val="00C45A24"/>
    <w:rsid w:val="00C4752E"/>
    <w:rsid w:val="00C4759D"/>
    <w:rsid w:val="00C50858"/>
    <w:rsid w:val="00C509BF"/>
    <w:rsid w:val="00C51602"/>
    <w:rsid w:val="00C525DC"/>
    <w:rsid w:val="00C53624"/>
    <w:rsid w:val="00C54427"/>
    <w:rsid w:val="00C54507"/>
    <w:rsid w:val="00C55188"/>
    <w:rsid w:val="00C553BD"/>
    <w:rsid w:val="00C576A2"/>
    <w:rsid w:val="00C60661"/>
    <w:rsid w:val="00C607CF"/>
    <w:rsid w:val="00C60DEE"/>
    <w:rsid w:val="00C61922"/>
    <w:rsid w:val="00C61DBC"/>
    <w:rsid w:val="00C62200"/>
    <w:rsid w:val="00C62932"/>
    <w:rsid w:val="00C63ADA"/>
    <w:rsid w:val="00C640DC"/>
    <w:rsid w:val="00C6469A"/>
    <w:rsid w:val="00C6469C"/>
    <w:rsid w:val="00C6527A"/>
    <w:rsid w:val="00C65608"/>
    <w:rsid w:val="00C65BB8"/>
    <w:rsid w:val="00C669B6"/>
    <w:rsid w:val="00C66D86"/>
    <w:rsid w:val="00C66F4A"/>
    <w:rsid w:val="00C678CB"/>
    <w:rsid w:val="00C67F69"/>
    <w:rsid w:val="00C67FD9"/>
    <w:rsid w:val="00C7013D"/>
    <w:rsid w:val="00C707C2"/>
    <w:rsid w:val="00C72B35"/>
    <w:rsid w:val="00C72BEE"/>
    <w:rsid w:val="00C7448B"/>
    <w:rsid w:val="00C74A63"/>
    <w:rsid w:val="00C74D53"/>
    <w:rsid w:val="00C7511A"/>
    <w:rsid w:val="00C75BC5"/>
    <w:rsid w:val="00C75EF7"/>
    <w:rsid w:val="00C770B4"/>
    <w:rsid w:val="00C7755B"/>
    <w:rsid w:val="00C779E1"/>
    <w:rsid w:val="00C80AF0"/>
    <w:rsid w:val="00C80BF0"/>
    <w:rsid w:val="00C81477"/>
    <w:rsid w:val="00C8167E"/>
    <w:rsid w:val="00C82759"/>
    <w:rsid w:val="00C82862"/>
    <w:rsid w:val="00C82ACC"/>
    <w:rsid w:val="00C82C80"/>
    <w:rsid w:val="00C86384"/>
    <w:rsid w:val="00C86F83"/>
    <w:rsid w:val="00C87FF0"/>
    <w:rsid w:val="00C90C2E"/>
    <w:rsid w:val="00C9160D"/>
    <w:rsid w:val="00C916BF"/>
    <w:rsid w:val="00C92061"/>
    <w:rsid w:val="00C926B9"/>
    <w:rsid w:val="00C92CD8"/>
    <w:rsid w:val="00C92F19"/>
    <w:rsid w:val="00C93084"/>
    <w:rsid w:val="00C944CD"/>
    <w:rsid w:val="00C94B6F"/>
    <w:rsid w:val="00C955D7"/>
    <w:rsid w:val="00C95DE9"/>
    <w:rsid w:val="00C96013"/>
    <w:rsid w:val="00C960DE"/>
    <w:rsid w:val="00C9692A"/>
    <w:rsid w:val="00C97CB4"/>
    <w:rsid w:val="00CA0784"/>
    <w:rsid w:val="00CA1126"/>
    <w:rsid w:val="00CA12D5"/>
    <w:rsid w:val="00CA1F57"/>
    <w:rsid w:val="00CA27D9"/>
    <w:rsid w:val="00CA2C91"/>
    <w:rsid w:val="00CA2E26"/>
    <w:rsid w:val="00CA385A"/>
    <w:rsid w:val="00CA3B6B"/>
    <w:rsid w:val="00CA3BA7"/>
    <w:rsid w:val="00CA46B4"/>
    <w:rsid w:val="00CA626C"/>
    <w:rsid w:val="00CA6911"/>
    <w:rsid w:val="00CA70AE"/>
    <w:rsid w:val="00CA760C"/>
    <w:rsid w:val="00CB06F0"/>
    <w:rsid w:val="00CB0DD7"/>
    <w:rsid w:val="00CB0FFC"/>
    <w:rsid w:val="00CB27E1"/>
    <w:rsid w:val="00CB30F4"/>
    <w:rsid w:val="00CB31FE"/>
    <w:rsid w:val="00CB484B"/>
    <w:rsid w:val="00CB5305"/>
    <w:rsid w:val="00CB5BBE"/>
    <w:rsid w:val="00CB6025"/>
    <w:rsid w:val="00CB6C43"/>
    <w:rsid w:val="00CB6F85"/>
    <w:rsid w:val="00CB7B61"/>
    <w:rsid w:val="00CB7DD0"/>
    <w:rsid w:val="00CC0312"/>
    <w:rsid w:val="00CC27EF"/>
    <w:rsid w:val="00CC2F5F"/>
    <w:rsid w:val="00CC2F85"/>
    <w:rsid w:val="00CC4133"/>
    <w:rsid w:val="00CC4D7B"/>
    <w:rsid w:val="00CC5782"/>
    <w:rsid w:val="00CC6401"/>
    <w:rsid w:val="00CC66D2"/>
    <w:rsid w:val="00CC67F0"/>
    <w:rsid w:val="00CC7731"/>
    <w:rsid w:val="00CC7A99"/>
    <w:rsid w:val="00CC7ABB"/>
    <w:rsid w:val="00CD0314"/>
    <w:rsid w:val="00CD24FF"/>
    <w:rsid w:val="00CD31C5"/>
    <w:rsid w:val="00CD3906"/>
    <w:rsid w:val="00CD3D6F"/>
    <w:rsid w:val="00CD4A3F"/>
    <w:rsid w:val="00CD500C"/>
    <w:rsid w:val="00CD5CED"/>
    <w:rsid w:val="00CD661E"/>
    <w:rsid w:val="00CD702C"/>
    <w:rsid w:val="00CE0470"/>
    <w:rsid w:val="00CE0BCD"/>
    <w:rsid w:val="00CE1F2B"/>
    <w:rsid w:val="00CE2D16"/>
    <w:rsid w:val="00CE2E82"/>
    <w:rsid w:val="00CE36D2"/>
    <w:rsid w:val="00CE45AA"/>
    <w:rsid w:val="00CE468A"/>
    <w:rsid w:val="00CE468B"/>
    <w:rsid w:val="00CE5158"/>
    <w:rsid w:val="00CE63DE"/>
    <w:rsid w:val="00CE6947"/>
    <w:rsid w:val="00CE7333"/>
    <w:rsid w:val="00CF1A58"/>
    <w:rsid w:val="00CF2DE5"/>
    <w:rsid w:val="00CF4771"/>
    <w:rsid w:val="00CF5817"/>
    <w:rsid w:val="00CF6ED7"/>
    <w:rsid w:val="00CF7605"/>
    <w:rsid w:val="00CF7758"/>
    <w:rsid w:val="00D009C3"/>
    <w:rsid w:val="00D00C1C"/>
    <w:rsid w:val="00D02138"/>
    <w:rsid w:val="00D041CF"/>
    <w:rsid w:val="00D04237"/>
    <w:rsid w:val="00D0448C"/>
    <w:rsid w:val="00D0508F"/>
    <w:rsid w:val="00D05829"/>
    <w:rsid w:val="00D11923"/>
    <w:rsid w:val="00D11C6E"/>
    <w:rsid w:val="00D12300"/>
    <w:rsid w:val="00D12BEC"/>
    <w:rsid w:val="00D139B6"/>
    <w:rsid w:val="00D13DBE"/>
    <w:rsid w:val="00D14417"/>
    <w:rsid w:val="00D15A14"/>
    <w:rsid w:val="00D15C32"/>
    <w:rsid w:val="00D16D07"/>
    <w:rsid w:val="00D17534"/>
    <w:rsid w:val="00D202D8"/>
    <w:rsid w:val="00D2048C"/>
    <w:rsid w:val="00D205B2"/>
    <w:rsid w:val="00D20948"/>
    <w:rsid w:val="00D21D56"/>
    <w:rsid w:val="00D22040"/>
    <w:rsid w:val="00D22AF0"/>
    <w:rsid w:val="00D2443D"/>
    <w:rsid w:val="00D24635"/>
    <w:rsid w:val="00D2483D"/>
    <w:rsid w:val="00D25135"/>
    <w:rsid w:val="00D258BA"/>
    <w:rsid w:val="00D26222"/>
    <w:rsid w:val="00D26657"/>
    <w:rsid w:val="00D26F09"/>
    <w:rsid w:val="00D27B5C"/>
    <w:rsid w:val="00D27C48"/>
    <w:rsid w:val="00D30485"/>
    <w:rsid w:val="00D317BA"/>
    <w:rsid w:val="00D32C4F"/>
    <w:rsid w:val="00D3306B"/>
    <w:rsid w:val="00D34A64"/>
    <w:rsid w:val="00D34E54"/>
    <w:rsid w:val="00D3724D"/>
    <w:rsid w:val="00D37352"/>
    <w:rsid w:val="00D37A7C"/>
    <w:rsid w:val="00D37D8E"/>
    <w:rsid w:val="00D37EAC"/>
    <w:rsid w:val="00D402CF"/>
    <w:rsid w:val="00D41883"/>
    <w:rsid w:val="00D41963"/>
    <w:rsid w:val="00D422AF"/>
    <w:rsid w:val="00D42579"/>
    <w:rsid w:val="00D42D1C"/>
    <w:rsid w:val="00D42D93"/>
    <w:rsid w:val="00D43FF7"/>
    <w:rsid w:val="00D4445F"/>
    <w:rsid w:val="00D45C5C"/>
    <w:rsid w:val="00D505D8"/>
    <w:rsid w:val="00D51DD9"/>
    <w:rsid w:val="00D52355"/>
    <w:rsid w:val="00D52392"/>
    <w:rsid w:val="00D52D4A"/>
    <w:rsid w:val="00D53E0A"/>
    <w:rsid w:val="00D556C1"/>
    <w:rsid w:val="00D55F29"/>
    <w:rsid w:val="00D568FE"/>
    <w:rsid w:val="00D57D90"/>
    <w:rsid w:val="00D57FC3"/>
    <w:rsid w:val="00D609E2"/>
    <w:rsid w:val="00D62548"/>
    <w:rsid w:val="00D627FD"/>
    <w:rsid w:val="00D62BB9"/>
    <w:rsid w:val="00D63A7E"/>
    <w:rsid w:val="00D64128"/>
    <w:rsid w:val="00D64A91"/>
    <w:rsid w:val="00D6557A"/>
    <w:rsid w:val="00D65EAE"/>
    <w:rsid w:val="00D669BE"/>
    <w:rsid w:val="00D6757B"/>
    <w:rsid w:val="00D678E9"/>
    <w:rsid w:val="00D67F65"/>
    <w:rsid w:val="00D7011B"/>
    <w:rsid w:val="00D7191D"/>
    <w:rsid w:val="00D728C3"/>
    <w:rsid w:val="00D72FAF"/>
    <w:rsid w:val="00D73C4D"/>
    <w:rsid w:val="00D74546"/>
    <w:rsid w:val="00D747EF"/>
    <w:rsid w:val="00D766BD"/>
    <w:rsid w:val="00D76C7B"/>
    <w:rsid w:val="00D77069"/>
    <w:rsid w:val="00D77172"/>
    <w:rsid w:val="00D772E9"/>
    <w:rsid w:val="00D80BC2"/>
    <w:rsid w:val="00D80FD5"/>
    <w:rsid w:val="00D816B0"/>
    <w:rsid w:val="00D82681"/>
    <w:rsid w:val="00D82C1C"/>
    <w:rsid w:val="00D82D7A"/>
    <w:rsid w:val="00D8331E"/>
    <w:rsid w:val="00D835F3"/>
    <w:rsid w:val="00D83BB1"/>
    <w:rsid w:val="00D842E1"/>
    <w:rsid w:val="00D854C5"/>
    <w:rsid w:val="00D857D1"/>
    <w:rsid w:val="00D85973"/>
    <w:rsid w:val="00D862C4"/>
    <w:rsid w:val="00D863E6"/>
    <w:rsid w:val="00D871C1"/>
    <w:rsid w:val="00D9043F"/>
    <w:rsid w:val="00D913BA"/>
    <w:rsid w:val="00D91405"/>
    <w:rsid w:val="00D91AA7"/>
    <w:rsid w:val="00D91C86"/>
    <w:rsid w:val="00D92A57"/>
    <w:rsid w:val="00D93574"/>
    <w:rsid w:val="00D936C1"/>
    <w:rsid w:val="00D93810"/>
    <w:rsid w:val="00D93D1B"/>
    <w:rsid w:val="00D949E7"/>
    <w:rsid w:val="00D94E2B"/>
    <w:rsid w:val="00D95D1F"/>
    <w:rsid w:val="00D95FA9"/>
    <w:rsid w:val="00D962D7"/>
    <w:rsid w:val="00D968C9"/>
    <w:rsid w:val="00D9717A"/>
    <w:rsid w:val="00D971F5"/>
    <w:rsid w:val="00D97D11"/>
    <w:rsid w:val="00DA0E70"/>
    <w:rsid w:val="00DA1265"/>
    <w:rsid w:val="00DA197B"/>
    <w:rsid w:val="00DA2759"/>
    <w:rsid w:val="00DA3456"/>
    <w:rsid w:val="00DA3702"/>
    <w:rsid w:val="00DA38C1"/>
    <w:rsid w:val="00DA3B9E"/>
    <w:rsid w:val="00DA40A1"/>
    <w:rsid w:val="00DA4199"/>
    <w:rsid w:val="00DA5DD7"/>
    <w:rsid w:val="00DA6A4A"/>
    <w:rsid w:val="00DA6F05"/>
    <w:rsid w:val="00DA70F6"/>
    <w:rsid w:val="00DA76C0"/>
    <w:rsid w:val="00DB0494"/>
    <w:rsid w:val="00DB08C3"/>
    <w:rsid w:val="00DB0D66"/>
    <w:rsid w:val="00DB366C"/>
    <w:rsid w:val="00DB3EAE"/>
    <w:rsid w:val="00DB4536"/>
    <w:rsid w:val="00DB4662"/>
    <w:rsid w:val="00DB5722"/>
    <w:rsid w:val="00DB59CD"/>
    <w:rsid w:val="00DB73C4"/>
    <w:rsid w:val="00DB7CF4"/>
    <w:rsid w:val="00DC0631"/>
    <w:rsid w:val="00DC0689"/>
    <w:rsid w:val="00DC0B26"/>
    <w:rsid w:val="00DC11A7"/>
    <w:rsid w:val="00DC1420"/>
    <w:rsid w:val="00DC1EF7"/>
    <w:rsid w:val="00DC41BB"/>
    <w:rsid w:val="00DC466D"/>
    <w:rsid w:val="00DC521C"/>
    <w:rsid w:val="00DC6830"/>
    <w:rsid w:val="00DC6E3F"/>
    <w:rsid w:val="00DC7BF8"/>
    <w:rsid w:val="00DD04FC"/>
    <w:rsid w:val="00DD0B74"/>
    <w:rsid w:val="00DD0E89"/>
    <w:rsid w:val="00DD209C"/>
    <w:rsid w:val="00DD3F25"/>
    <w:rsid w:val="00DD55B2"/>
    <w:rsid w:val="00DD598E"/>
    <w:rsid w:val="00DD5AD8"/>
    <w:rsid w:val="00DD5D62"/>
    <w:rsid w:val="00DD5F6E"/>
    <w:rsid w:val="00DD66B9"/>
    <w:rsid w:val="00DE0181"/>
    <w:rsid w:val="00DE091A"/>
    <w:rsid w:val="00DE1D13"/>
    <w:rsid w:val="00DE30E5"/>
    <w:rsid w:val="00DE39E7"/>
    <w:rsid w:val="00DE3B5A"/>
    <w:rsid w:val="00DE4184"/>
    <w:rsid w:val="00DE482C"/>
    <w:rsid w:val="00DE4E61"/>
    <w:rsid w:val="00DE4F85"/>
    <w:rsid w:val="00DE5483"/>
    <w:rsid w:val="00DE575D"/>
    <w:rsid w:val="00DE5841"/>
    <w:rsid w:val="00DE5B41"/>
    <w:rsid w:val="00DE6E5B"/>
    <w:rsid w:val="00DE6FF8"/>
    <w:rsid w:val="00DE7306"/>
    <w:rsid w:val="00DE75B1"/>
    <w:rsid w:val="00DE76C3"/>
    <w:rsid w:val="00DE7744"/>
    <w:rsid w:val="00DF0B33"/>
    <w:rsid w:val="00DF179E"/>
    <w:rsid w:val="00DF1D39"/>
    <w:rsid w:val="00DF1F50"/>
    <w:rsid w:val="00DF2570"/>
    <w:rsid w:val="00DF3308"/>
    <w:rsid w:val="00DF3B61"/>
    <w:rsid w:val="00DF4324"/>
    <w:rsid w:val="00DF56BD"/>
    <w:rsid w:val="00DF67F3"/>
    <w:rsid w:val="00DF7303"/>
    <w:rsid w:val="00E0143E"/>
    <w:rsid w:val="00E014E1"/>
    <w:rsid w:val="00E01A20"/>
    <w:rsid w:val="00E02C2E"/>
    <w:rsid w:val="00E02CC8"/>
    <w:rsid w:val="00E02FA8"/>
    <w:rsid w:val="00E032D7"/>
    <w:rsid w:val="00E03B7D"/>
    <w:rsid w:val="00E04184"/>
    <w:rsid w:val="00E05600"/>
    <w:rsid w:val="00E05C62"/>
    <w:rsid w:val="00E05F86"/>
    <w:rsid w:val="00E06D1F"/>
    <w:rsid w:val="00E07556"/>
    <w:rsid w:val="00E0774E"/>
    <w:rsid w:val="00E10BB4"/>
    <w:rsid w:val="00E1150E"/>
    <w:rsid w:val="00E11C26"/>
    <w:rsid w:val="00E1238F"/>
    <w:rsid w:val="00E1267D"/>
    <w:rsid w:val="00E13ACC"/>
    <w:rsid w:val="00E1421C"/>
    <w:rsid w:val="00E142B8"/>
    <w:rsid w:val="00E15217"/>
    <w:rsid w:val="00E15BF5"/>
    <w:rsid w:val="00E16D23"/>
    <w:rsid w:val="00E17777"/>
    <w:rsid w:val="00E17F1F"/>
    <w:rsid w:val="00E202E7"/>
    <w:rsid w:val="00E2145E"/>
    <w:rsid w:val="00E21A44"/>
    <w:rsid w:val="00E2222A"/>
    <w:rsid w:val="00E226B8"/>
    <w:rsid w:val="00E24175"/>
    <w:rsid w:val="00E2463F"/>
    <w:rsid w:val="00E2542C"/>
    <w:rsid w:val="00E3060A"/>
    <w:rsid w:val="00E309F5"/>
    <w:rsid w:val="00E30B81"/>
    <w:rsid w:val="00E31E8C"/>
    <w:rsid w:val="00E32571"/>
    <w:rsid w:val="00E33364"/>
    <w:rsid w:val="00E362C5"/>
    <w:rsid w:val="00E36510"/>
    <w:rsid w:val="00E366BF"/>
    <w:rsid w:val="00E41483"/>
    <w:rsid w:val="00E41492"/>
    <w:rsid w:val="00E42014"/>
    <w:rsid w:val="00E4245B"/>
    <w:rsid w:val="00E43D94"/>
    <w:rsid w:val="00E44501"/>
    <w:rsid w:val="00E4546F"/>
    <w:rsid w:val="00E459B9"/>
    <w:rsid w:val="00E462B3"/>
    <w:rsid w:val="00E4633D"/>
    <w:rsid w:val="00E4773A"/>
    <w:rsid w:val="00E479BF"/>
    <w:rsid w:val="00E50EF9"/>
    <w:rsid w:val="00E51305"/>
    <w:rsid w:val="00E514C5"/>
    <w:rsid w:val="00E51723"/>
    <w:rsid w:val="00E51740"/>
    <w:rsid w:val="00E546EC"/>
    <w:rsid w:val="00E55199"/>
    <w:rsid w:val="00E559F0"/>
    <w:rsid w:val="00E5775B"/>
    <w:rsid w:val="00E60626"/>
    <w:rsid w:val="00E60D2D"/>
    <w:rsid w:val="00E60F16"/>
    <w:rsid w:val="00E61270"/>
    <w:rsid w:val="00E62853"/>
    <w:rsid w:val="00E62CBA"/>
    <w:rsid w:val="00E62EF4"/>
    <w:rsid w:val="00E6483C"/>
    <w:rsid w:val="00E64F70"/>
    <w:rsid w:val="00E6620A"/>
    <w:rsid w:val="00E6688C"/>
    <w:rsid w:val="00E66A88"/>
    <w:rsid w:val="00E7008B"/>
    <w:rsid w:val="00E70AC7"/>
    <w:rsid w:val="00E71578"/>
    <w:rsid w:val="00E72496"/>
    <w:rsid w:val="00E729CA"/>
    <w:rsid w:val="00E72B7B"/>
    <w:rsid w:val="00E73015"/>
    <w:rsid w:val="00E73430"/>
    <w:rsid w:val="00E7491F"/>
    <w:rsid w:val="00E74BAE"/>
    <w:rsid w:val="00E74EFA"/>
    <w:rsid w:val="00E75F16"/>
    <w:rsid w:val="00E77C69"/>
    <w:rsid w:val="00E816DF"/>
    <w:rsid w:val="00E81AE5"/>
    <w:rsid w:val="00E82989"/>
    <w:rsid w:val="00E83796"/>
    <w:rsid w:val="00E83B5D"/>
    <w:rsid w:val="00E855C5"/>
    <w:rsid w:val="00E86091"/>
    <w:rsid w:val="00E871CC"/>
    <w:rsid w:val="00E90588"/>
    <w:rsid w:val="00E913F0"/>
    <w:rsid w:val="00E927A2"/>
    <w:rsid w:val="00E92F39"/>
    <w:rsid w:val="00E93091"/>
    <w:rsid w:val="00E9392A"/>
    <w:rsid w:val="00E93DBA"/>
    <w:rsid w:val="00E9482D"/>
    <w:rsid w:val="00E948A3"/>
    <w:rsid w:val="00E94E5F"/>
    <w:rsid w:val="00E96147"/>
    <w:rsid w:val="00E96874"/>
    <w:rsid w:val="00E9698E"/>
    <w:rsid w:val="00E96FC9"/>
    <w:rsid w:val="00E974D0"/>
    <w:rsid w:val="00E9774B"/>
    <w:rsid w:val="00E9794E"/>
    <w:rsid w:val="00EA006F"/>
    <w:rsid w:val="00EA0AB5"/>
    <w:rsid w:val="00EA131B"/>
    <w:rsid w:val="00EA266D"/>
    <w:rsid w:val="00EA2A31"/>
    <w:rsid w:val="00EA3F0C"/>
    <w:rsid w:val="00EA7A0A"/>
    <w:rsid w:val="00EB0712"/>
    <w:rsid w:val="00EB1B83"/>
    <w:rsid w:val="00EB3C0E"/>
    <w:rsid w:val="00EB3CA5"/>
    <w:rsid w:val="00EB474C"/>
    <w:rsid w:val="00EB4839"/>
    <w:rsid w:val="00EB4D29"/>
    <w:rsid w:val="00EB56E2"/>
    <w:rsid w:val="00EB5F6A"/>
    <w:rsid w:val="00EB606D"/>
    <w:rsid w:val="00EB6182"/>
    <w:rsid w:val="00EB66D0"/>
    <w:rsid w:val="00EB7140"/>
    <w:rsid w:val="00EC05DB"/>
    <w:rsid w:val="00EC0BD6"/>
    <w:rsid w:val="00EC1648"/>
    <w:rsid w:val="00EC2222"/>
    <w:rsid w:val="00EC3066"/>
    <w:rsid w:val="00EC3FAF"/>
    <w:rsid w:val="00EC4A2C"/>
    <w:rsid w:val="00EC4CEF"/>
    <w:rsid w:val="00EC5D6E"/>
    <w:rsid w:val="00EC5ED5"/>
    <w:rsid w:val="00EC69AE"/>
    <w:rsid w:val="00EC6AA6"/>
    <w:rsid w:val="00EC71AB"/>
    <w:rsid w:val="00ED0582"/>
    <w:rsid w:val="00ED0766"/>
    <w:rsid w:val="00ED0ABD"/>
    <w:rsid w:val="00ED1382"/>
    <w:rsid w:val="00ED1450"/>
    <w:rsid w:val="00ED173E"/>
    <w:rsid w:val="00ED24CA"/>
    <w:rsid w:val="00ED2F50"/>
    <w:rsid w:val="00ED3207"/>
    <w:rsid w:val="00ED34E3"/>
    <w:rsid w:val="00ED74BA"/>
    <w:rsid w:val="00ED76D5"/>
    <w:rsid w:val="00EE146D"/>
    <w:rsid w:val="00EE1813"/>
    <w:rsid w:val="00EE1CAB"/>
    <w:rsid w:val="00EE2087"/>
    <w:rsid w:val="00EE3321"/>
    <w:rsid w:val="00EE401C"/>
    <w:rsid w:val="00EE444F"/>
    <w:rsid w:val="00EE447F"/>
    <w:rsid w:val="00EE4916"/>
    <w:rsid w:val="00EE4E3A"/>
    <w:rsid w:val="00EE5AF3"/>
    <w:rsid w:val="00EE6DDF"/>
    <w:rsid w:val="00EE706F"/>
    <w:rsid w:val="00EE711F"/>
    <w:rsid w:val="00EF0299"/>
    <w:rsid w:val="00EF154F"/>
    <w:rsid w:val="00EF177A"/>
    <w:rsid w:val="00EF307F"/>
    <w:rsid w:val="00EF4EE0"/>
    <w:rsid w:val="00EF6A66"/>
    <w:rsid w:val="00EF6BD0"/>
    <w:rsid w:val="00EF7F87"/>
    <w:rsid w:val="00F01682"/>
    <w:rsid w:val="00F0198D"/>
    <w:rsid w:val="00F02080"/>
    <w:rsid w:val="00F02C9F"/>
    <w:rsid w:val="00F02E4A"/>
    <w:rsid w:val="00F037E2"/>
    <w:rsid w:val="00F03992"/>
    <w:rsid w:val="00F04084"/>
    <w:rsid w:val="00F045D6"/>
    <w:rsid w:val="00F047E5"/>
    <w:rsid w:val="00F07935"/>
    <w:rsid w:val="00F117C9"/>
    <w:rsid w:val="00F11A98"/>
    <w:rsid w:val="00F11D6E"/>
    <w:rsid w:val="00F1277C"/>
    <w:rsid w:val="00F13E5C"/>
    <w:rsid w:val="00F1435B"/>
    <w:rsid w:val="00F143C9"/>
    <w:rsid w:val="00F144B3"/>
    <w:rsid w:val="00F14CCF"/>
    <w:rsid w:val="00F157E4"/>
    <w:rsid w:val="00F15D85"/>
    <w:rsid w:val="00F16691"/>
    <w:rsid w:val="00F17EAB"/>
    <w:rsid w:val="00F202C0"/>
    <w:rsid w:val="00F22D3C"/>
    <w:rsid w:val="00F236CD"/>
    <w:rsid w:val="00F24928"/>
    <w:rsid w:val="00F24CB6"/>
    <w:rsid w:val="00F25728"/>
    <w:rsid w:val="00F25E67"/>
    <w:rsid w:val="00F25EAF"/>
    <w:rsid w:val="00F277F0"/>
    <w:rsid w:val="00F27CD6"/>
    <w:rsid w:val="00F30431"/>
    <w:rsid w:val="00F308B7"/>
    <w:rsid w:val="00F313E3"/>
    <w:rsid w:val="00F3159C"/>
    <w:rsid w:val="00F31701"/>
    <w:rsid w:val="00F32A41"/>
    <w:rsid w:val="00F32F64"/>
    <w:rsid w:val="00F339D4"/>
    <w:rsid w:val="00F34B76"/>
    <w:rsid w:val="00F35119"/>
    <w:rsid w:val="00F3582D"/>
    <w:rsid w:val="00F35D81"/>
    <w:rsid w:val="00F35FC6"/>
    <w:rsid w:val="00F41A6A"/>
    <w:rsid w:val="00F41BAD"/>
    <w:rsid w:val="00F41D80"/>
    <w:rsid w:val="00F428B2"/>
    <w:rsid w:val="00F42FD2"/>
    <w:rsid w:val="00F4347B"/>
    <w:rsid w:val="00F44084"/>
    <w:rsid w:val="00F44D26"/>
    <w:rsid w:val="00F45BA2"/>
    <w:rsid w:val="00F45FFF"/>
    <w:rsid w:val="00F46B47"/>
    <w:rsid w:val="00F47E7C"/>
    <w:rsid w:val="00F50C97"/>
    <w:rsid w:val="00F521DD"/>
    <w:rsid w:val="00F52AAA"/>
    <w:rsid w:val="00F5363E"/>
    <w:rsid w:val="00F53C66"/>
    <w:rsid w:val="00F54E5E"/>
    <w:rsid w:val="00F55904"/>
    <w:rsid w:val="00F564FB"/>
    <w:rsid w:val="00F5684E"/>
    <w:rsid w:val="00F56CEA"/>
    <w:rsid w:val="00F5732A"/>
    <w:rsid w:val="00F6026F"/>
    <w:rsid w:val="00F60EFE"/>
    <w:rsid w:val="00F6156C"/>
    <w:rsid w:val="00F619A1"/>
    <w:rsid w:val="00F62023"/>
    <w:rsid w:val="00F64862"/>
    <w:rsid w:val="00F6653F"/>
    <w:rsid w:val="00F66AD9"/>
    <w:rsid w:val="00F67CE7"/>
    <w:rsid w:val="00F70C1D"/>
    <w:rsid w:val="00F70F3F"/>
    <w:rsid w:val="00F727F3"/>
    <w:rsid w:val="00F7314C"/>
    <w:rsid w:val="00F76545"/>
    <w:rsid w:val="00F77C87"/>
    <w:rsid w:val="00F77D28"/>
    <w:rsid w:val="00F80297"/>
    <w:rsid w:val="00F8069A"/>
    <w:rsid w:val="00F8082B"/>
    <w:rsid w:val="00F80ACA"/>
    <w:rsid w:val="00F80DA3"/>
    <w:rsid w:val="00F810EB"/>
    <w:rsid w:val="00F81FA8"/>
    <w:rsid w:val="00F8318E"/>
    <w:rsid w:val="00F831B1"/>
    <w:rsid w:val="00F83ABB"/>
    <w:rsid w:val="00F8452F"/>
    <w:rsid w:val="00F85A16"/>
    <w:rsid w:val="00F85CF0"/>
    <w:rsid w:val="00F870D6"/>
    <w:rsid w:val="00F873B3"/>
    <w:rsid w:val="00F8791D"/>
    <w:rsid w:val="00F902BF"/>
    <w:rsid w:val="00F91F0A"/>
    <w:rsid w:val="00F93244"/>
    <w:rsid w:val="00F9370B"/>
    <w:rsid w:val="00F93E8B"/>
    <w:rsid w:val="00F93F04"/>
    <w:rsid w:val="00F94AFB"/>
    <w:rsid w:val="00F94B16"/>
    <w:rsid w:val="00F95FB1"/>
    <w:rsid w:val="00F96132"/>
    <w:rsid w:val="00F96342"/>
    <w:rsid w:val="00F96699"/>
    <w:rsid w:val="00FA0119"/>
    <w:rsid w:val="00FA0C57"/>
    <w:rsid w:val="00FA0EDF"/>
    <w:rsid w:val="00FA21ED"/>
    <w:rsid w:val="00FA4FC0"/>
    <w:rsid w:val="00FA52AE"/>
    <w:rsid w:val="00FA53E4"/>
    <w:rsid w:val="00FA5C4F"/>
    <w:rsid w:val="00FA7E7D"/>
    <w:rsid w:val="00FB0BC7"/>
    <w:rsid w:val="00FB0FBF"/>
    <w:rsid w:val="00FB181D"/>
    <w:rsid w:val="00FB18A1"/>
    <w:rsid w:val="00FB1985"/>
    <w:rsid w:val="00FB3B05"/>
    <w:rsid w:val="00FB46F2"/>
    <w:rsid w:val="00FB4D3F"/>
    <w:rsid w:val="00FB4EF3"/>
    <w:rsid w:val="00FB534C"/>
    <w:rsid w:val="00FB6078"/>
    <w:rsid w:val="00FC0089"/>
    <w:rsid w:val="00FC01CA"/>
    <w:rsid w:val="00FC0497"/>
    <w:rsid w:val="00FC1769"/>
    <w:rsid w:val="00FC273C"/>
    <w:rsid w:val="00FC28DE"/>
    <w:rsid w:val="00FC4190"/>
    <w:rsid w:val="00FC6A5B"/>
    <w:rsid w:val="00FD07AF"/>
    <w:rsid w:val="00FD0E66"/>
    <w:rsid w:val="00FD103A"/>
    <w:rsid w:val="00FD13C0"/>
    <w:rsid w:val="00FD15B9"/>
    <w:rsid w:val="00FD1E69"/>
    <w:rsid w:val="00FD2190"/>
    <w:rsid w:val="00FD2C2E"/>
    <w:rsid w:val="00FD2C9E"/>
    <w:rsid w:val="00FD300E"/>
    <w:rsid w:val="00FD3184"/>
    <w:rsid w:val="00FD318B"/>
    <w:rsid w:val="00FD32C8"/>
    <w:rsid w:val="00FD465D"/>
    <w:rsid w:val="00FD5157"/>
    <w:rsid w:val="00FD5A4D"/>
    <w:rsid w:val="00FD76CB"/>
    <w:rsid w:val="00FD7BF6"/>
    <w:rsid w:val="00FE03FE"/>
    <w:rsid w:val="00FE091E"/>
    <w:rsid w:val="00FE0E8A"/>
    <w:rsid w:val="00FE133D"/>
    <w:rsid w:val="00FE13B9"/>
    <w:rsid w:val="00FE1FE7"/>
    <w:rsid w:val="00FE2D36"/>
    <w:rsid w:val="00FE3AA2"/>
    <w:rsid w:val="00FE4971"/>
    <w:rsid w:val="00FE49F4"/>
    <w:rsid w:val="00FE67C9"/>
    <w:rsid w:val="00FE756A"/>
    <w:rsid w:val="00FF0E3F"/>
    <w:rsid w:val="00FF1F76"/>
    <w:rsid w:val="00FF1FFE"/>
    <w:rsid w:val="00FF2619"/>
    <w:rsid w:val="00FF2CC9"/>
    <w:rsid w:val="00FF2ED2"/>
    <w:rsid w:val="00FF317A"/>
    <w:rsid w:val="00FF4840"/>
    <w:rsid w:val="00FF588E"/>
    <w:rsid w:val="00FF59B0"/>
    <w:rsid w:val="00FF5F2A"/>
    <w:rsid w:val="00FF62ED"/>
    <w:rsid w:val="00FF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52868"/>
  <w15:chartTrackingRefBased/>
  <w15:docId w15:val="{4AED948D-7196-43B2-A235-1E28F0C9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BBB"/>
    <w:pPr>
      <w:spacing w:before="60" w:after="60" w:line="312" w:lineRule="auto"/>
      <w:jc w:val="both"/>
    </w:pPr>
    <w:rPr>
      <w:rFonts w:ascii="Arial" w:hAnsi="Arial" w:cs="Arial"/>
      <w:color w:val="000000" w:themeColor="text1"/>
      <w:sz w:val="20"/>
      <w:szCs w:val="21"/>
    </w:rPr>
  </w:style>
  <w:style w:type="paragraph" w:styleId="Heading10">
    <w:name w:val="heading 1"/>
    <w:basedOn w:val="Normal"/>
    <w:next w:val="Normal"/>
    <w:link w:val="Heading1Char"/>
    <w:uiPriority w:val="9"/>
    <w:qFormat/>
    <w:rsid w:val="001E486C"/>
    <w:pPr>
      <w:keepNext/>
      <w:keepLines/>
      <w:numPr>
        <w:numId w:val="48"/>
      </w:numPr>
      <w:spacing w:before="360" w:after="80"/>
      <w:outlineLvl w:val="0"/>
    </w:pPr>
    <w:rPr>
      <w:rFonts w:eastAsiaTheme="majorEastAsia" w:cstheme="majorBidi"/>
      <w:b/>
      <w:sz w:val="36"/>
      <w:szCs w:val="40"/>
    </w:rPr>
  </w:style>
  <w:style w:type="paragraph" w:styleId="Heading2">
    <w:name w:val="heading 2"/>
    <w:basedOn w:val="Normal"/>
    <w:next w:val="Normal"/>
    <w:link w:val="Heading2Char"/>
    <w:uiPriority w:val="9"/>
    <w:unhideWhenUsed/>
    <w:qFormat/>
    <w:rsid w:val="00081886"/>
    <w:pPr>
      <w:keepNext/>
      <w:keepLines/>
      <w:numPr>
        <w:ilvl w:val="1"/>
        <w:numId w:val="48"/>
      </w:numPr>
      <w:spacing w:before="160" w:after="80"/>
      <w:outlineLvl w:val="1"/>
    </w:pPr>
    <w:rPr>
      <w:rFonts w:eastAsiaTheme="majorEastAsia" w:cstheme="majorBidi"/>
      <w:color w:val="0F4761" w:themeColor="accent1" w:themeShade="BF"/>
      <w:sz w:val="32"/>
      <w:szCs w:val="32"/>
    </w:rPr>
  </w:style>
  <w:style w:type="paragraph" w:styleId="Heading30">
    <w:name w:val="heading 3"/>
    <w:basedOn w:val="Normal"/>
    <w:next w:val="Normal"/>
    <w:link w:val="Heading3Char"/>
    <w:uiPriority w:val="9"/>
    <w:unhideWhenUsed/>
    <w:qFormat/>
    <w:rsid w:val="00C7511A"/>
    <w:pPr>
      <w:keepNext/>
      <w:keepLines/>
      <w:numPr>
        <w:ilvl w:val="2"/>
        <w:numId w:val="48"/>
      </w:numPr>
      <w:spacing w:before="160" w:after="80"/>
      <w:outlineLvl w:val="2"/>
    </w:pPr>
    <w:rPr>
      <w:rFonts w:eastAsiaTheme="majorEastAsia" w:cstheme="majorBidi"/>
      <w:color w:val="0F4761" w:themeColor="accent1" w:themeShade="BF"/>
      <w:sz w:val="28"/>
      <w:szCs w:val="28"/>
    </w:rPr>
  </w:style>
  <w:style w:type="paragraph" w:styleId="Heading40">
    <w:name w:val="heading 4"/>
    <w:basedOn w:val="Normal"/>
    <w:next w:val="Normal"/>
    <w:link w:val="Heading4Char"/>
    <w:uiPriority w:val="9"/>
    <w:unhideWhenUsed/>
    <w:qFormat/>
    <w:rsid w:val="00C7511A"/>
    <w:pPr>
      <w:keepNext/>
      <w:keepLines/>
      <w:numPr>
        <w:ilvl w:val="3"/>
        <w:numId w:val="48"/>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7511A"/>
    <w:pPr>
      <w:keepNext/>
      <w:keepLines/>
      <w:numPr>
        <w:ilvl w:val="4"/>
        <w:numId w:val="48"/>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511A"/>
    <w:pPr>
      <w:keepNext/>
      <w:keepLines/>
      <w:numPr>
        <w:ilvl w:val="5"/>
        <w:numId w:val="48"/>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511A"/>
    <w:pPr>
      <w:keepNext/>
      <w:keepLines/>
      <w:numPr>
        <w:ilvl w:val="6"/>
        <w:numId w:val="48"/>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511A"/>
    <w:pPr>
      <w:keepNext/>
      <w:keepLines/>
      <w:numPr>
        <w:ilvl w:val="7"/>
        <w:numId w:val="48"/>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511A"/>
    <w:pPr>
      <w:keepNext/>
      <w:keepLines/>
      <w:numPr>
        <w:ilvl w:val="8"/>
        <w:numId w:val="48"/>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1E486C"/>
    <w:rPr>
      <w:rFonts w:ascii="Arial" w:eastAsiaTheme="majorEastAsia" w:hAnsi="Arial" w:cstheme="majorBidi"/>
      <w:b/>
      <w:color w:val="000000" w:themeColor="text1"/>
      <w:sz w:val="36"/>
      <w:szCs w:val="40"/>
    </w:rPr>
  </w:style>
  <w:style w:type="character" w:customStyle="1" w:styleId="Heading2Char">
    <w:name w:val="Heading 2 Char"/>
    <w:basedOn w:val="DefaultParagraphFont"/>
    <w:link w:val="Heading2"/>
    <w:uiPriority w:val="9"/>
    <w:rsid w:val="00081886"/>
    <w:rPr>
      <w:rFonts w:ascii="Arial" w:eastAsiaTheme="majorEastAsia" w:hAnsi="Arial" w:cstheme="majorBidi"/>
      <w:color w:val="0F4761" w:themeColor="accent1" w:themeShade="BF"/>
      <w:sz w:val="32"/>
      <w:szCs w:val="32"/>
    </w:rPr>
  </w:style>
  <w:style w:type="character" w:customStyle="1" w:styleId="Heading3Char">
    <w:name w:val="Heading 3 Char"/>
    <w:basedOn w:val="DefaultParagraphFont"/>
    <w:link w:val="Heading30"/>
    <w:uiPriority w:val="9"/>
    <w:rsid w:val="00C7511A"/>
    <w:rPr>
      <w:rFonts w:ascii="Arial" w:eastAsiaTheme="majorEastAsia" w:hAnsi="Arial" w:cstheme="majorBidi"/>
      <w:color w:val="0F4761" w:themeColor="accent1" w:themeShade="BF"/>
      <w:sz w:val="28"/>
      <w:szCs w:val="28"/>
    </w:rPr>
  </w:style>
  <w:style w:type="character" w:customStyle="1" w:styleId="Heading4Char">
    <w:name w:val="Heading 4 Char"/>
    <w:basedOn w:val="DefaultParagraphFont"/>
    <w:link w:val="Heading40"/>
    <w:uiPriority w:val="9"/>
    <w:rsid w:val="00C7511A"/>
    <w:rPr>
      <w:rFonts w:ascii="Arial" w:eastAsiaTheme="majorEastAsia" w:hAnsi="Arial" w:cstheme="majorBidi"/>
      <w:i/>
      <w:iCs/>
      <w:color w:val="0F4761" w:themeColor="accent1" w:themeShade="BF"/>
      <w:sz w:val="20"/>
      <w:szCs w:val="21"/>
    </w:rPr>
  </w:style>
  <w:style w:type="character" w:customStyle="1" w:styleId="Heading5Char">
    <w:name w:val="Heading 5 Char"/>
    <w:basedOn w:val="DefaultParagraphFont"/>
    <w:link w:val="Heading5"/>
    <w:uiPriority w:val="9"/>
    <w:rsid w:val="00C7511A"/>
    <w:rPr>
      <w:rFonts w:ascii="Arial" w:eastAsiaTheme="majorEastAsia" w:hAnsi="Arial" w:cstheme="majorBidi"/>
      <w:color w:val="0F4761" w:themeColor="accent1" w:themeShade="BF"/>
      <w:sz w:val="20"/>
      <w:szCs w:val="21"/>
    </w:rPr>
  </w:style>
  <w:style w:type="character" w:customStyle="1" w:styleId="Heading6Char">
    <w:name w:val="Heading 6 Char"/>
    <w:basedOn w:val="DefaultParagraphFont"/>
    <w:link w:val="Heading6"/>
    <w:uiPriority w:val="9"/>
    <w:semiHidden/>
    <w:rsid w:val="00C7511A"/>
    <w:rPr>
      <w:rFonts w:ascii="Arial" w:eastAsiaTheme="majorEastAsia" w:hAnsi="Arial" w:cstheme="majorBidi"/>
      <w:i/>
      <w:iCs/>
      <w:color w:val="595959" w:themeColor="text1" w:themeTint="A6"/>
      <w:sz w:val="20"/>
      <w:szCs w:val="21"/>
    </w:rPr>
  </w:style>
  <w:style w:type="character" w:customStyle="1" w:styleId="Heading7Char">
    <w:name w:val="Heading 7 Char"/>
    <w:basedOn w:val="DefaultParagraphFont"/>
    <w:link w:val="Heading7"/>
    <w:uiPriority w:val="9"/>
    <w:semiHidden/>
    <w:rsid w:val="00C7511A"/>
    <w:rPr>
      <w:rFonts w:ascii="Arial" w:eastAsiaTheme="majorEastAsia" w:hAnsi="Arial" w:cstheme="majorBidi"/>
      <w:color w:val="595959" w:themeColor="text1" w:themeTint="A6"/>
      <w:sz w:val="20"/>
      <w:szCs w:val="21"/>
    </w:rPr>
  </w:style>
  <w:style w:type="character" w:customStyle="1" w:styleId="Heading8Char">
    <w:name w:val="Heading 8 Char"/>
    <w:basedOn w:val="DefaultParagraphFont"/>
    <w:link w:val="Heading8"/>
    <w:uiPriority w:val="9"/>
    <w:semiHidden/>
    <w:rsid w:val="00C7511A"/>
    <w:rPr>
      <w:rFonts w:ascii="Arial" w:eastAsiaTheme="majorEastAsia" w:hAnsi="Arial" w:cstheme="majorBidi"/>
      <w:i/>
      <w:iCs/>
      <w:color w:val="272727" w:themeColor="text1" w:themeTint="D8"/>
      <w:sz w:val="20"/>
      <w:szCs w:val="21"/>
    </w:rPr>
  </w:style>
  <w:style w:type="character" w:customStyle="1" w:styleId="Heading9Char">
    <w:name w:val="Heading 9 Char"/>
    <w:basedOn w:val="DefaultParagraphFont"/>
    <w:link w:val="Heading9"/>
    <w:uiPriority w:val="9"/>
    <w:semiHidden/>
    <w:rsid w:val="00C7511A"/>
    <w:rPr>
      <w:rFonts w:ascii="Arial" w:eastAsiaTheme="majorEastAsia" w:hAnsi="Arial" w:cstheme="majorBidi"/>
      <w:color w:val="272727" w:themeColor="text1" w:themeTint="D8"/>
      <w:sz w:val="20"/>
      <w:szCs w:val="21"/>
    </w:rPr>
  </w:style>
  <w:style w:type="paragraph" w:styleId="Title">
    <w:name w:val="Title"/>
    <w:basedOn w:val="Normal"/>
    <w:next w:val="Normal"/>
    <w:link w:val="TitleChar"/>
    <w:uiPriority w:val="10"/>
    <w:qFormat/>
    <w:rsid w:val="00C751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1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1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51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511A"/>
    <w:pPr>
      <w:spacing w:before="160"/>
      <w:jc w:val="center"/>
    </w:pPr>
    <w:rPr>
      <w:i/>
      <w:iCs/>
      <w:color w:val="404040" w:themeColor="text1" w:themeTint="BF"/>
    </w:rPr>
  </w:style>
  <w:style w:type="character" w:customStyle="1" w:styleId="QuoteChar">
    <w:name w:val="Quote Char"/>
    <w:basedOn w:val="DefaultParagraphFont"/>
    <w:link w:val="Quote"/>
    <w:uiPriority w:val="29"/>
    <w:rsid w:val="00C7511A"/>
    <w:rPr>
      <w:i/>
      <w:iCs/>
      <w:color w:val="404040" w:themeColor="text1" w:themeTint="BF"/>
    </w:rPr>
  </w:style>
  <w:style w:type="paragraph" w:styleId="ListParagraph">
    <w:name w:val="List Paragraph"/>
    <w:aliases w:val="Report Para,Number Bullets,List Paragraph1,Resume Title,heading 4,Citation List,WinDForce-Letter,Heading 2_sj,En tête 1,Indent Paragraph,List Bullet Mary,List Paragraph (numbered (a)),List Paragraph11,Normal bullet 2,Grey Bullet List,Ha,H"/>
    <w:basedOn w:val="Normal"/>
    <w:link w:val="ListParagraphChar"/>
    <w:uiPriority w:val="1"/>
    <w:qFormat/>
    <w:rsid w:val="00C7511A"/>
    <w:pPr>
      <w:ind w:left="720"/>
      <w:contextualSpacing/>
    </w:pPr>
  </w:style>
  <w:style w:type="character" w:styleId="IntenseEmphasis">
    <w:name w:val="Intense Emphasis"/>
    <w:basedOn w:val="DefaultParagraphFont"/>
    <w:uiPriority w:val="21"/>
    <w:qFormat/>
    <w:rsid w:val="00C7511A"/>
    <w:rPr>
      <w:i/>
      <w:iCs/>
      <w:color w:val="0F4761" w:themeColor="accent1" w:themeShade="BF"/>
    </w:rPr>
  </w:style>
  <w:style w:type="paragraph" w:styleId="IntenseQuote">
    <w:name w:val="Intense Quote"/>
    <w:basedOn w:val="Normal"/>
    <w:next w:val="Normal"/>
    <w:link w:val="IntenseQuoteChar"/>
    <w:uiPriority w:val="30"/>
    <w:qFormat/>
    <w:rsid w:val="00C751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511A"/>
    <w:rPr>
      <w:i/>
      <w:iCs/>
      <w:color w:val="0F4761" w:themeColor="accent1" w:themeShade="BF"/>
    </w:rPr>
  </w:style>
  <w:style w:type="character" w:styleId="IntenseReference">
    <w:name w:val="Intense Reference"/>
    <w:basedOn w:val="DefaultParagraphFont"/>
    <w:uiPriority w:val="32"/>
    <w:qFormat/>
    <w:rsid w:val="00C7511A"/>
    <w:rPr>
      <w:b/>
      <w:bCs/>
      <w:smallCaps/>
      <w:color w:val="0F4761" w:themeColor="accent1" w:themeShade="BF"/>
      <w:spacing w:val="5"/>
    </w:rPr>
  </w:style>
  <w:style w:type="paragraph" w:styleId="Header">
    <w:name w:val="header"/>
    <w:basedOn w:val="Normal"/>
    <w:link w:val="HeaderChar"/>
    <w:uiPriority w:val="99"/>
    <w:unhideWhenUsed/>
    <w:rsid w:val="00C7511A"/>
    <w:pPr>
      <w:tabs>
        <w:tab w:val="center" w:pos="4680"/>
        <w:tab w:val="right" w:pos="9360"/>
      </w:tabs>
    </w:pPr>
  </w:style>
  <w:style w:type="character" w:customStyle="1" w:styleId="HeaderChar">
    <w:name w:val="Header Char"/>
    <w:basedOn w:val="DefaultParagraphFont"/>
    <w:link w:val="Header"/>
    <w:uiPriority w:val="99"/>
    <w:rsid w:val="00C7511A"/>
    <w:rPr>
      <w:rFonts w:ascii="Arial" w:hAnsi="Arial" w:cs="Arial"/>
      <w:color w:val="000000" w:themeColor="text1"/>
      <w:sz w:val="20"/>
      <w:szCs w:val="21"/>
    </w:rPr>
  </w:style>
  <w:style w:type="paragraph" w:styleId="Footer">
    <w:name w:val="footer"/>
    <w:basedOn w:val="Normal"/>
    <w:link w:val="FooterChar"/>
    <w:uiPriority w:val="99"/>
    <w:unhideWhenUsed/>
    <w:rsid w:val="00332957"/>
    <w:pPr>
      <w:tabs>
        <w:tab w:val="center" w:pos="4680"/>
        <w:tab w:val="right" w:pos="9720"/>
      </w:tabs>
      <w:spacing w:line="240" w:lineRule="auto"/>
    </w:pPr>
    <w:rPr>
      <w:i/>
      <w:sz w:val="15"/>
      <w:szCs w:val="15"/>
    </w:rPr>
  </w:style>
  <w:style w:type="character" w:customStyle="1" w:styleId="FooterChar">
    <w:name w:val="Footer Char"/>
    <w:basedOn w:val="DefaultParagraphFont"/>
    <w:link w:val="Footer"/>
    <w:uiPriority w:val="99"/>
    <w:rsid w:val="00332957"/>
    <w:rPr>
      <w:rFonts w:ascii="Arial" w:hAnsi="Arial" w:cs="Arial"/>
      <w:i/>
      <w:color w:val="000000" w:themeColor="text1"/>
      <w:sz w:val="15"/>
      <w:szCs w:val="15"/>
    </w:rPr>
  </w:style>
  <w:style w:type="paragraph" w:customStyle="1" w:styleId="ReportTitle">
    <w:name w:val="Report Title"/>
    <w:basedOn w:val="Normal"/>
    <w:qFormat/>
    <w:rsid w:val="00C7511A"/>
    <w:pPr>
      <w:spacing w:after="200" w:line="276" w:lineRule="auto"/>
    </w:pPr>
    <w:rPr>
      <w:rFonts w:ascii="Akkurat Pro" w:eastAsia="Times New Roman" w:hAnsi="Akkurat Pro" w:cs="Times New Roman"/>
      <w:b/>
      <w:color w:val="auto"/>
      <w:kern w:val="0"/>
      <w:sz w:val="90"/>
      <w:szCs w:val="22"/>
      <w14:ligatures w14:val="none"/>
    </w:rPr>
  </w:style>
  <w:style w:type="paragraph" w:customStyle="1" w:styleId="TitleSubhead">
    <w:name w:val="Title Sub head"/>
    <w:basedOn w:val="ReportTitle"/>
    <w:qFormat/>
    <w:rsid w:val="00C7511A"/>
    <w:rPr>
      <w:sz w:val="52"/>
    </w:rPr>
  </w:style>
  <w:style w:type="character" w:styleId="Hyperlink">
    <w:name w:val="Hyperlink"/>
    <w:uiPriority w:val="99"/>
    <w:unhideWhenUsed/>
    <w:rsid w:val="00C7511A"/>
    <w:rPr>
      <w:color w:val="0000FF"/>
      <w:u w:val="single"/>
    </w:rPr>
  </w:style>
  <w:style w:type="paragraph" w:customStyle="1" w:styleId="Text">
    <w:name w:val="Text"/>
    <w:basedOn w:val="Normal"/>
    <w:rsid w:val="00C7511A"/>
    <w:pPr>
      <w:spacing w:after="180" w:line="240" w:lineRule="auto"/>
    </w:pPr>
    <w:rPr>
      <w:rFonts w:eastAsia="Times New Roman"/>
      <w:kern w:val="0"/>
      <w:szCs w:val="20"/>
      <w:lang w:val="en-GB"/>
      <w14:ligatures w14:val="none"/>
    </w:rPr>
  </w:style>
  <w:style w:type="paragraph" w:styleId="TOC1">
    <w:name w:val="toc 1"/>
    <w:basedOn w:val="Normal"/>
    <w:next w:val="Normal"/>
    <w:autoRedefine/>
    <w:uiPriority w:val="39"/>
    <w:unhideWhenUsed/>
    <w:rsid w:val="00C7511A"/>
    <w:pPr>
      <w:tabs>
        <w:tab w:val="left" w:pos="440"/>
        <w:tab w:val="right" w:leader="dot" w:pos="10260"/>
      </w:tabs>
      <w:spacing w:line="240" w:lineRule="auto"/>
    </w:pPr>
    <w:rPr>
      <w:rFonts w:eastAsia="Times New Roman" w:cs="Times New Roman"/>
      <w:b/>
      <w:kern w:val="0"/>
      <w:szCs w:val="22"/>
      <w14:ligatures w14:val="none"/>
    </w:rPr>
  </w:style>
  <w:style w:type="paragraph" w:styleId="TOC2">
    <w:name w:val="toc 2"/>
    <w:basedOn w:val="Normal"/>
    <w:next w:val="Normal"/>
    <w:autoRedefine/>
    <w:uiPriority w:val="39"/>
    <w:unhideWhenUsed/>
    <w:rsid w:val="00C7511A"/>
    <w:pPr>
      <w:tabs>
        <w:tab w:val="right" w:leader="dot" w:pos="10260"/>
      </w:tabs>
      <w:spacing w:line="240" w:lineRule="auto"/>
      <w:ind w:left="216"/>
    </w:pPr>
    <w:rPr>
      <w:rFonts w:eastAsia="Times New Roman" w:cs="Times New Roman"/>
      <w:kern w:val="0"/>
      <w:szCs w:val="22"/>
      <w14:ligatures w14:val="none"/>
    </w:rPr>
  </w:style>
  <w:style w:type="paragraph" w:customStyle="1" w:styleId="Bul2">
    <w:name w:val="Bul2"/>
    <w:basedOn w:val="Text"/>
    <w:rsid w:val="00C7511A"/>
    <w:pPr>
      <w:numPr>
        <w:numId w:val="3"/>
      </w:numPr>
      <w:spacing w:after="120"/>
    </w:pPr>
  </w:style>
  <w:style w:type="paragraph" w:customStyle="1" w:styleId="Bul3">
    <w:name w:val="Bul3"/>
    <w:basedOn w:val="Bul2"/>
    <w:rsid w:val="00C7511A"/>
    <w:pPr>
      <w:numPr>
        <w:numId w:val="2"/>
      </w:numPr>
    </w:pPr>
  </w:style>
  <w:style w:type="paragraph" w:customStyle="1" w:styleId="Bul1">
    <w:name w:val="Bul1"/>
    <w:basedOn w:val="Normal"/>
    <w:rsid w:val="00C7511A"/>
    <w:pPr>
      <w:numPr>
        <w:numId w:val="1"/>
      </w:numPr>
      <w:spacing w:after="120" w:line="240" w:lineRule="auto"/>
    </w:pPr>
    <w:rPr>
      <w:rFonts w:eastAsia="Times New Roman"/>
      <w:kern w:val="0"/>
      <w:szCs w:val="16"/>
      <w:lang w:val="en-GB"/>
      <w14:ligatures w14:val="none"/>
    </w:rPr>
  </w:style>
  <w:style w:type="paragraph" w:customStyle="1" w:styleId="Bul4">
    <w:name w:val="Bul4"/>
    <w:basedOn w:val="Bul3"/>
    <w:qFormat/>
    <w:rsid w:val="00C7511A"/>
    <w:pPr>
      <w:numPr>
        <w:numId w:val="4"/>
      </w:numPr>
      <w:ind w:left="1491" w:hanging="357"/>
    </w:pPr>
  </w:style>
  <w:style w:type="character" w:styleId="UnresolvedMention">
    <w:name w:val="Unresolved Mention"/>
    <w:basedOn w:val="DefaultParagraphFont"/>
    <w:uiPriority w:val="99"/>
    <w:semiHidden/>
    <w:unhideWhenUsed/>
    <w:rsid w:val="00C7511A"/>
    <w:rPr>
      <w:color w:val="605E5C"/>
      <w:shd w:val="clear" w:color="auto" w:fill="E1DFDD"/>
    </w:rPr>
  </w:style>
  <w:style w:type="character" w:styleId="FollowedHyperlink">
    <w:name w:val="FollowedHyperlink"/>
    <w:basedOn w:val="DefaultParagraphFont"/>
    <w:uiPriority w:val="99"/>
    <w:semiHidden/>
    <w:unhideWhenUsed/>
    <w:rsid w:val="00C7511A"/>
    <w:rPr>
      <w:color w:val="96607D" w:themeColor="followedHyperlink"/>
      <w:u w:val="single"/>
    </w:rPr>
  </w:style>
  <w:style w:type="character" w:customStyle="1" w:styleId="ListParagraphChar">
    <w:name w:val="List Paragraph Char"/>
    <w:aliases w:val="Report Para Char,Number Bullets Char,List Paragraph1 Char,Resume Title Char,heading 4 Char,Citation List Char,WinDForce-Letter Char,Heading 2_sj Char,En tête 1 Char,Indent Paragraph Char,List Bullet Mary Char,List Paragraph11 Char"/>
    <w:basedOn w:val="DefaultParagraphFont"/>
    <w:link w:val="ListParagraph"/>
    <w:uiPriority w:val="1"/>
    <w:qFormat/>
    <w:locked/>
    <w:rsid w:val="00C7511A"/>
  </w:style>
  <w:style w:type="paragraph" w:styleId="Caption">
    <w:name w:val="caption"/>
    <w:aliases w:val="F10 Table Figure and Chart Title,~Caption,Caption Char Char Char Char Char Char Char Char Char Char Char Char,Caption Char Char Char,Caption Char Char,Caption1 Char Char Char Char,Caption1 Char Char Char,Caption1 Char,EgisCaption,CapTab"/>
    <w:basedOn w:val="Normal"/>
    <w:next w:val="Normal"/>
    <w:link w:val="CaptionChar"/>
    <w:unhideWhenUsed/>
    <w:qFormat/>
    <w:rsid w:val="00C7511A"/>
    <w:pPr>
      <w:keepNext/>
      <w:keepLines/>
      <w:spacing w:line="276" w:lineRule="auto"/>
    </w:pPr>
    <w:rPr>
      <w:rFonts w:eastAsia="Times New Roman" w:cs="Book Antiqua"/>
      <w:b/>
      <w:bCs/>
      <w:kern w:val="0"/>
      <w:szCs w:val="18"/>
      <w:lang w:val="en-GB" w:eastAsia="en-IN"/>
      <w14:ligatures w14:val="none"/>
    </w:rPr>
  </w:style>
  <w:style w:type="character" w:customStyle="1" w:styleId="CaptionChar">
    <w:name w:val="Caption Char"/>
    <w:aliases w:val="F10 Table Figure and Chart Title Char,~Caption Char,Caption Char Char Char Char Char Char Char Char Char Char Char Char Char,Caption Char Char Char Char,Caption Char Char Char1,Caption1 Char Char Char Char Char,Caption1 Char Char Char Char1"/>
    <w:basedOn w:val="DefaultParagraphFont"/>
    <w:link w:val="Caption"/>
    <w:rsid w:val="00C7511A"/>
    <w:rPr>
      <w:rFonts w:ascii="Arial" w:eastAsia="Times New Roman" w:hAnsi="Arial" w:cs="Book Antiqua"/>
      <w:b/>
      <w:bCs/>
      <w:color w:val="000000" w:themeColor="text1"/>
      <w:kern w:val="0"/>
      <w:sz w:val="20"/>
      <w:szCs w:val="18"/>
      <w:lang w:val="en-GB" w:eastAsia="en-IN"/>
      <w14:ligatures w14:val="none"/>
    </w:rPr>
  </w:style>
  <w:style w:type="paragraph" w:styleId="TableofFigures">
    <w:name w:val="table of figures"/>
    <w:basedOn w:val="Normal"/>
    <w:next w:val="Normal"/>
    <w:uiPriority w:val="99"/>
    <w:unhideWhenUsed/>
    <w:rsid w:val="00C7511A"/>
  </w:style>
  <w:style w:type="paragraph" w:styleId="NoSpacing">
    <w:name w:val="No Spacing"/>
    <w:link w:val="NoSpacingChar"/>
    <w:uiPriority w:val="1"/>
    <w:qFormat/>
    <w:rsid w:val="00C7511A"/>
    <w:pPr>
      <w:spacing w:after="0" w:line="240" w:lineRule="auto"/>
      <w:ind w:right="1267"/>
    </w:pPr>
    <w:rPr>
      <w:rFonts w:ascii="Arial" w:hAnsi="Arial" w:cs="Arial"/>
      <w:color w:val="000000" w:themeColor="text1"/>
      <w:sz w:val="21"/>
      <w:szCs w:val="21"/>
    </w:rPr>
  </w:style>
  <w:style w:type="paragraph" w:styleId="TOCHeading">
    <w:name w:val="TOC Heading"/>
    <w:basedOn w:val="Heading10"/>
    <w:next w:val="Normal"/>
    <w:uiPriority w:val="39"/>
    <w:unhideWhenUsed/>
    <w:qFormat/>
    <w:rsid w:val="00C7511A"/>
    <w:pPr>
      <w:spacing w:before="120" w:after="240" w:line="259" w:lineRule="auto"/>
      <w:outlineLvl w:val="9"/>
    </w:pPr>
    <w:rPr>
      <w:b w:val="0"/>
      <w:kern w:val="0"/>
      <w:sz w:val="32"/>
      <w:szCs w:val="32"/>
      <w14:ligatures w14:val="none"/>
    </w:rPr>
  </w:style>
  <w:style w:type="paragraph" w:styleId="TOC3">
    <w:name w:val="toc 3"/>
    <w:basedOn w:val="Normal"/>
    <w:next w:val="Normal"/>
    <w:autoRedefine/>
    <w:uiPriority w:val="39"/>
    <w:unhideWhenUsed/>
    <w:rsid w:val="00C7511A"/>
    <w:pPr>
      <w:spacing w:after="100" w:line="259" w:lineRule="auto"/>
      <w:ind w:left="440"/>
    </w:pPr>
    <w:rPr>
      <w:rFonts w:asciiTheme="minorHAnsi" w:eastAsiaTheme="minorEastAsia" w:hAnsiTheme="minorHAnsi" w:cs="Times New Roman"/>
      <w:color w:val="auto"/>
      <w:kern w:val="0"/>
      <w:sz w:val="22"/>
      <w:szCs w:val="22"/>
      <w14:ligatures w14:val="none"/>
    </w:rPr>
  </w:style>
  <w:style w:type="paragraph" w:customStyle="1" w:styleId="cvheadnew3">
    <w:name w:val="cvheadnew3"/>
    <w:basedOn w:val="Normal"/>
    <w:rsid w:val="00C7511A"/>
    <w:pPr>
      <w:shd w:val="clear" w:color="auto" w:fill="FF3333"/>
      <w:spacing w:after="120" w:line="280" w:lineRule="atLeast"/>
    </w:pPr>
    <w:rPr>
      <w:rFonts w:eastAsia="Times New Roman" w:cs="Times New Roman"/>
      <w:b/>
      <w:bCs/>
      <w:caps/>
      <w:color w:val="FFFFFF"/>
      <w:kern w:val="0"/>
      <w:szCs w:val="18"/>
      <w:u w:color="005E82"/>
      <w:lang w:val="en-GB" w:eastAsia="en-IN"/>
      <w14:ligatures w14:val="none"/>
    </w:rPr>
  </w:style>
  <w:style w:type="character" w:styleId="CommentReference">
    <w:name w:val="annotation reference"/>
    <w:uiPriority w:val="99"/>
    <w:rsid w:val="00C7511A"/>
    <w:rPr>
      <w:rFonts w:ascii="Arial" w:hAnsi="Arial"/>
      <w:sz w:val="16"/>
      <w:szCs w:val="16"/>
    </w:rPr>
  </w:style>
  <w:style w:type="paragraph" w:styleId="CommentText">
    <w:name w:val="annotation text"/>
    <w:basedOn w:val="Normal"/>
    <w:link w:val="CommentTextChar"/>
    <w:uiPriority w:val="99"/>
    <w:rsid w:val="00C7511A"/>
    <w:pPr>
      <w:spacing w:after="120" w:line="276" w:lineRule="auto"/>
    </w:pPr>
    <w:rPr>
      <w:rFonts w:eastAsia="Times New Roman" w:cs="Times New Roman"/>
      <w:color w:val="auto"/>
      <w:kern w:val="0"/>
      <w:szCs w:val="20"/>
      <w:lang w:val="en-GB" w:eastAsia="en-GB"/>
      <w14:ligatures w14:val="none"/>
    </w:rPr>
  </w:style>
  <w:style w:type="character" w:customStyle="1" w:styleId="CommentTextChar">
    <w:name w:val="Comment Text Char"/>
    <w:basedOn w:val="DefaultParagraphFont"/>
    <w:link w:val="CommentText"/>
    <w:uiPriority w:val="99"/>
    <w:rsid w:val="00C7511A"/>
    <w:rPr>
      <w:rFonts w:ascii="Arial" w:eastAsia="Times New Roman" w:hAnsi="Arial" w:cs="Times New Roman"/>
      <w:kern w:val="0"/>
      <w:sz w:val="20"/>
      <w:szCs w:val="20"/>
      <w:lang w:val="en-GB" w:eastAsia="en-GB"/>
      <w14:ligatures w14:val="none"/>
    </w:rPr>
  </w:style>
  <w:style w:type="paragraph" w:customStyle="1" w:styleId="Source">
    <w:name w:val="Source"/>
    <w:basedOn w:val="TitleSubhead"/>
    <w:link w:val="SourceChar"/>
    <w:qFormat/>
    <w:rsid w:val="00C7511A"/>
    <w:rPr>
      <w:rFonts w:ascii="Arial" w:eastAsiaTheme="minorEastAsia" w:hAnsi="Arial"/>
      <w:b w:val="0"/>
      <w:i/>
      <w:sz w:val="16"/>
    </w:rPr>
  </w:style>
  <w:style w:type="table" w:styleId="TableGrid">
    <w:name w:val="Table Grid"/>
    <w:aliases w:val="E&amp;P Table Style 5,@@빈표,표스타일,Smart Text Table,IT Park_Citation,CV1,CV table,EY Table,none,Deloitte,Infosys Table Style,tabelle2,Table QA,GT0,san defined,TM_Table Grid,new tab,Table Grid Deloitte.,Table Grid Deloitte,Gridding,Table Heading"/>
    <w:basedOn w:val="TableNormal"/>
    <w:uiPriority w:val="39"/>
    <w:qFormat/>
    <w:rsid w:val="00C7511A"/>
    <w:pPr>
      <w:spacing w:after="0" w:line="240" w:lineRule="auto"/>
    </w:pPr>
    <w:rPr>
      <w:rFonts w:ascii="Times New Roman" w:eastAsia="Times New Roman" w:hAnsi="Times New Roman" w:cs="Times New Roman"/>
      <w:kern w:val="0"/>
      <w:sz w:val="20"/>
      <w:szCs w:val="20"/>
      <w:lang w:val="en-IN"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7511A"/>
    <w:pPr>
      <w:spacing w:before="0" w:after="0" w:line="240" w:lineRule="auto"/>
      <w:ind w:right="1267"/>
    </w:pPr>
    <w:rPr>
      <w:rFonts w:eastAsiaTheme="minorHAnsi" w:cs="Arial"/>
      <w:b/>
      <w:bCs/>
      <w:color w:val="000000" w:themeColor="text1"/>
      <w:kern w:val="2"/>
      <w:lang w:val="en-US" w:eastAsia="en-US"/>
      <w14:ligatures w14:val="standardContextual"/>
    </w:rPr>
  </w:style>
  <w:style w:type="character" w:customStyle="1" w:styleId="CommentSubjectChar">
    <w:name w:val="Comment Subject Char"/>
    <w:basedOn w:val="CommentTextChar"/>
    <w:link w:val="CommentSubject"/>
    <w:uiPriority w:val="99"/>
    <w:semiHidden/>
    <w:rsid w:val="00C7511A"/>
    <w:rPr>
      <w:rFonts w:ascii="Arial" w:eastAsia="Times New Roman" w:hAnsi="Arial" w:cs="Arial"/>
      <w:b/>
      <w:bCs/>
      <w:color w:val="000000" w:themeColor="text1"/>
      <w:kern w:val="0"/>
      <w:sz w:val="20"/>
      <w:szCs w:val="20"/>
      <w:lang w:val="en-GB" w:eastAsia="en-GB"/>
      <w14:ligatures w14:val="none"/>
    </w:rPr>
  </w:style>
  <w:style w:type="paragraph" w:customStyle="1" w:styleId="Clear">
    <w:name w:val="Clear"/>
    <w:basedOn w:val="Normal"/>
    <w:qFormat/>
    <w:rsid w:val="00C7511A"/>
    <w:pPr>
      <w:spacing w:before="0" w:after="0"/>
    </w:pPr>
    <w:rPr>
      <w:noProof/>
    </w:rPr>
  </w:style>
  <w:style w:type="table" w:customStyle="1" w:styleId="Gridding1">
    <w:name w:val="Gridding1"/>
    <w:basedOn w:val="TableNormal"/>
    <w:uiPriority w:val="39"/>
    <w:qFormat/>
    <w:rsid w:val="00585A80"/>
    <w:pPr>
      <w:spacing w:after="0" w:line="240" w:lineRule="auto"/>
    </w:pPr>
    <w:rPr>
      <w:rFonts w:ascii="Arial" w:eastAsia="Calibri" w:hAnsi="Arial" w:cs="Times New Roman"/>
      <w:b/>
      <w:bCs/>
      <w:kern w:val="0"/>
      <w:sz w:val="1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2">
    <w:name w:val="Bullet 02"/>
    <w:basedOn w:val="BodyText"/>
    <w:qFormat/>
    <w:rsid w:val="00C7511A"/>
    <w:pPr>
      <w:numPr>
        <w:numId w:val="14"/>
      </w:numPr>
      <w:spacing w:before="80" w:after="80"/>
      <w:ind w:left="924" w:hanging="357"/>
    </w:pPr>
    <w:rPr>
      <w:rFonts w:eastAsia="Times New Roman" w:cs="Times New Roman"/>
      <w:color w:val="auto"/>
      <w:kern w:val="0"/>
      <w:szCs w:val="24"/>
      <w:lang w:eastAsia="en-GB"/>
      <w14:ligatures w14:val="none"/>
    </w:rPr>
  </w:style>
  <w:style w:type="paragraph" w:styleId="BodyText">
    <w:name w:val="Body Text"/>
    <w:basedOn w:val="Normal"/>
    <w:link w:val="BodyTextChar"/>
    <w:unhideWhenUsed/>
    <w:qFormat/>
    <w:rsid w:val="00C7511A"/>
    <w:pPr>
      <w:spacing w:after="120"/>
    </w:pPr>
  </w:style>
  <w:style w:type="character" w:customStyle="1" w:styleId="BodyTextChar">
    <w:name w:val="Body Text Char"/>
    <w:basedOn w:val="DefaultParagraphFont"/>
    <w:link w:val="BodyText"/>
    <w:rsid w:val="00C7511A"/>
    <w:rPr>
      <w:rFonts w:ascii="Arial" w:hAnsi="Arial" w:cs="Arial"/>
      <w:color w:val="000000" w:themeColor="text1"/>
      <w:sz w:val="20"/>
      <w:szCs w:val="21"/>
    </w:rPr>
  </w:style>
  <w:style w:type="paragraph" w:styleId="FootnoteText">
    <w:name w:val="footnote text"/>
    <w:aliases w:val="fn,Footnote Text Char Char,Footnote Text Char1 Char Char,Footnote Text Char Char Char Char,Char Char Char Char Char,Char Char Char,Geneva 9,Font: Geneva 9,Boston 10,f,Char,FOOTNOTES,single space,ft,FN,ft Car,ft1,Footnote Text Char1,Fußnote"/>
    <w:basedOn w:val="Normal"/>
    <w:link w:val="FootnoteTextChar"/>
    <w:uiPriority w:val="99"/>
    <w:unhideWhenUsed/>
    <w:qFormat/>
    <w:rsid w:val="006F0CAB"/>
    <w:pPr>
      <w:spacing w:before="0" w:after="0" w:line="240" w:lineRule="auto"/>
    </w:pPr>
    <w:rPr>
      <w:i/>
      <w:sz w:val="16"/>
      <w:szCs w:val="20"/>
    </w:rPr>
  </w:style>
  <w:style w:type="character" w:customStyle="1" w:styleId="FootnoteTextChar">
    <w:name w:val="Footnote Text Char"/>
    <w:aliases w:val="fn Char,Footnote Text Char Char Char,Footnote Text Char1 Char Char Char,Footnote Text Char Char Char Char Char,Char Char Char Char Char Char,Char Char Char Char,Geneva 9 Char,Font: Geneva 9 Char,Boston 10 Char,f Char,Char Char,ft Char"/>
    <w:basedOn w:val="DefaultParagraphFont"/>
    <w:link w:val="FootnoteText"/>
    <w:uiPriority w:val="99"/>
    <w:rsid w:val="006F0CAB"/>
    <w:rPr>
      <w:rFonts w:ascii="Arial" w:hAnsi="Arial" w:cs="Arial"/>
      <w:i/>
      <w:color w:val="000000" w:themeColor="text1"/>
      <w:sz w:val="16"/>
      <w:szCs w:val="20"/>
    </w:rPr>
  </w:style>
  <w:style w:type="character" w:styleId="FootnoteReference">
    <w:name w:val="footnote reference"/>
    <w:aliases w:val="16 Point,Superscript 6 Point,ftref,footnote ref,BVI fnr,Char Char Char Char Car Char, BVI fnr,Error-Fußnotenzeichen5,Error-Fußnotenzeichen6,Error-Fußnotenzeichen3,de nota al pie,Ref,FnR-ANZDEC,(NECG) Footnote Reference,fr,SUPERS"/>
    <w:basedOn w:val="DefaultParagraphFont"/>
    <w:uiPriority w:val="99"/>
    <w:unhideWhenUsed/>
    <w:qFormat/>
    <w:rsid w:val="00C7511A"/>
    <w:rPr>
      <w:vertAlign w:val="superscript"/>
    </w:rPr>
  </w:style>
  <w:style w:type="paragraph" w:styleId="BalloonText">
    <w:name w:val="Balloon Text"/>
    <w:basedOn w:val="Normal"/>
    <w:link w:val="BalloonTextChar"/>
    <w:uiPriority w:val="99"/>
    <w:semiHidden/>
    <w:unhideWhenUsed/>
    <w:rsid w:val="00C7511A"/>
    <w:pPr>
      <w:spacing w:after="0" w:line="240" w:lineRule="auto"/>
    </w:pPr>
    <w:rPr>
      <w:rFonts w:ascii="Tahoma" w:eastAsia="Times New Roman" w:hAnsi="Tahoma" w:cs="Tahoma"/>
      <w:color w:val="auto"/>
      <w:kern w:val="0"/>
      <w:sz w:val="16"/>
      <w:szCs w:val="16"/>
      <w14:ligatures w14:val="none"/>
    </w:rPr>
  </w:style>
  <w:style w:type="character" w:customStyle="1" w:styleId="BalloonTextChar">
    <w:name w:val="Balloon Text Char"/>
    <w:basedOn w:val="DefaultParagraphFont"/>
    <w:link w:val="BalloonText"/>
    <w:uiPriority w:val="99"/>
    <w:semiHidden/>
    <w:rsid w:val="00C7511A"/>
    <w:rPr>
      <w:rFonts w:ascii="Tahoma" w:eastAsia="Times New Roman" w:hAnsi="Tahoma" w:cs="Tahoma"/>
      <w:kern w:val="0"/>
      <w:sz w:val="16"/>
      <w:szCs w:val="16"/>
      <w14:ligatures w14:val="none"/>
    </w:rPr>
  </w:style>
  <w:style w:type="character" w:customStyle="1" w:styleId="NoSpacingChar">
    <w:name w:val="No Spacing Char"/>
    <w:link w:val="NoSpacing"/>
    <w:uiPriority w:val="1"/>
    <w:rsid w:val="00C7511A"/>
    <w:rPr>
      <w:rFonts w:ascii="Arial" w:hAnsi="Arial" w:cs="Arial"/>
      <w:color w:val="000000" w:themeColor="text1"/>
      <w:sz w:val="21"/>
      <w:szCs w:val="21"/>
    </w:rPr>
  </w:style>
  <w:style w:type="paragraph" w:customStyle="1" w:styleId="Highlight">
    <w:name w:val="Highlight"/>
    <w:basedOn w:val="Text"/>
    <w:qFormat/>
    <w:rsid w:val="00C7511A"/>
    <w:pPr>
      <w:pBdr>
        <w:top w:val="single" w:sz="6" w:space="4" w:color="B3E5A1" w:themeColor="accent6" w:themeTint="66"/>
        <w:left w:val="single" w:sz="6" w:space="4" w:color="B3E5A1" w:themeColor="accent6" w:themeTint="66"/>
        <w:bottom w:val="single" w:sz="6" w:space="4" w:color="B3E5A1" w:themeColor="accent6" w:themeTint="66"/>
        <w:right w:val="single" w:sz="6" w:space="4" w:color="B3E5A1" w:themeColor="accent6" w:themeTint="66"/>
      </w:pBdr>
      <w:shd w:val="clear" w:color="auto" w:fill="D9F2D0" w:themeFill="accent6" w:themeFillTint="33"/>
      <w:spacing w:line="288" w:lineRule="auto"/>
    </w:pPr>
  </w:style>
  <w:style w:type="paragraph" w:styleId="Revision">
    <w:name w:val="Revision"/>
    <w:hidden/>
    <w:uiPriority w:val="99"/>
    <w:semiHidden/>
    <w:rsid w:val="00C7511A"/>
    <w:pPr>
      <w:spacing w:after="0" w:line="240" w:lineRule="auto"/>
    </w:pPr>
    <w:rPr>
      <w:rFonts w:ascii="Arial" w:eastAsia="Times New Roman" w:hAnsi="Arial" w:cs="Times New Roman"/>
      <w:kern w:val="0"/>
      <w:sz w:val="20"/>
      <w:szCs w:val="22"/>
      <w14:ligatures w14:val="none"/>
    </w:rPr>
  </w:style>
  <w:style w:type="paragraph" w:customStyle="1" w:styleId="BulletText1">
    <w:name w:val="Bullet Text 1"/>
    <w:basedOn w:val="BodyText"/>
    <w:qFormat/>
    <w:rsid w:val="00C7511A"/>
    <w:pPr>
      <w:numPr>
        <w:ilvl w:val="3"/>
        <w:numId w:val="15"/>
      </w:numPr>
      <w:spacing w:before="160" w:line="360" w:lineRule="exact"/>
      <w:ind w:left="357" w:hanging="357"/>
    </w:pPr>
    <w:rPr>
      <w:rFonts w:eastAsia="Calibri"/>
      <w:color w:val="434242"/>
      <w:kern w:val="0"/>
      <w:szCs w:val="20"/>
      <w:lang w:val="en-GB"/>
      <w14:ligatures w14:val="none"/>
    </w:rPr>
  </w:style>
  <w:style w:type="character" w:customStyle="1" w:styleId="SourceChar">
    <w:name w:val="Source Char"/>
    <w:link w:val="Source"/>
    <w:rsid w:val="00C7511A"/>
    <w:rPr>
      <w:rFonts w:ascii="Arial" w:eastAsiaTheme="minorEastAsia" w:hAnsi="Arial" w:cs="Times New Roman"/>
      <w:i/>
      <w:kern w:val="0"/>
      <w:sz w:val="16"/>
      <w:szCs w:val="22"/>
      <w14:ligatures w14:val="none"/>
    </w:rPr>
  </w:style>
  <w:style w:type="paragraph" w:styleId="NormalWeb">
    <w:name w:val="Normal (Web)"/>
    <w:basedOn w:val="Normal"/>
    <w:uiPriority w:val="99"/>
    <w:rsid w:val="00C7511A"/>
    <w:pPr>
      <w:spacing w:after="0" w:line="240" w:lineRule="auto"/>
    </w:pPr>
    <w:rPr>
      <w:rFonts w:ascii="Times New Roman" w:eastAsia="Times New Roman" w:hAnsi="Times New Roman" w:cs="Times New Roman"/>
      <w:color w:val="434242"/>
      <w:kern w:val="0"/>
      <w:sz w:val="24"/>
      <w:szCs w:val="24"/>
      <w:lang w:val="en-GB" w:eastAsia="en-GB"/>
      <w14:ligatures w14:val="none"/>
    </w:rPr>
  </w:style>
  <w:style w:type="table" w:customStyle="1" w:styleId="ListTable3-Accent21">
    <w:name w:val="List Table 3 - Accent 21"/>
    <w:basedOn w:val="TableNormal"/>
    <w:next w:val="ListTable3-Accent2"/>
    <w:uiPriority w:val="48"/>
    <w:rsid w:val="00C7511A"/>
    <w:pPr>
      <w:spacing w:after="0" w:line="240" w:lineRule="auto"/>
    </w:pPr>
    <w:rPr>
      <w:kern w:val="0"/>
      <w:sz w:val="22"/>
      <w:szCs w:val="22"/>
      <w14:ligatures w14:val="none"/>
    </w:rPr>
    <w:tblPr>
      <w:tblStyleRowBandSize w:val="1"/>
      <w:tblStyleColBandSize w:val="1"/>
      <w:tblBorders>
        <w:top w:val="single" w:sz="4" w:space="0" w:color="7B1E29"/>
        <w:left w:val="single" w:sz="4" w:space="0" w:color="7B1E29"/>
        <w:bottom w:val="single" w:sz="4" w:space="0" w:color="7B1E29"/>
        <w:right w:val="single" w:sz="4" w:space="0" w:color="7B1E29"/>
      </w:tblBorders>
    </w:tblPr>
    <w:tblStylePr w:type="firstRow">
      <w:rPr>
        <w:b/>
        <w:bCs/>
        <w:color w:val="FFFFFF"/>
      </w:rPr>
      <w:tblPr/>
      <w:tcPr>
        <w:shd w:val="clear" w:color="auto" w:fill="7B1E29"/>
      </w:tcPr>
    </w:tblStylePr>
    <w:tblStylePr w:type="lastRow">
      <w:rPr>
        <w:b/>
        <w:bCs/>
      </w:rPr>
      <w:tblPr/>
      <w:tcPr>
        <w:tcBorders>
          <w:top w:val="double" w:sz="4" w:space="0" w:color="7B1E2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B1E29"/>
          <w:right w:val="single" w:sz="4" w:space="0" w:color="7B1E29"/>
        </w:tcBorders>
      </w:tcPr>
    </w:tblStylePr>
    <w:tblStylePr w:type="band1Horz">
      <w:tblPr/>
      <w:tcPr>
        <w:tcBorders>
          <w:top w:val="single" w:sz="4" w:space="0" w:color="7B1E29"/>
          <w:bottom w:val="single" w:sz="4" w:space="0" w:color="7B1E2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1E29"/>
          <w:left w:val="nil"/>
        </w:tcBorders>
      </w:tcPr>
    </w:tblStylePr>
    <w:tblStylePr w:type="swCell">
      <w:tblPr/>
      <w:tcPr>
        <w:tcBorders>
          <w:top w:val="double" w:sz="4" w:space="0" w:color="7B1E29"/>
          <w:right w:val="nil"/>
        </w:tcBorders>
      </w:tcPr>
    </w:tblStylePr>
  </w:style>
  <w:style w:type="table" w:styleId="ListTable3-Accent2">
    <w:name w:val="List Table 3 Accent 2"/>
    <w:basedOn w:val="TableNormal"/>
    <w:uiPriority w:val="48"/>
    <w:rsid w:val="00C7511A"/>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GT01">
    <w:name w:val="GT01"/>
    <w:basedOn w:val="TableNormal"/>
    <w:next w:val="TableGrid"/>
    <w:uiPriority w:val="39"/>
    <w:qFormat/>
    <w:rsid w:val="00C7511A"/>
    <w:pPr>
      <w:spacing w:after="0" w:line="240" w:lineRule="auto"/>
    </w:pPr>
    <w:rPr>
      <w:rFonts w:ascii="Calibri" w:eastAsia="Calibri" w:hAnsi="Calibri" w:cs="Times New Roman"/>
      <w:b/>
      <w:bCs/>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qFormat/>
    <w:rsid w:val="00C7511A"/>
    <w:pPr>
      <w:spacing w:before="160" w:after="120" w:line="280" w:lineRule="exact"/>
    </w:pPr>
    <w:rPr>
      <w:rFonts w:eastAsia="Calibri"/>
      <w:b/>
      <w:bCs/>
      <w:noProof/>
      <w:color w:val="434242"/>
      <w:kern w:val="0"/>
      <w:szCs w:val="20"/>
      <w:lang w:val="en-GB"/>
      <w14:ligatures w14:val="none"/>
    </w:rPr>
  </w:style>
  <w:style w:type="character" w:styleId="Strong">
    <w:name w:val="Strong"/>
    <w:basedOn w:val="DefaultParagraphFont"/>
    <w:uiPriority w:val="22"/>
    <w:qFormat/>
    <w:rsid w:val="00C7511A"/>
    <w:rPr>
      <w:b/>
      <w:bCs/>
    </w:rPr>
  </w:style>
  <w:style w:type="paragraph" w:customStyle="1" w:styleId="Body">
    <w:name w:val="Body"/>
    <w:basedOn w:val="BodyText"/>
    <w:link w:val="BodyChar"/>
    <w:qFormat/>
    <w:rsid w:val="00C7511A"/>
    <w:pPr>
      <w:spacing w:before="160" w:line="360" w:lineRule="exact"/>
    </w:pPr>
    <w:rPr>
      <w:rFonts w:eastAsiaTheme="minorEastAsia"/>
      <w:color w:val="434242"/>
      <w:kern w:val="0"/>
      <w:szCs w:val="20"/>
      <w:lang w:val="en-GB"/>
      <w14:ligatures w14:val="none"/>
    </w:rPr>
  </w:style>
  <w:style w:type="character" w:customStyle="1" w:styleId="BodyChar">
    <w:name w:val="Body Char"/>
    <w:basedOn w:val="BodyTextChar"/>
    <w:link w:val="Body"/>
    <w:rsid w:val="00C7511A"/>
    <w:rPr>
      <w:rFonts w:ascii="Arial" w:eastAsiaTheme="minorEastAsia" w:hAnsi="Arial" w:cs="Arial"/>
      <w:color w:val="434242"/>
      <w:kern w:val="0"/>
      <w:sz w:val="20"/>
      <w:szCs w:val="20"/>
      <w:lang w:val="en-GB"/>
      <w14:ligatures w14:val="none"/>
    </w:rPr>
  </w:style>
  <w:style w:type="paragraph" w:customStyle="1" w:styleId="bul20">
    <w:name w:val="bul2"/>
    <w:basedOn w:val="ListParagraph"/>
    <w:qFormat/>
    <w:rsid w:val="00C7511A"/>
    <w:pPr>
      <w:numPr>
        <w:ilvl w:val="1"/>
        <w:numId w:val="31"/>
      </w:numPr>
      <w:spacing w:line="259" w:lineRule="auto"/>
    </w:pPr>
    <w:rPr>
      <w:rFonts w:eastAsia="Calibri" w:cs="Courier New"/>
      <w:bCs/>
      <w:color w:val="434242"/>
      <w:kern w:val="0"/>
      <w:szCs w:val="20"/>
      <w:lang w:val="en-GB"/>
      <w14:ligatures w14:val="none"/>
    </w:rPr>
  </w:style>
  <w:style w:type="table" w:styleId="GridTable4-Accent6">
    <w:name w:val="Grid Table 4 Accent 6"/>
    <w:basedOn w:val="TableNormal"/>
    <w:uiPriority w:val="49"/>
    <w:rsid w:val="00C7511A"/>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numbering" w:customStyle="1" w:styleId="NoList1">
    <w:name w:val="No List1"/>
    <w:next w:val="NoList"/>
    <w:uiPriority w:val="99"/>
    <w:semiHidden/>
    <w:unhideWhenUsed/>
    <w:rsid w:val="00C7511A"/>
  </w:style>
  <w:style w:type="paragraph" w:customStyle="1" w:styleId="Noraml">
    <w:name w:val="Noraml"/>
    <w:basedOn w:val="BodyText"/>
    <w:qFormat/>
    <w:rsid w:val="00C7511A"/>
    <w:pPr>
      <w:spacing w:before="160" w:line="360" w:lineRule="exact"/>
      <w:ind w:right="432"/>
    </w:pPr>
    <w:rPr>
      <w:rFonts w:eastAsia="Calibri"/>
      <w:color w:val="434242"/>
      <w:kern w:val="0"/>
      <w:szCs w:val="20"/>
      <w:lang w:val="en-GB"/>
      <w14:ligatures w14:val="none"/>
    </w:rPr>
  </w:style>
  <w:style w:type="table" w:customStyle="1" w:styleId="ListTable3-Accent22">
    <w:name w:val="List Table 3 - Accent 22"/>
    <w:basedOn w:val="TableNormal"/>
    <w:next w:val="ListTable3-Accent2"/>
    <w:uiPriority w:val="48"/>
    <w:rsid w:val="00C7511A"/>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customStyle="1" w:styleId="heading1">
    <w:name w:val="heading1"/>
    <w:basedOn w:val="Heading10"/>
    <w:qFormat/>
    <w:rsid w:val="00C7511A"/>
    <w:pPr>
      <w:pageBreakBefore/>
      <w:numPr>
        <w:numId w:val="32"/>
      </w:numPr>
      <w:autoSpaceDE w:val="0"/>
      <w:autoSpaceDN w:val="0"/>
      <w:adjustRightInd w:val="0"/>
      <w:spacing w:before="160" w:after="120"/>
      <w:ind w:right="284"/>
    </w:pPr>
    <w:rPr>
      <w:rFonts w:eastAsia="Times New Roman" w:cs="Arial"/>
      <w:b w:val="0"/>
      <w:bCs/>
      <w:color w:val="196B24" w:themeColor="accent3"/>
      <w:kern w:val="0"/>
      <w:szCs w:val="36"/>
      <w:lang w:val="en-GB"/>
      <w14:ligatures w14:val="none"/>
    </w:rPr>
  </w:style>
  <w:style w:type="paragraph" w:customStyle="1" w:styleId="Heading02">
    <w:name w:val="Heading 02"/>
    <w:basedOn w:val="Normal"/>
    <w:qFormat/>
    <w:rsid w:val="00C7511A"/>
    <w:pPr>
      <w:keepNext/>
      <w:keepLines/>
      <w:numPr>
        <w:ilvl w:val="1"/>
        <w:numId w:val="32"/>
      </w:numPr>
      <w:tabs>
        <w:tab w:val="left" w:pos="495"/>
      </w:tabs>
      <w:spacing w:before="480" w:after="200" w:line="276" w:lineRule="auto"/>
      <w:ind w:left="540" w:right="432" w:hanging="540"/>
      <w:outlineLvl w:val="1"/>
    </w:pPr>
    <w:rPr>
      <w:rFonts w:eastAsia="Times New Roman"/>
      <w:b/>
      <w:bCs/>
      <w:color w:val="434242"/>
      <w:kern w:val="0"/>
      <w:sz w:val="28"/>
      <w:szCs w:val="28"/>
      <w:lang w:val="en-GB"/>
      <w14:ligatures w14:val="none"/>
    </w:rPr>
  </w:style>
  <w:style w:type="paragraph" w:customStyle="1" w:styleId="Heading3">
    <w:name w:val="Heading3"/>
    <w:basedOn w:val="Normal"/>
    <w:link w:val="Heading3Char0"/>
    <w:qFormat/>
    <w:rsid w:val="00C7511A"/>
    <w:pPr>
      <w:keepNext/>
      <w:keepLines/>
      <w:numPr>
        <w:ilvl w:val="2"/>
        <w:numId w:val="32"/>
      </w:numPr>
      <w:spacing w:before="240" w:after="160" w:line="276" w:lineRule="auto"/>
      <w:ind w:left="720" w:right="432"/>
      <w:outlineLvl w:val="1"/>
    </w:pPr>
    <w:rPr>
      <w:rFonts w:eastAsia="Times New Roman"/>
      <w:b/>
      <w:bCs/>
      <w:color w:val="434242"/>
      <w:kern w:val="0"/>
      <w:sz w:val="24"/>
      <w:szCs w:val="24"/>
      <w:lang w:val="en-GB"/>
      <w14:ligatures w14:val="none"/>
    </w:rPr>
  </w:style>
  <w:style w:type="character" w:customStyle="1" w:styleId="Heading3Char0">
    <w:name w:val="Heading3 Char"/>
    <w:basedOn w:val="DefaultParagraphFont"/>
    <w:link w:val="Heading3"/>
    <w:rsid w:val="00C7511A"/>
    <w:rPr>
      <w:rFonts w:ascii="Arial" w:eastAsia="Times New Roman" w:hAnsi="Arial" w:cs="Arial"/>
      <w:b/>
      <w:bCs/>
      <w:color w:val="434242"/>
      <w:kern w:val="0"/>
      <w:lang w:val="en-GB"/>
      <w14:ligatures w14:val="none"/>
    </w:rPr>
  </w:style>
  <w:style w:type="paragraph" w:customStyle="1" w:styleId="Heading4">
    <w:name w:val="Heading4"/>
    <w:basedOn w:val="Heading3"/>
    <w:link w:val="Heading4Char0"/>
    <w:qFormat/>
    <w:rsid w:val="00C7511A"/>
    <w:pPr>
      <w:numPr>
        <w:ilvl w:val="3"/>
      </w:numPr>
      <w:tabs>
        <w:tab w:val="left" w:pos="270"/>
        <w:tab w:val="left" w:pos="360"/>
      </w:tabs>
      <w:ind w:left="784" w:hanging="786"/>
    </w:pPr>
    <w:rPr>
      <w:sz w:val="20"/>
      <w:szCs w:val="20"/>
    </w:rPr>
  </w:style>
  <w:style w:type="character" w:customStyle="1" w:styleId="Heading4Char0">
    <w:name w:val="Heading4 Char"/>
    <w:basedOn w:val="Heading3Char0"/>
    <w:link w:val="Heading4"/>
    <w:rsid w:val="00C7511A"/>
    <w:rPr>
      <w:rFonts w:ascii="Arial" w:eastAsia="Times New Roman" w:hAnsi="Arial" w:cs="Arial"/>
      <w:b/>
      <w:bCs/>
      <w:color w:val="434242"/>
      <w:kern w:val="0"/>
      <w:sz w:val="20"/>
      <w:szCs w:val="20"/>
      <w:lang w:val="en-GB"/>
      <w14:ligatures w14:val="none"/>
    </w:rPr>
  </w:style>
  <w:style w:type="paragraph" w:customStyle="1" w:styleId="Heading03">
    <w:name w:val="Heading 03"/>
    <w:basedOn w:val="Heading3"/>
    <w:qFormat/>
    <w:rsid w:val="00C7511A"/>
  </w:style>
  <w:style w:type="paragraph" w:customStyle="1" w:styleId="Nomal">
    <w:name w:val="Nomal"/>
    <w:basedOn w:val="Normal"/>
    <w:qFormat/>
    <w:rsid w:val="00C7511A"/>
    <w:pPr>
      <w:spacing w:before="160" w:after="120"/>
      <w:ind w:right="432"/>
    </w:pPr>
  </w:style>
  <w:style w:type="paragraph" w:customStyle="1" w:styleId="Normla">
    <w:name w:val="Normla"/>
    <w:basedOn w:val="BodyText"/>
    <w:qFormat/>
    <w:rsid w:val="00C7511A"/>
    <w:pPr>
      <w:spacing w:before="160" w:line="360" w:lineRule="exact"/>
      <w:ind w:right="432"/>
    </w:pPr>
    <w:rPr>
      <w:rFonts w:eastAsia="Calibri"/>
      <w:color w:val="434242"/>
      <w:kern w:val="0"/>
      <w:szCs w:val="20"/>
      <w:lang w:val="en-GB"/>
      <w14:ligatures w14:val="none"/>
    </w:rPr>
  </w:style>
  <w:style w:type="paragraph" w:styleId="ListBullet">
    <w:name w:val="List Bullet"/>
    <w:basedOn w:val="List"/>
    <w:autoRedefine/>
    <w:rsid w:val="00C7511A"/>
    <w:pPr>
      <w:numPr>
        <w:numId w:val="33"/>
      </w:numPr>
      <w:tabs>
        <w:tab w:val="clear" w:pos="360"/>
        <w:tab w:val="num" w:pos="720"/>
      </w:tabs>
      <w:spacing w:line="276" w:lineRule="auto"/>
      <w:ind w:left="720" w:hanging="720"/>
      <w:contextualSpacing w:val="0"/>
    </w:pPr>
    <w:rPr>
      <w:rFonts w:eastAsia="Times New Roman" w:cs="Times New Roman"/>
      <w:color w:val="000000"/>
      <w:kern w:val="0"/>
      <w:szCs w:val="24"/>
      <w:lang w:val="en-GB" w:eastAsia="en-GB"/>
      <w14:ligatures w14:val="none"/>
    </w:rPr>
  </w:style>
  <w:style w:type="paragraph" w:styleId="List">
    <w:name w:val="List"/>
    <w:basedOn w:val="Normal"/>
    <w:uiPriority w:val="99"/>
    <w:semiHidden/>
    <w:unhideWhenUsed/>
    <w:rsid w:val="00C7511A"/>
    <w:pPr>
      <w:spacing w:before="160" w:after="120"/>
      <w:ind w:left="283" w:right="432" w:hanging="283"/>
      <w:contextualSpacing/>
    </w:pPr>
  </w:style>
  <w:style w:type="paragraph" w:customStyle="1" w:styleId="source0">
    <w:name w:val="source"/>
    <w:aliases w:val="so"/>
    <w:basedOn w:val="Normal"/>
    <w:uiPriority w:val="99"/>
    <w:qFormat/>
    <w:rsid w:val="00C7511A"/>
    <w:pPr>
      <w:widowControl w:val="0"/>
      <w:spacing w:line="240" w:lineRule="auto"/>
      <w:ind w:right="432"/>
    </w:pPr>
    <w:rPr>
      <w:rFonts w:eastAsia="Times New Roman" w:cs="Times New Roman"/>
      <w:i/>
      <w:color w:val="434242"/>
      <w:kern w:val="0"/>
      <w:sz w:val="16"/>
      <w:szCs w:val="24"/>
      <w:shd w:val="clear" w:color="auto" w:fill="FFFFFF"/>
      <w:lang w:val="en-GB" w:eastAsia="en-IN"/>
      <w14:ligatures w14:val="none"/>
    </w:rPr>
  </w:style>
  <w:style w:type="paragraph" w:customStyle="1" w:styleId="Nomaml">
    <w:name w:val="Nomaml"/>
    <w:basedOn w:val="Source"/>
    <w:qFormat/>
    <w:rsid w:val="00C7511A"/>
    <w:pPr>
      <w:tabs>
        <w:tab w:val="center" w:pos="4680"/>
        <w:tab w:val="right" w:pos="9720"/>
      </w:tabs>
      <w:spacing w:after="120" w:line="240" w:lineRule="auto"/>
      <w:ind w:right="432"/>
    </w:pPr>
    <w:rPr>
      <w:rFonts w:cs="Arial"/>
      <w:color w:val="000000" w:themeColor="text1"/>
      <w:kern w:val="2"/>
      <w:szCs w:val="15"/>
      <w14:ligatures w14:val="standardContextual"/>
    </w:rPr>
  </w:style>
  <w:style w:type="paragraph" w:customStyle="1" w:styleId="Nomral">
    <w:name w:val="Nomral"/>
    <w:basedOn w:val="Normal"/>
    <w:qFormat/>
    <w:rsid w:val="00C7511A"/>
    <w:pPr>
      <w:spacing w:before="160" w:after="120"/>
      <w:ind w:right="432"/>
    </w:pPr>
    <w:rPr>
      <w:i/>
      <w:iCs/>
      <w:sz w:val="16"/>
      <w:szCs w:val="18"/>
    </w:rPr>
  </w:style>
  <w:style w:type="paragraph" w:customStyle="1" w:styleId="Nromal">
    <w:name w:val="Nromal"/>
    <w:basedOn w:val="BodyText"/>
    <w:qFormat/>
    <w:rsid w:val="00C7511A"/>
    <w:pPr>
      <w:spacing w:before="160" w:line="360" w:lineRule="exact"/>
      <w:ind w:right="432"/>
    </w:pPr>
    <w:rPr>
      <w:rFonts w:eastAsia="Calibri"/>
      <w:color w:val="434242"/>
      <w:kern w:val="0"/>
      <w:szCs w:val="20"/>
      <w:lang w:val="en-GB"/>
      <w14:ligatures w14:val="none"/>
    </w:rPr>
  </w:style>
  <w:style w:type="table" w:styleId="PlainTable2">
    <w:name w:val="Plain Table 2"/>
    <w:basedOn w:val="TableNormal"/>
    <w:uiPriority w:val="42"/>
    <w:rsid w:val="00C7511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Accent5">
    <w:name w:val="Grid Table 5 Dark Accent 5"/>
    <w:basedOn w:val="TableNormal"/>
    <w:uiPriority w:val="50"/>
    <w:rsid w:val="00C751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paragraph" w:customStyle="1" w:styleId="bullet3">
    <w:name w:val="bullet3"/>
    <w:basedOn w:val="Normal"/>
    <w:qFormat/>
    <w:rsid w:val="00C7511A"/>
    <w:pPr>
      <w:numPr>
        <w:numId w:val="34"/>
      </w:numPr>
      <w:spacing w:after="120" w:line="276" w:lineRule="auto"/>
      <w:ind w:left="1434" w:hanging="357"/>
      <w:jc w:val="left"/>
    </w:pPr>
    <w:rPr>
      <w:rFonts w:eastAsia="Calibri"/>
      <w:color w:val="434242"/>
      <w:kern w:val="0"/>
      <w:szCs w:val="20"/>
      <w:lang w:val="en-GB"/>
      <w14:ligatures w14:val="none"/>
    </w:rPr>
  </w:style>
  <w:style w:type="numbering" w:customStyle="1" w:styleId="NoList2">
    <w:name w:val="No List2"/>
    <w:next w:val="NoList"/>
    <w:uiPriority w:val="99"/>
    <w:semiHidden/>
    <w:unhideWhenUsed/>
    <w:rsid w:val="00C7511A"/>
  </w:style>
  <w:style w:type="numbering" w:customStyle="1" w:styleId="NoList11">
    <w:name w:val="No List11"/>
    <w:next w:val="NoList"/>
    <w:uiPriority w:val="99"/>
    <w:semiHidden/>
    <w:unhideWhenUsed/>
    <w:rsid w:val="00C7511A"/>
  </w:style>
  <w:style w:type="paragraph" w:customStyle="1" w:styleId="Headinv3">
    <w:name w:val="Headinv 3"/>
    <w:basedOn w:val="Normal"/>
    <w:qFormat/>
    <w:rsid w:val="00C7511A"/>
    <w:pPr>
      <w:keepNext/>
      <w:keepLines/>
      <w:numPr>
        <w:ilvl w:val="1"/>
      </w:numPr>
      <w:spacing w:before="160" w:after="80"/>
      <w:ind w:left="718" w:right="432" w:hanging="576"/>
      <w:outlineLvl w:val="1"/>
    </w:pPr>
    <w:rPr>
      <w:rFonts w:asciiTheme="majorHAnsi" w:eastAsiaTheme="majorEastAsia" w:hAnsiTheme="majorHAnsi" w:cstheme="majorBidi"/>
      <w:color w:val="005B72"/>
      <w:sz w:val="32"/>
      <w:szCs w:val="32"/>
    </w:rPr>
  </w:style>
  <w:style w:type="paragraph" w:customStyle="1" w:styleId="Headding4">
    <w:name w:val="Headding 4"/>
    <w:basedOn w:val="Normal"/>
    <w:qFormat/>
    <w:rsid w:val="00C7511A"/>
    <w:pPr>
      <w:keepNext/>
      <w:keepLines/>
      <w:numPr>
        <w:ilvl w:val="3"/>
      </w:numPr>
      <w:spacing w:before="80" w:after="40"/>
      <w:ind w:left="864" w:right="432" w:hanging="864"/>
      <w:outlineLvl w:val="3"/>
    </w:pPr>
    <w:rPr>
      <w:rFonts w:eastAsiaTheme="majorEastAsia" w:cstheme="majorBidi"/>
      <w:i/>
      <w:iCs/>
      <w:color w:val="0F4761" w:themeColor="accent1" w:themeShade="BF"/>
      <w:sz w:val="21"/>
    </w:rPr>
  </w:style>
  <w:style w:type="table" w:customStyle="1" w:styleId="ListTable3-Accent23">
    <w:name w:val="List Table 3 - Accent 23"/>
    <w:basedOn w:val="TableNormal"/>
    <w:next w:val="ListTable3-Accent2"/>
    <w:uiPriority w:val="48"/>
    <w:rsid w:val="00C7511A"/>
    <w:pPr>
      <w:spacing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numbering" w:customStyle="1" w:styleId="NoList3">
    <w:name w:val="No List3"/>
    <w:next w:val="NoList"/>
    <w:uiPriority w:val="99"/>
    <w:semiHidden/>
    <w:unhideWhenUsed/>
    <w:rsid w:val="00C7511A"/>
  </w:style>
  <w:style w:type="numbering" w:customStyle="1" w:styleId="NoList12">
    <w:name w:val="No List12"/>
    <w:next w:val="NoList"/>
    <w:uiPriority w:val="99"/>
    <w:semiHidden/>
    <w:unhideWhenUsed/>
    <w:rsid w:val="00C7511A"/>
  </w:style>
  <w:style w:type="paragraph" w:customStyle="1" w:styleId="Heaing2">
    <w:name w:val="Heaing 2"/>
    <w:basedOn w:val="Normal"/>
    <w:qFormat/>
    <w:rsid w:val="00C66D86"/>
    <w:pPr>
      <w:ind w:right="115"/>
    </w:pPr>
    <w:rPr>
      <w:szCs w:val="20"/>
    </w:rPr>
  </w:style>
  <w:style w:type="paragraph" w:customStyle="1" w:styleId="Heading01">
    <w:name w:val="Heading 01"/>
    <w:basedOn w:val="Normal"/>
    <w:qFormat/>
    <w:rsid w:val="00D53E0A"/>
    <w:pPr>
      <w:spacing w:before="0" w:after="0" w:line="240" w:lineRule="auto"/>
      <w:ind w:right="1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80281">
      <w:bodyDiv w:val="1"/>
      <w:marLeft w:val="0"/>
      <w:marRight w:val="0"/>
      <w:marTop w:val="0"/>
      <w:marBottom w:val="0"/>
      <w:divBdr>
        <w:top w:val="none" w:sz="0" w:space="0" w:color="auto"/>
        <w:left w:val="none" w:sz="0" w:space="0" w:color="auto"/>
        <w:bottom w:val="none" w:sz="0" w:space="0" w:color="auto"/>
        <w:right w:val="none" w:sz="0" w:space="0" w:color="auto"/>
      </w:divBdr>
      <w:divsChild>
        <w:div w:id="1467696529">
          <w:marLeft w:val="300"/>
          <w:marRight w:val="0"/>
          <w:marTop w:val="150"/>
          <w:marBottom w:val="0"/>
          <w:divBdr>
            <w:top w:val="none" w:sz="0" w:space="0" w:color="auto"/>
            <w:left w:val="none" w:sz="0" w:space="0" w:color="auto"/>
            <w:bottom w:val="none" w:sz="0" w:space="0" w:color="auto"/>
            <w:right w:val="none" w:sz="0" w:space="0" w:color="auto"/>
          </w:divBdr>
          <w:divsChild>
            <w:div w:id="545918616">
              <w:marLeft w:val="0"/>
              <w:marRight w:val="0"/>
              <w:marTop w:val="0"/>
              <w:marBottom w:val="0"/>
              <w:divBdr>
                <w:top w:val="none" w:sz="0" w:space="0" w:color="auto"/>
                <w:left w:val="none" w:sz="0" w:space="0" w:color="auto"/>
                <w:bottom w:val="none" w:sz="0" w:space="0" w:color="auto"/>
                <w:right w:val="none" w:sz="0" w:space="0" w:color="auto"/>
              </w:divBdr>
              <w:divsChild>
                <w:div w:id="2006397316">
                  <w:marLeft w:val="0"/>
                  <w:marRight w:val="0"/>
                  <w:marTop w:val="0"/>
                  <w:marBottom w:val="0"/>
                  <w:divBdr>
                    <w:top w:val="none" w:sz="0" w:space="0" w:color="auto"/>
                    <w:left w:val="none" w:sz="0" w:space="0" w:color="auto"/>
                    <w:bottom w:val="none" w:sz="0" w:space="0" w:color="auto"/>
                    <w:right w:val="none" w:sz="0" w:space="0" w:color="auto"/>
                  </w:divBdr>
                  <w:divsChild>
                    <w:div w:id="63993821">
                      <w:marLeft w:val="0"/>
                      <w:marRight w:val="0"/>
                      <w:marTop w:val="0"/>
                      <w:marBottom w:val="0"/>
                      <w:divBdr>
                        <w:top w:val="none" w:sz="0" w:space="0" w:color="auto"/>
                        <w:left w:val="none" w:sz="0" w:space="0" w:color="auto"/>
                        <w:bottom w:val="none" w:sz="0" w:space="0" w:color="auto"/>
                        <w:right w:val="none" w:sz="0" w:space="0" w:color="auto"/>
                      </w:divBdr>
                      <w:divsChild>
                        <w:div w:id="128673069">
                          <w:marLeft w:val="0"/>
                          <w:marRight w:val="0"/>
                          <w:marTop w:val="0"/>
                          <w:marBottom w:val="0"/>
                          <w:divBdr>
                            <w:top w:val="none" w:sz="0" w:space="0" w:color="auto"/>
                            <w:left w:val="none" w:sz="0" w:space="0" w:color="auto"/>
                            <w:bottom w:val="none" w:sz="0" w:space="0" w:color="auto"/>
                            <w:right w:val="none" w:sz="0" w:space="0" w:color="auto"/>
                          </w:divBdr>
                          <w:divsChild>
                            <w:div w:id="839853963">
                              <w:marLeft w:val="0"/>
                              <w:marRight w:val="0"/>
                              <w:marTop w:val="0"/>
                              <w:marBottom w:val="0"/>
                              <w:divBdr>
                                <w:top w:val="none" w:sz="0" w:space="0" w:color="auto"/>
                                <w:left w:val="none" w:sz="0" w:space="0" w:color="auto"/>
                                <w:bottom w:val="none" w:sz="0" w:space="0" w:color="auto"/>
                                <w:right w:val="none" w:sz="0" w:space="0" w:color="auto"/>
                              </w:divBdr>
                              <w:divsChild>
                                <w:div w:id="1167210991">
                                  <w:marLeft w:val="0"/>
                                  <w:marRight w:val="0"/>
                                  <w:marTop w:val="0"/>
                                  <w:marBottom w:val="240"/>
                                  <w:divBdr>
                                    <w:top w:val="none" w:sz="0" w:space="0" w:color="auto"/>
                                    <w:left w:val="none" w:sz="0" w:space="0" w:color="auto"/>
                                    <w:bottom w:val="none" w:sz="0" w:space="0" w:color="auto"/>
                                    <w:right w:val="none" w:sz="0" w:space="0" w:color="auto"/>
                                  </w:divBdr>
                                  <w:divsChild>
                                    <w:div w:id="1692564370">
                                      <w:marLeft w:val="0"/>
                                      <w:marRight w:val="0"/>
                                      <w:marTop w:val="0"/>
                                      <w:marBottom w:val="0"/>
                                      <w:divBdr>
                                        <w:top w:val="none" w:sz="0" w:space="0" w:color="auto"/>
                                        <w:left w:val="none" w:sz="0" w:space="0" w:color="auto"/>
                                        <w:bottom w:val="none" w:sz="0" w:space="0" w:color="auto"/>
                                        <w:right w:val="none" w:sz="0" w:space="0" w:color="auto"/>
                                      </w:divBdr>
                                      <w:divsChild>
                                        <w:div w:id="1015837977">
                                          <w:marLeft w:val="0"/>
                                          <w:marRight w:val="0"/>
                                          <w:marTop w:val="0"/>
                                          <w:marBottom w:val="0"/>
                                          <w:divBdr>
                                            <w:top w:val="none" w:sz="0" w:space="0" w:color="auto"/>
                                            <w:left w:val="none" w:sz="0" w:space="0" w:color="auto"/>
                                            <w:bottom w:val="none" w:sz="0" w:space="0" w:color="auto"/>
                                            <w:right w:val="none" w:sz="0" w:space="0" w:color="auto"/>
                                          </w:divBdr>
                                          <w:divsChild>
                                            <w:div w:id="2138525159">
                                              <w:marLeft w:val="0"/>
                                              <w:marRight w:val="0"/>
                                              <w:marTop w:val="0"/>
                                              <w:marBottom w:val="0"/>
                                              <w:divBdr>
                                                <w:top w:val="none" w:sz="0" w:space="0" w:color="auto"/>
                                                <w:left w:val="none" w:sz="0" w:space="0" w:color="auto"/>
                                                <w:bottom w:val="none" w:sz="0" w:space="0" w:color="auto"/>
                                                <w:right w:val="none" w:sz="0" w:space="0" w:color="auto"/>
                                              </w:divBdr>
                                              <w:divsChild>
                                                <w:div w:id="746346355">
                                                  <w:marLeft w:val="0"/>
                                                  <w:marRight w:val="0"/>
                                                  <w:marTop w:val="0"/>
                                                  <w:marBottom w:val="0"/>
                                                  <w:divBdr>
                                                    <w:top w:val="none" w:sz="0" w:space="0" w:color="auto"/>
                                                    <w:left w:val="none" w:sz="0" w:space="0" w:color="auto"/>
                                                    <w:bottom w:val="none" w:sz="0" w:space="0" w:color="auto"/>
                                                    <w:right w:val="none" w:sz="0" w:space="0" w:color="auto"/>
                                                  </w:divBdr>
                                                  <w:divsChild>
                                                    <w:div w:id="451482650">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sChild>
                            </w:div>
                          </w:divsChild>
                        </w:div>
                      </w:divsChild>
                    </w:div>
                  </w:divsChild>
                </w:div>
              </w:divsChild>
            </w:div>
          </w:divsChild>
        </w:div>
        <w:div w:id="2115515205">
          <w:marLeft w:val="0"/>
          <w:marRight w:val="0"/>
          <w:marTop w:val="375"/>
          <w:marBottom w:val="0"/>
          <w:divBdr>
            <w:top w:val="none" w:sz="0" w:space="0" w:color="auto"/>
            <w:left w:val="none" w:sz="0" w:space="0" w:color="auto"/>
            <w:bottom w:val="none" w:sz="0" w:space="0" w:color="auto"/>
            <w:right w:val="none" w:sz="0" w:space="0" w:color="auto"/>
          </w:divBdr>
          <w:divsChild>
            <w:div w:id="731925486">
              <w:marLeft w:val="0"/>
              <w:marRight w:val="0"/>
              <w:marTop w:val="0"/>
              <w:marBottom w:val="0"/>
              <w:divBdr>
                <w:top w:val="none" w:sz="0" w:space="0" w:color="auto"/>
                <w:left w:val="none" w:sz="0" w:space="0" w:color="auto"/>
                <w:bottom w:val="none" w:sz="0" w:space="0" w:color="auto"/>
                <w:right w:val="none" w:sz="0" w:space="0" w:color="auto"/>
              </w:divBdr>
              <w:divsChild>
                <w:div w:id="1780949639">
                  <w:marLeft w:val="0"/>
                  <w:marRight w:val="0"/>
                  <w:marTop w:val="0"/>
                  <w:marBottom w:val="0"/>
                  <w:divBdr>
                    <w:top w:val="none" w:sz="0" w:space="0" w:color="auto"/>
                    <w:left w:val="none" w:sz="0" w:space="0" w:color="auto"/>
                    <w:bottom w:val="none" w:sz="0" w:space="0" w:color="auto"/>
                    <w:right w:val="none" w:sz="0" w:space="0" w:color="auto"/>
                  </w:divBdr>
                  <w:divsChild>
                    <w:div w:id="1633053322">
                      <w:marLeft w:val="0"/>
                      <w:marRight w:val="0"/>
                      <w:marTop w:val="0"/>
                      <w:marBottom w:val="0"/>
                      <w:divBdr>
                        <w:top w:val="none" w:sz="0" w:space="0" w:color="auto"/>
                        <w:left w:val="none" w:sz="0" w:space="0" w:color="auto"/>
                        <w:bottom w:val="none" w:sz="0" w:space="0" w:color="auto"/>
                        <w:right w:val="none" w:sz="0" w:space="0" w:color="auto"/>
                      </w:divBdr>
                      <w:divsChild>
                        <w:div w:id="16529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06930">
      <w:bodyDiv w:val="1"/>
      <w:marLeft w:val="0"/>
      <w:marRight w:val="0"/>
      <w:marTop w:val="0"/>
      <w:marBottom w:val="0"/>
      <w:divBdr>
        <w:top w:val="none" w:sz="0" w:space="0" w:color="auto"/>
        <w:left w:val="none" w:sz="0" w:space="0" w:color="auto"/>
        <w:bottom w:val="none" w:sz="0" w:space="0" w:color="auto"/>
        <w:right w:val="none" w:sz="0" w:space="0" w:color="auto"/>
      </w:divBdr>
    </w:div>
    <w:div w:id="178548676">
      <w:bodyDiv w:val="1"/>
      <w:marLeft w:val="0"/>
      <w:marRight w:val="0"/>
      <w:marTop w:val="0"/>
      <w:marBottom w:val="0"/>
      <w:divBdr>
        <w:top w:val="none" w:sz="0" w:space="0" w:color="auto"/>
        <w:left w:val="none" w:sz="0" w:space="0" w:color="auto"/>
        <w:bottom w:val="none" w:sz="0" w:space="0" w:color="auto"/>
        <w:right w:val="none" w:sz="0" w:space="0" w:color="auto"/>
      </w:divBdr>
    </w:div>
    <w:div w:id="309948645">
      <w:bodyDiv w:val="1"/>
      <w:marLeft w:val="0"/>
      <w:marRight w:val="0"/>
      <w:marTop w:val="0"/>
      <w:marBottom w:val="0"/>
      <w:divBdr>
        <w:top w:val="none" w:sz="0" w:space="0" w:color="auto"/>
        <w:left w:val="none" w:sz="0" w:space="0" w:color="auto"/>
        <w:bottom w:val="none" w:sz="0" w:space="0" w:color="auto"/>
        <w:right w:val="none" w:sz="0" w:space="0" w:color="auto"/>
      </w:divBdr>
    </w:div>
    <w:div w:id="335229776">
      <w:bodyDiv w:val="1"/>
      <w:marLeft w:val="0"/>
      <w:marRight w:val="0"/>
      <w:marTop w:val="0"/>
      <w:marBottom w:val="0"/>
      <w:divBdr>
        <w:top w:val="none" w:sz="0" w:space="0" w:color="auto"/>
        <w:left w:val="none" w:sz="0" w:space="0" w:color="auto"/>
        <w:bottom w:val="none" w:sz="0" w:space="0" w:color="auto"/>
        <w:right w:val="none" w:sz="0" w:space="0" w:color="auto"/>
      </w:divBdr>
    </w:div>
    <w:div w:id="614678767">
      <w:bodyDiv w:val="1"/>
      <w:marLeft w:val="0"/>
      <w:marRight w:val="0"/>
      <w:marTop w:val="0"/>
      <w:marBottom w:val="0"/>
      <w:divBdr>
        <w:top w:val="none" w:sz="0" w:space="0" w:color="auto"/>
        <w:left w:val="none" w:sz="0" w:space="0" w:color="auto"/>
        <w:bottom w:val="none" w:sz="0" w:space="0" w:color="auto"/>
        <w:right w:val="none" w:sz="0" w:space="0" w:color="auto"/>
      </w:divBdr>
    </w:div>
    <w:div w:id="660936662">
      <w:bodyDiv w:val="1"/>
      <w:marLeft w:val="0"/>
      <w:marRight w:val="0"/>
      <w:marTop w:val="0"/>
      <w:marBottom w:val="0"/>
      <w:divBdr>
        <w:top w:val="none" w:sz="0" w:space="0" w:color="auto"/>
        <w:left w:val="none" w:sz="0" w:space="0" w:color="auto"/>
        <w:bottom w:val="none" w:sz="0" w:space="0" w:color="auto"/>
        <w:right w:val="none" w:sz="0" w:space="0" w:color="auto"/>
      </w:divBdr>
    </w:div>
    <w:div w:id="711270573">
      <w:bodyDiv w:val="1"/>
      <w:marLeft w:val="0"/>
      <w:marRight w:val="0"/>
      <w:marTop w:val="0"/>
      <w:marBottom w:val="0"/>
      <w:divBdr>
        <w:top w:val="none" w:sz="0" w:space="0" w:color="auto"/>
        <w:left w:val="none" w:sz="0" w:space="0" w:color="auto"/>
        <w:bottom w:val="none" w:sz="0" w:space="0" w:color="auto"/>
        <w:right w:val="none" w:sz="0" w:space="0" w:color="auto"/>
      </w:divBdr>
    </w:div>
    <w:div w:id="786317623">
      <w:bodyDiv w:val="1"/>
      <w:marLeft w:val="0"/>
      <w:marRight w:val="0"/>
      <w:marTop w:val="0"/>
      <w:marBottom w:val="0"/>
      <w:divBdr>
        <w:top w:val="none" w:sz="0" w:space="0" w:color="auto"/>
        <w:left w:val="none" w:sz="0" w:space="0" w:color="auto"/>
        <w:bottom w:val="none" w:sz="0" w:space="0" w:color="auto"/>
        <w:right w:val="none" w:sz="0" w:space="0" w:color="auto"/>
      </w:divBdr>
    </w:div>
    <w:div w:id="854418870">
      <w:bodyDiv w:val="1"/>
      <w:marLeft w:val="0"/>
      <w:marRight w:val="0"/>
      <w:marTop w:val="0"/>
      <w:marBottom w:val="0"/>
      <w:divBdr>
        <w:top w:val="none" w:sz="0" w:space="0" w:color="auto"/>
        <w:left w:val="none" w:sz="0" w:space="0" w:color="auto"/>
        <w:bottom w:val="none" w:sz="0" w:space="0" w:color="auto"/>
        <w:right w:val="none" w:sz="0" w:space="0" w:color="auto"/>
      </w:divBdr>
    </w:div>
    <w:div w:id="880896283">
      <w:bodyDiv w:val="1"/>
      <w:marLeft w:val="0"/>
      <w:marRight w:val="0"/>
      <w:marTop w:val="0"/>
      <w:marBottom w:val="0"/>
      <w:divBdr>
        <w:top w:val="none" w:sz="0" w:space="0" w:color="auto"/>
        <w:left w:val="none" w:sz="0" w:space="0" w:color="auto"/>
        <w:bottom w:val="none" w:sz="0" w:space="0" w:color="auto"/>
        <w:right w:val="none" w:sz="0" w:space="0" w:color="auto"/>
      </w:divBdr>
    </w:div>
    <w:div w:id="900603812">
      <w:bodyDiv w:val="1"/>
      <w:marLeft w:val="0"/>
      <w:marRight w:val="0"/>
      <w:marTop w:val="0"/>
      <w:marBottom w:val="0"/>
      <w:divBdr>
        <w:top w:val="none" w:sz="0" w:space="0" w:color="auto"/>
        <w:left w:val="none" w:sz="0" w:space="0" w:color="auto"/>
        <w:bottom w:val="none" w:sz="0" w:space="0" w:color="auto"/>
        <w:right w:val="none" w:sz="0" w:space="0" w:color="auto"/>
      </w:divBdr>
    </w:div>
    <w:div w:id="1241330385">
      <w:bodyDiv w:val="1"/>
      <w:marLeft w:val="0"/>
      <w:marRight w:val="0"/>
      <w:marTop w:val="0"/>
      <w:marBottom w:val="0"/>
      <w:divBdr>
        <w:top w:val="none" w:sz="0" w:space="0" w:color="auto"/>
        <w:left w:val="none" w:sz="0" w:space="0" w:color="auto"/>
        <w:bottom w:val="none" w:sz="0" w:space="0" w:color="auto"/>
        <w:right w:val="none" w:sz="0" w:space="0" w:color="auto"/>
      </w:divBdr>
    </w:div>
    <w:div w:id="1265962166">
      <w:bodyDiv w:val="1"/>
      <w:marLeft w:val="0"/>
      <w:marRight w:val="0"/>
      <w:marTop w:val="0"/>
      <w:marBottom w:val="0"/>
      <w:divBdr>
        <w:top w:val="none" w:sz="0" w:space="0" w:color="auto"/>
        <w:left w:val="none" w:sz="0" w:space="0" w:color="auto"/>
        <w:bottom w:val="none" w:sz="0" w:space="0" w:color="auto"/>
        <w:right w:val="none" w:sz="0" w:space="0" w:color="auto"/>
      </w:divBdr>
    </w:div>
    <w:div w:id="1307007209">
      <w:bodyDiv w:val="1"/>
      <w:marLeft w:val="0"/>
      <w:marRight w:val="0"/>
      <w:marTop w:val="0"/>
      <w:marBottom w:val="0"/>
      <w:divBdr>
        <w:top w:val="none" w:sz="0" w:space="0" w:color="auto"/>
        <w:left w:val="none" w:sz="0" w:space="0" w:color="auto"/>
        <w:bottom w:val="none" w:sz="0" w:space="0" w:color="auto"/>
        <w:right w:val="none" w:sz="0" w:space="0" w:color="auto"/>
      </w:divBdr>
    </w:div>
    <w:div w:id="1577395570">
      <w:bodyDiv w:val="1"/>
      <w:marLeft w:val="0"/>
      <w:marRight w:val="0"/>
      <w:marTop w:val="0"/>
      <w:marBottom w:val="0"/>
      <w:divBdr>
        <w:top w:val="none" w:sz="0" w:space="0" w:color="auto"/>
        <w:left w:val="none" w:sz="0" w:space="0" w:color="auto"/>
        <w:bottom w:val="none" w:sz="0" w:space="0" w:color="auto"/>
        <w:right w:val="none" w:sz="0" w:space="0" w:color="auto"/>
      </w:divBdr>
    </w:div>
    <w:div w:id="1675109182">
      <w:bodyDiv w:val="1"/>
      <w:marLeft w:val="0"/>
      <w:marRight w:val="0"/>
      <w:marTop w:val="0"/>
      <w:marBottom w:val="0"/>
      <w:divBdr>
        <w:top w:val="none" w:sz="0" w:space="0" w:color="auto"/>
        <w:left w:val="none" w:sz="0" w:space="0" w:color="auto"/>
        <w:bottom w:val="none" w:sz="0" w:space="0" w:color="auto"/>
        <w:right w:val="none" w:sz="0" w:space="0" w:color="auto"/>
      </w:divBdr>
    </w:div>
    <w:div w:id="1726756871">
      <w:bodyDiv w:val="1"/>
      <w:marLeft w:val="0"/>
      <w:marRight w:val="0"/>
      <w:marTop w:val="0"/>
      <w:marBottom w:val="0"/>
      <w:divBdr>
        <w:top w:val="none" w:sz="0" w:space="0" w:color="auto"/>
        <w:left w:val="none" w:sz="0" w:space="0" w:color="auto"/>
        <w:bottom w:val="none" w:sz="0" w:space="0" w:color="auto"/>
        <w:right w:val="none" w:sz="0" w:space="0" w:color="auto"/>
      </w:divBdr>
      <w:divsChild>
        <w:div w:id="855920414">
          <w:marLeft w:val="300"/>
          <w:marRight w:val="0"/>
          <w:marTop w:val="150"/>
          <w:marBottom w:val="0"/>
          <w:divBdr>
            <w:top w:val="none" w:sz="0" w:space="0" w:color="auto"/>
            <w:left w:val="none" w:sz="0" w:space="0" w:color="auto"/>
            <w:bottom w:val="none" w:sz="0" w:space="0" w:color="auto"/>
            <w:right w:val="none" w:sz="0" w:space="0" w:color="auto"/>
          </w:divBdr>
          <w:divsChild>
            <w:div w:id="985819929">
              <w:marLeft w:val="0"/>
              <w:marRight w:val="0"/>
              <w:marTop w:val="0"/>
              <w:marBottom w:val="0"/>
              <w:divBdr>
                <w:top w:val="none" w:sz="0" w:space="0" w:color="auto"/>
                <w:left w:val="none" w:sz="0" w:space="0" w:color="auto"/>
                <w:bottom w:val="none" w:sz="0" w:space="0" w:color="auto"/>
                <w:right w:val="none" w:sz="0" w:space="0" w:color="auto"/>
              </w:divBdr>
              <w:divsChild>
                <w:div w:id="158810838">
                  <w:marLeft w:val="0"/>
                  <w:marRight w:val="0"/>
                  <w:marTop w:val="0"/>
                  <w:marBottom w:val="0"/>
                  <w:divBdr>
                    <w:top w:val="none" w:sz="0" w:space="0" w:color="auto"/>
                    <w:left w:val="none" w:sz="0" w:space="0" w:color="auto"/>
                    <w:bottom w:val="none" w:sz="0" w:space="0" w:color="auto"/>
                    <w:right w:val="none" w:sz="0" w:space="0" w:color="auto"/>
                  </w:divBdr>
                  <w:divsChild>
                    <w:div w:id="132799124">
                      <w:marLeft w:val="0"/>
                      <w:marRight w:val="0"/>
                      <w:marTop w:val="0"/>
                      <w:marBottom w:val="0"/>
                      <w:divBdr>
                        <w:top w:val="none" w:sz="0" w:space="0" w:color="auto"/>
                        <w:left w:val="none" w:sz="0" w:space="0" w:color="auto"/>
                        <w:bottom w:val="none" w:sz="0" w:space="0" w:color="auto"/>
                        <w:right w:val="none" w:sz="0" w:space="0" w:color="auto"/>
                      </w:divBdr>
                      <w:divsChild>
                        <w:div w:id="1024206657">
                          <w:marLeft w:val="0"/>
                          <w:marRight w:val="0"/>
                          <w:marTop w:val="0"/>
                          <w:marBottom w:val="0"/>
                          <w:divBdr>
                            <w:top w:val="none" w:sz="0" w:space="0" w:color="auto"/>
                            <w:left w:val="none" w:sz="0" w:space="0" w:color="auto"/>
                            <w:bottom w:val="none" w:sz="0" w:space="0" w:color="auto"/>
                            <w:right w:val="none" w:sz="0" w:space="0" w:color="auto"/>
                          </w:divBdr>
                          <w:divsChild>
                            <w:div w:id="316614307">
                              <w:marLeft w:val="0"/>
                              <w:marRight w:val="0"/>
                              <w:marTop w:val="0"/>
                              <w:marBottom w:val="0"/>
                              <w:divBdr>
                                <w:top w:val="none" w:sz="0" w:space="0" w:color="auto"/>
                                <w:left w:val="none" w:sz="0" w:space="0" w:color="auto"/>
                                <w:bottom w:val="none" w:sz="0" w:space="0" w:color="auto"/>
                                <w:right w:val="none" w:sz="0" w:space="0" w:color="auto"/>
                              </w:divBdr>
                              <w:divsChild>
                                <w:div w:id="1592540618">
                                  <w:marLeft w:val="0"/>
                                  <w:marRight w:val="0"/>
                                  <w:marTop w:val="0"/>
                                  <w:marBottom w:val="240"/>
                                  <w:divBdr>
                                    <w:top w:val="none" w:sz="0" w:space="0" w:color="auto"/>
                                    <w:left w:val="none" w:sz="0" w:space="0" w:color="auto"/>
                                    <w:bottom w:val="none" w:sz="0" w:space="0" w:color="auto"/>
                                    <w:right w:val="none" w:sz="0" w:space="0" w:color="auto"/>
                                  </w:divBdr>
                                  <w:divsChild>
                                    <w:div w:id="1320503433">
                                      <w:marLeft w:val="0"/>
                                      <w:marRight w:val="0"/>
                                      <w:marTop w:val="0"/>
                                      <w:marBottom w:val="0"/>
                                      <w:divBdr>
                                        <w:top w:val="none" w:sz="0" w:space="0" w:color="auto"/>
                                        <w:left w:val="none" w:sz="0" w:space="0" w:color="auto"/>
                                        <w:bottom w:val="none" w:sz="0" w:space="0" w:color="auto"/>
                                        <w:right w:val="none" w:sz="0" w:space="0" w:color="auto"/>
                                      </w:divBdr>
                                      <w:divsChild>
                                        <w:div w:id="1515606878">
                                          <w:marLeft w:val="0"/>
                                          <w:marRight w:val="0"/>
                                          <w:marTop w:val="0"/>
                                          <w:marBottom w:val="0"/>
                                          <w:divBdr>
                                            <w:top w:val="none" w:sz="0" w:space="0" w:color="auto"/>
                                            <w:left w:val="none" w:sz="0" w:space="0" w:color="auto"/>
                                            <w:bottom w:val="none" w:sz="0" w:space="0" w:color="auto"/>
                                            <w:right w:val="none" w:sz="0" w:space="0" w:color="auto"/>
                                          </w:divBdr>
                                          <w:divsChild>
                                            <w:div w:id="1701466850">
                                              <w:marLeft w:val="0"/>
                                              <w:marRight w:val="0"/>
                                              <w:marTop w:val="0"/>
                                              <w:marBottom w:val="0"/>
                                              <w:divBdr>
                                                <w:top w:val="none" w:sz="0" w:space="0" w:color="auto"/>
                                                <w:left w:val="none" w:sz="0" w:space="0" w:color="auto"/>
                                                <w:bottom w:val="none" w:sz="0" w:space="0" w:color="auto"/>
                                                <w:right w:val="none" w:sz="0" w:space="0" w:color="auto"/>
                                              </w:divBdr>
                                              <w:divsChild>
                                                <w:div w:id="1988777966">
                                                  <w:marLeft w:val="0"/>
                                                  <w:marRight w:val="0"/>
                                                  <w:marTop w:val="0"/>
                                                  <w:marBottom w:val="0"/>
                                                  <w:divBdr>
                                                    <w:top w:val="none" w:sz="0" w:space="0" w:color="auto"/>
                                                    <w:left w:val="none" w:sz="0" w:space="0" w:color="auto"/>
                                                    <w:bottom w:val="none" w:sz="0" w:space="0" w:color="auto"/>
                                                    <w:right w:val="none" w:sz="0" w:space="0" w:color="auto"/>
                                                  </w:divBdr>
                                                  <w:divsChild>
                                                    <w:div w:id="1046954625">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sChild>
                                    </w:div>
                                  </w:divsChild>
                                </w:div>
                              </w:divsChild>
                            </w:div>
                          </w:divsChild>
                        </w:div>
                      </w:divsChild>
                    </w:div>
                  </w:divsChild>
                </w:div>
              </w:divsChild>
            </w:div>
          </w:divsChild>
        </w:div>
        <w:div w:id="479811546">
          <w:marLeft w:val="0"/>
          <w:marRight w:val="0"/>
          <w:marTop w:val="375"/>
          <w:marBottom w:val="0"/>
          <w:divBdr>
            <w:top w:val="none" w:sz="0" w:space="0" w:color="auto"/>
            <w:left w:val="none" w:sz="0" w:space="0" w:color="auto"/>
            <w:bottom w:val="none" w:sz="0" w:space="0" w:color="auto"/>
            <w:right w:val="none" w:sz="0" w:space="0" w:color="auto"/>
          </w:divBdr>
          <w:divsChild>
            <w:div w:id="1463185600">
              <w:marLeft w:val="0"/>
              <w:marRight w:val="0"/>
              <w:marTop w:val="0"/>
              <w:marBottom w:val="0"/>
              <w:divBdr>
                <w:top w:val="none" w:sz="0" w:space="0" w:color="auto"/>
                <w:left w:val="none" w:sz="0" w:space="0" w:color="auto"/>
                <w:bottom w:val="none" w:sz="0" w:space="0" w:color="auto"/>
                <w:right w:val="none" w:sz="0" w:space="0" w:color="auto"/>
              </w:divBdr>
              <w:divsChild>
                <w:div w:id="97334875">
                  <w:marLeft w:val="0"/>
                  <w:marRight w:val="0"/>
                  <w:marTop w:val="0"/>
                  <w:marBottom w:val="0"/>
                  <w:divBdr>
                    <w:top w:val="none" w:sz="0" w:space="0" w:color="auto"/>
                    <w:left w:val="none" w:sz="0" w:space="0" w:color="auto"/>
                    <w:bottom w:val="none" w:sz="0" w:space="0" w:color="auto"/>
                    <w:right w:val="none" w:sz="0" w:space="0" w:color="auto"/>
                  </w:divBdr>
                  <w:divsChild>
                    <w:div w:id="173687789">
                      <w:marLeft w:val="0"/>
                      <w:marRight w:val="0"/>
                      <w:marTop w:val="0"/>
                      <w:marBottom w:val="0"/>
                      <w:divBdr>
                        <w:top w:val="none" w:sz="0" w:space="0" w:color="auto"/>
                        <w:left w:val="none" w:sz="0" w:space="0" w:color="auto"/>
                        <w:bottom w:val="none" w:sz="0" w:space="0" w:color="auto"/>
                        <w:right w:val="none" w:sz="0" w:space="0" w:color="auto"/>
                      </w:divBdr>
                      <w:divsChild>
                        <w:div w:id="13806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171971">
      <w:bodyDiv w:val="1"/>
      <w:marLeft w:val="0"/>
      <w:marRight w:val="0"/>
      <w:marTop w:val="0"/>
      <w:marBottom w:val="0"/>
      <w:divBdr>
        <w:top w:val="none" w:sz="0" w:space="0" w:color="auto"/>
        <w:left w:val="none" w:sz="0" w:space="0" w:color="auto"/>
        <w:bottom w:val="none" w:sz="0" w:space="0" w:color="auto"/>
        <w:right w:val="none" w:sz="0" w:space="0" w:color="auto"/>
      </w:divBdr>
    </w:div>
    <w:div w:id="1854370628">
      <w:bodyDiv w:val="1"/>
      <w:marLeft w:val="0"/>
      <w:marRight w:val="0"/>
      <w:marTop w:val="0"/>
      <w:marBottom w:val="0"/>
      <w:divBdr>
        <w:top w:val="none" w:sz="0" w:space="0" w:color="auto"/>
        <w:left w:val="none" w:sz="0" w:space="0" w:color="auto"/>
        <w:bottom w:val="none" w:sz="0" w:space="0" w:color="auto"/>
        <w:right w:val="none" w:sz="0" w:space="0" w:color="auto"/>
      </w:divBdr>
    </w:div>
    <w:div w:id="1860388273">
      <w:bodyDiv w:val="1"/>
      <w:marLeft w:val="0"/>
      <w:marRight w:val="0"/>
      <w:marTop w:val="0"/>
      <w:marBottom w:val="0"/>
      <w:divBdr>
        <w:top w:val="none" w:sz="0" w:space="0" w:color="auto"/>
        <w:left w:val="none" w:sz="0" w:space="0" w:color="auto"/>
        <w:bottom w:val="none" w:sz="0" w:space="0" w:color="auto"/>
        <w:right w:val="none" w:sz="0" w:space="0" w:color="auto"/>
      </w:divBdr>
    </w:div>
    <w:div w:id="209663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2.xml"/><Relationship Id="rId21" Type="http://schemas.openxmlformats.org/officeDocument/2006/relationships/chart" Target="charts/chart7.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ib.gov.in/PressReleasePage.aspx?PRID=2090875" TargetMode="External"/><Relationship Id="rId29" Type="http://schemas.openxmlformats.org/officeDocument/2006/relationships/chart" Target="charts/chart14.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image" Target="media/image4.png"/><Relationship Id="rId37" Type="http://schemas.openxmlformats.org/officeDocument/2006/relationships/chart" Target="charts/chart21.xml"/><Relationship Id="rId40" Type="http://schemas.openxmlformats.org/officeDocument/2006/relationships/chart" Target="charts/chart23.xml"/><Relationship Id="rId45" Type="http://schemas.openxmlformats.org/officeDocument/2006/relationships/image" Target="media/image6.png"/><Relationship Id="rId53" Type="http://schemas.openxmlformats.org/officeDocument/2006/relationships/chart" Target="charts/chart34.xml"/><Relationship Id="rId58" Type="http://schemas.openxmlformats.org/officeDocument/2006/relationships/hyperlink" Target="https://intelligence.crisil.com" TargetMode="External"/><Relationship Id="rId5" Type="http://schemas.openxmlformats.org/officeDocument/2006/relationships/numbering" Target="numbering.xml"/><Relationship Id="rId61" Type="http://schemas.openxmlformats.org/officeDocument/2006/relationships/hyperlink" Target="https://x.com/CRISILLimited" TargetMode="External"/><Relationship Id="rId19" Type="http://schemas.openxmlformats.org/officeDocument/2006/relationships/chart" Target="charts/chart5.xm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image" Target="media/image3.png"/><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chart" Target="charts/chart30.xml"/><Relationship Id="rId56" Type="http://schemas.openxmlformats.org/officeDocument/2006/relationships/chart" Target="charts/chart37.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7.xml"/><Relationship Id="rId38" Type="http://schemas.openxmlformats.org/officeDocument/2006/relationships/image" Target="media/image5.png"/><Relationship Id="rId46" Type="http://schemas.openxmlformats.org/officeDocument/2006/relationships/chart" Target="charts/chart28.xml"/><Relationship Id="rId59" Type="http://schemas.openxmlformats.org/officeDocument/2006/relationships/hyperlink" Target="https://www.Crisil.com" TargetMode="External"/><Relationship Id="rId20" Type="http://schemas.openxmlformats.org/officeDocument/2006/relationships/chart" Target="charts/chart6.xml"/><Relationship Id="rId41" Type="http://schemas.openxmlformats.org/officeDocument/2006/relationships/chart" Target="charts/chart24.xml"/><Relationship Id="rId54" Type="http://schemas.openxmlformats.org/officeDocument/2006/relationships/chart" Target="charts/chart35.xml"/><Relationship Id="rId62" Type="http://schemas.openxmlformats.org/officeDocument/2006/relationships/hyperlink" Target="http://www.crisil.com/priva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ib.gov.in/PressReleasePage.aspx?PRID=2090875" TargetMode="External"/><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chart" Target="charts/chart31.xm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chart" Target="charts/chart27.xml"/><Relationship Id="rId52" Type="http://schemas.openxmlformats.org/officeDocument/2006/relationships/chart" Target="charts/chart33.xml"/><Relationship Id="rId60" Type="http://schemas.openxmlformats.org/officeDocument/2006/relationships/hyperlink" Target="https://in.linkedin.com/company/crisi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tradingeconomics.com/commodity/coa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2.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3.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4.xml"/><Relationship Id="rId4"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6.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017705746422958E-2"/>
          <c:y val="7.4570790591474548E-2"/>
          <c:w val="0.92567070371808902"/>
          <c:h val="0.78876080788408909"/>
        </c:manualLayout>
      </c:layout>
      <c:barChart>
        <c:barDir val="col"/>
        <c:grouping val="clustered"/>
        <c:varyColors val="0"/>
        <c:ser>
          <c:idx val="0"/>
          <c:order val="0"/>
          <c:tx>
            <c:strRef>
              <c:f>Sheet1!$C$1</c:f>
              <c:strCache>
                <c:ptCount val="1"/>
                <c:pt idx="0">
                  <c:v>World</c:v>
                </c:pt>
              </c:strCache>
            </c:strRef>
          </c:tx>
          <c:spPr>
            <a:solidFill>
              <a:schemeClr val="accent1"/>
            </a:solidFill>
            <a:ln>
              <a:solidFill>
                <a:sysClr val="windowText" lastClr="000000"/>
              </a:solidFill>
            </a:ln>
            <a:effectLst/>
          </c:spPr>
          <c:invertIfNegative val="0"/>
          <c:dPt>
            <c:idx val="17"/>
            <c:invertIfNegative val="0"/>
            <c:bubble3D val="0"/>
            <c:spPr>
              <a:solidFill>
                <a:srgbClr val="F7F7F7"/>
              </a:solidFill>
              <a:ln w="28575" cap="rnd">
                <a:solidFill>
                  <a:sysClr val="windowText" lastClr="000000"/>
                </a:solidFill>
                <a:prstDash val="sysDot"/>
                <a:round/>
              </a:ln>
              <a:effectLst/>
            </c:spPr>
            <c:extLst>
              <c:ext xmlns:c16="http://schemas.microsoft.com/office/drawing/2014/chart" uri="{C3380CC4-5D6E-409C-BE32-E72D297353CC}">
                <c16:uniqueId val="{00000001-0438-4489-B86A-4DE2FB2B76B5}"/>
              </c:ext>
            </c:extLst>
          </c:dPt>
          <c:dPt>
            <c:idx val="18"/>
            <c:invertIfNegative val="0"/>
            <c:bubble3D val="0"/>
            <c:spPr>
              <a:solidFill>
                <a:srgbClr val="F7F7F7"/>
              </a:solidFill>
              <a:ln w="28575" cap="rnd">
                <a:solidFill>
                  <a:sysClr val="windowText" lastClr="000000"/>
                </a:solidFill>
                <a:prstDash val="sysDot"/>
                <a:round/>
              </a:ln>
              <a:effectLst/>
            </c:spPr>
            <c:extLst>
              <c:ext xmlns:c16="http://schemas.microsoft.com/office/drawing/2014/chart" uri="{C3380CC4-5D6E-409C-BE32-E72D297353CC}">
                <c16:uniqueId val="{00000003-0438-4489-B86A-4DE2FB2B76B5}"/>
              </c:ext>
            </c:extLst>
          </c:dPt>
          <c:dPt>
            <c:idx val="19"/>
            <c:invertIfNegative val="0"/>
            <c:bubble3D val="0"/>
            <c:spPr>
              <a:solidFill>
                <a:srgbClr val="F7F7F7"/>
              </a:solidFill>
              <a:ln w="28575" cap="rnd">
                <a:solidFill>
                  <a:sysClr val="windowText" lastClr="000000"/>
                </a:solidFill>
                <a:prstDash val="sysDot"/>
                <a:round/>
              </a:ln>
              <a:effectLst/>
            </c:spPr>
            <c:extLst>
              <c:ext xmlns:c16="http://schemas.microsoft.com/office/drawing/2014/chart" uri="{C3380CC4-5D6E-409C-BE32-E72D297353CC}">
                <c16:uniqueId val="{00000005-0438-4489-B86A-4DE2FB2B76B5}"/>
              </c:ext>
            </c:extLst>
          </c:dPt>
          <c:dPt>
            <c:idx val="20"/>
            <c:invertIfNegative val="0"/>
            <c:bubble3D val="0"/>
            <c:spPr>
              <a:solidFill>
                <a:srgbClr val="F7F7F7"/>
              </a:solidFill>
              <a:ln w="28575" cap="rnd">
                <a:solidFill>
                  <a:sysClr val="windowText" lastClr="000000"/>
                </a:solidFill>
                <a:prstDash val="sysDot"/>
                <a:round/>
              </a:ln>
              <a:effectLst/>
            </c:spPr>
            <c:extLst>
              <c:ext xmlns:c16="http://schemas.microsoft.com/office/drawing/2014/chart" uri="{C3380CC4-5D6E-409C-BE32-E72D297353CC}">
                <c16:uniqueId val="{00000007-0438-4489-B86A-4DE2FB2B76B5}"/>
              </c:ext>
            </c:extLst>
          </c:dPt>
          <c:dPt>
            <c:idx val="21"/>
            <c:invertIfNegative val="0"/>
            <c:bubble3D val="0"/>
            <c:spPr>
              <a:solidFill>
                <a:srgbClr val="F7F7F7"/>
              </a:solidFill>
              <a:ln w="28575" cap="rnd">
                <a:solidFill>
                  <a:sysClr val="windowText" lastClr="000000"/>
                </a:solidFill>
                <a:prstDash val="sysDot"/>
                <a:round/>
              </a:ln>
              <a:effectLst/>
            </c:spPr>
            <c:extLst>
              <c:ext xmlns:c16="http://schemas.microsoft.com/office/drawing/2014/chart" uri="{C3380CC4-5D6E-409C-BE32-E72D297353CC}">
                <c16:uniqueId val="{00000009-0438-4489-B86A-4DE2FB2B76B5}"/>
              </c:ext>
            </c:extLst>
          </c:dPt>
          <c:dPt>
            <c:idx val="22"/>
            <c:invertIfNegative val="0"/>
            <c:bubble3D val="0"/>
            <c:spPr>
              <a:solidFill>
                <a:srgbClr val="F7F7F7"/>
              </a:solidFill>
              <a:ln w="28575" cap="rnd">
                <a:solidFill>
                  <a:sysClr val="windowText" lastClr="000000"/>
                </a:solidFill>
                <a:prstDash val="sysDot"/>
              </a:ln>
              <a:effectLst/>
            </c:spPr>
            <c:extLst>
              <c:ext xmlns:c16="http://schemas.microsoft.com/office/drawing/2014/chart" uri="{C3380CC4-5D6E-409C-BE32-E72D297353CC}">
                <c16:uniqueId val="{0000000B-0438-4489-B86A-4DE2FB2B76B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Sheet1!$A$2:$A$24</c:f>
              <c:numCache>
                <c:formatCode>General</c:formatCode>
                <c:ptCount val="23"/>
                <c:pt idx="0">
                  <c:v>1980</c:v>
                </c:pt>
                <c:pt idx="2">
                  <c:v>1990</c:v>
                </c:pt>
                <c:pt idx="4">
                  <c:v>2000</c:v>
                </c:pt>
                <c:pt idx="6">
                  <c:v>2005</c:v>
                </c:pt>
                <c:pt idx="8">
                  <c:v>2010</c:v>
                </c:pt>
                <c:pt idx="10">
                  <c:v>2015</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Sheet1!$C$2:$C$24</c:f>
              <c:numCache>
                <c:formatCode>General</c:formatCode>
                <c:ptCount val="23"/>
                <c:pt idx="0" formatCode="0.0">
                  <c:v>11.235389999999999</c:v>
                </c:pt>
                <c:pt idx="2" formatCode="0.0">
                  <c:v>22.641359999999999</c:v>
                </c:pt>
                <c:pt idx="4" formatCode="0.0">
                  <c:v>34.150010000000002</c:v>
                </c:pt>
                <c:pt idx="6" formatCode="0.0">
                  <c:v>47.982769999999995</c:v>
                </c:pt>
                <c:pt idx="8" formatCode="0.0">
                  <c:v>66.796820000000011</c:v>
                </c:pt>
                <c:pt idx="10" formatCode="0.0">
                  <c:v>75.519149999999996</c:v>
                </c:pt>
                <c:pt idx="12" formatCode="0.0">
                  <c:v>85.764150000000001</c:v>
                </c:pt>
                <c:pt idx="13" formatCode="0.0">
                  <c:v>97.843990000000005</c:v>
                </c:pt>
                <c:pt idx="14" formatCode="0.0">
                  <c:v>101.9482</c:v>
                </c:pt>
                <c:pt idx="15" formatCode="0.0">
                  <c:v>106.43180000000001</c:v>
                </c:pt>
                <c:pt idx="16" formatCode="0.0">
                  <c:v>110.54939999999999</c:v>
                </c:pt>
                <c:pt idx="17" formatCode="0.0">
                  <c:v>113.7957</c:v>
                </c:pt>
                <c:pt idx="18" formatCode="0.0">
                  <c:v>119.0954</c:v>
                </c:pt>
                <c:pt idx="19" formatCode="0.0">
                  <c:v>124.9618</c:v>
                </c:pt>
                <c:pt idx="20" formatCode="0.0">
                  <c:v>131.33679999999998</c:v>
                </c:pt>
                <c:pt idx="21" formatCode="0.0">
                  <c:v>137.76929999999999</c:v>
                </c:pt>
                <c:pt idx="22" formatCode="0.0">
                  <c:v>144.57629999999997</c:v>
                </c:pt>
              </c:numCache>
            </c:numRef>
          </c:val>
          <c:extLst>
            <c:ext xmlns:c16="http://schemas.microsoft.com/office/drawing/2014/chart" uri="{C3380CC4-5D6E-409C-BE32-E72D297353CC}">
              <c16:uniqueId val="{0000000C-0438-4489-B86A-4DE2FB2B76B5}"/>
            </c:ext>
          </c:extLst>
        </c:ser>
        <c:dLbls>
          <c:dLblPos val="outEnd"/>
          <c:showLegendKey val="0"/>
          <c:showVal val="1"/>
          <c:showCatName val="0"/>
          <c:showSerName val="0"/>
          <c:showPercent val="0"/>
          <c:showBubbleSize val="0"/>
        </c:dLbls>
        <c:gapWidth val="150"/>
        <c:axId val="1499721183"/>
        <c:axId val="1499725343"/>
      </c:barChart>
      <c:catAx>
        <c:axId val="1499721183"/>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725343"/>
        <c:crosses val="autoZero"/>
        <c:auto val="1"/>
        <c:lblAlgn val="ctr"/>
        <c:lblOffset val="100"/>
        <c:noMultiLvlLbl val="0"/>
      </c:catAx>
      <c:valAx>
        <c:axId val="1499725343"/>
        <c:scaling>
          <c:orientation val="minMax"/>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9721183"/>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159210578320765E-2"/>
          <c:y val="0.14492165711677907"/>
          <c:w val="0.94660378296086478"/>
          <c:h val="0.72857121551526138"/>
        </c:manualLayout>
      </c:layout>
      <c:barChart>
        <c:barDir val="col"/>
        <c:grouping val="clustered"/>
        <c:varyColors val="0"/>
        <c:ser>
          <c:idx val="0"/>
          <c:order val="0"/>
          <c:tx>
            <c:strRef>
              <c:f>Sheet1!$B$1</c:f>
              <c:strCache>
                <c:ptCount val="1"/>
                <c:pt idx="0">
                  <c:v>per captia electricity consumtion</c:v>
                </c:pt>
              </c:strCache>
            </c:strRef>
          </c:tx>
          <c:spPr>
            <a:solidFill>
              <a:srgbClr val="D0D2D3"/>
            </a:solidFill>
            <a:ln>
              <a:noFill/>
            </a:ln>
            <a:effectLst/>
          </c:spPr>
          <c:invertIfNegative val="0"/>
          <c:dPt>
            <c:idx val="6"/>
            <c:invertIfNegative val="0"/>
            <c:bubble3D val="0"/>
            <c:spPr>
              <a:solidFill>
                <a:srgbClr val="005B71"/>
              </a:solidFill>
              <a:ln>
                <a:noFill/>
              </a:ln>
              <a:effectLst/>
            </c:spPr>
            <c:extLst>
              <c:ext xmlns:c16="http://schemas.microsoft.com/office/drawing/2014/chart" uri="{C3380CC4-5D6E-409C-BE32-E72D297353CC}">
                <c16:uniqueId val="{00000001-9220-45ED-BE0C-ABF5C58B75E7}"/>
              </c:ext>
            </c:extLst>
          </c:dPt>
          <c:dPt>
            <c:idx val="8"/>
            <c:invertIfNegative val="0"/>
            <c:bubble3D val="0"/>
            <c:spPr>
              <a:solidFill>
                <a:srgbClr val="005B71"/>
              </a:solidFill>
              <a:ln>
                <a:noFill/>
              </a:ln>
              <a:effectLst/>
            </c:spPr>
            <c:extLst>
              <c:ext xmlns:c16="http://schemas.microsoft.com/office/drawing/2014/chart" uri="{C3380CC4-5D6E-409C-BE32-E72D297353CC}">
                <c16:uniqueId val="{00000003-9220-45ED-BE0C-ABF5C58B75E7}"/>
              </c:ext>
            </c:extLst>
          </c:dPt>
          <c:dLbls>
            <c:dLbl>
              <c:idx val="4"/>
              <c:layout>
                <c:manualLayout>
                  <c:x val="0"/>
                  <c:y val="-5.8431059461896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20-45ED-BE0C-ABF5C58B75E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USA</c:v>
                </c:pt>
                <c:pt idx="1">
                  <c:v>Japan</c:v>
                </c:pt>
                <c:pt idx="2">
                  <c:v>Russia</c:v>
                </c:pt>
                <c:pt idx="3">
                  <c:v>China</c:v>
                </c:pt>
                <c:pt idx="4">
                  <c:v>European Union*</c:v>
                </c:pt>
                <c:pt idx="5">
                  <c:v>South Africa</c:v>
                </c:pt>
                <c:pt idx="6">
                  <c:v>World</c:v>
                </c:pt>
                <c:pt idx="7">
                  <c:v>Brazil</c:v>
                </c:pt>
                <c:pt idx="8">
                  <c:v>India**</c:v>
                </c:pt>
              </c:strCache>
            </c:strRef>
          </c:cat>
          <c:val>
            <c:numRef>
              <c:f>Sheet1!$B$2:$B$10</c:f>
              <c:numCache>
                <c:formatCode>0</c:formatCode>
                <c:ptCount val="9"/>
                <c:pt idx="0">
                  <c:v>12497</c:v>
                </c:pt>
                <c:pt idx="1">
                  <c:v>8220</c:v>
                </c:pt>
                <c:pt idx="2">
                  <c:v>8152</c:v>
                </c:pt>
                <c:pt idx="3">
                  <c:v>6635</c:v>
                </c:pt>
                <c:pt idx="4">
                  <c:v>6208</c:v>
                </c:pt>
                <c:pt idx="5">
                  <c:v>3780</c:v>
                </c:pt>
                <c:pt idx="6">
                  <c:v>3729</c:v>
                </c:pt>
                <c:pt idx="7">
                  <c:v>3295</c:v>
                </c:pt>
                <c:pt idx="8">
                  <c:v>1395</c:v>
                </c:pt>
              </c:numCache>
            </c:numRef>
          </c:val>
          <c:extLst>
            <c:ext xmlns:c16="http://schemas.microsoft.com/office/drawing/2014/chart" uri="{C3380CC4-5D6E-409C-BE32-E72D297353CC}">
              <c16:uniqueId val="{00000005-9220-45ED-BE0C-ABF5C58B75E7}"/>
            </c:ext>
          </c:extLst>
        </c:ser>
        <c:dLbls>
          <c:dLblPos val="outEnd"/>
          <c:showLegendKey val="0"/>
          <c:showVal val="1"/>
          <c:showCatName val="0"/>
          <c:showSerName val="0"/>
          <c:showPercent val="0"/>
          <c:showBubbleSize val="0"/>
        </c:dLbls>
        <c:gapWidth val="219"/>
        <c:axId val="1499721183"/>
        <c:axId val="1499725343"/>
      </c:barChart>
      <c:lineChart>
        <c:grouping val="standard"/>
        <c:varyColors val="0"/>
        <c:ser>
          <c:idx val="1"/>
          <c:order val="1"/>
          <c:tx>
            <c:strRef>
              <c:f>Sheet1!$C$1</c:f>
              <c:strCache>
                <c:ptCount val="1"/>
                <c:pt idx="0">
                  <c:v>growth in last decade</c:v>
                </c:pt>
              </c:strCache>
            </c:strRef>
          </c:tx>
          <c:spPr>
            <a:ln w="28575" cap="rnd">
              <a:solidFill>
                <a:schemeClr val="accent2"/>
              </a:solidFill>
              <a:round/>
            </a:ln>
            <a:effectLst/>
          </c:spPr>
          <c:marker>
            <c:symbol val="none"/>
          </c:marker>
          <c:dLbls>
            <c:dLbl>
              <c:idx val="2"/>
              <c:layout>
                <c:manualLayout>
                  <c:x val="-2.5001783587836564E-2"/>
                  <c:y val="3.9041294752852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20-45ED-BE0C-ABF5C58B75E7}"/>
                </c:ext>
              </c:extLst>
            </c:dLbl>
            <c:dLbl>
              <c:idx val="4"/>
              <c:layout>
                <c:manualLayout>
                  <c:x val="-9.5917420770164852E-2"/>
                  <c:y val="3.5140128528926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20-45ED-BE0C-ABF5C58B75E7}"/>
                </c:ext>
              </c:extLst>
            </c:dLbl>
            <c:dLbl>
              <c:idx val="5"/>
              <c:layout>
                <c:manualLayout>
                  <c:x val="4.5771144278606966E-4"/>
                  <c:y val="9.17987573759367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20-4FFD-9E71-C93099245AB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USA</c:v>
                </c:pt>
                <c:pt idx="1">
                  <c:v>Japan</c:v>
                </c:pt>
                <c:pt idx="2">
                  <c:v>Russia</c:v>
                </c:pt>
                <c:pt idx="3">
                  <c:v>China</c:v>
                </c:pt>
                <c:pt idx="4">
                  <c:v>European Union*</c:v>
                </c:pt>
                <c:pt idx="5">
                  <c:v>South Africa</c:v>
                </c:pt>
                <c:pt idx="6">
                  <c:v>World</c:v>
                </c:pt>
                <c:pt idx="7">
                  <c:v>Brazil</c:v>
                </c:pt>
                <c:pt idx="8">
                  <c:v>India**</c:v>
                </c:pt>
              </c:strCache>
            </c:strRef>
          </c:cat>
          <c:val>
            <c:numRef>
              <c:f>Sheet1!$C$2:$C$10</c:f>
              <c:numCache>
                <c:formatCode>0.00%</c:formatCode>
                <c:ptCount val="9"/>
                <c:pt idx="0">
                  <c:v>-1.6000000000000001E-3</c:v>
                </c:pt>
                <c:pt idx="1">
                  <c:v>-3.5999999999999999E-3</c:v>
                </c:pt>
                <c:pt idx="2">
                  <c:v>1.03E-2</c:v>
                </c:pt>
                <c:pt idx="3">
                  <c:v>5.33E-2</c:v>
                </c:pt>
                <c:pt idx="4">
                  <c:v>-5.0000000000000001E-3</c:v>
                </c:pt>
                <c:pt idx="5">
                  <c:v>-2.2700000000000001E-2</c:v>
                </c:pt>
                <c:pt idx="6">
                  <c:v>1.4E-2</c:v>
                </c:pt>
                <c:pt idx="7">
                  <c:v>1.5299999999999999E-2</c:v>
                </c:pt>
                <c:pt idx="8">
                  <c:v>3.8300000000000001E-2</c:v>
                </c:pt>
              </c:numCache>
            </c:numRef>
          </c:val>
          <c:smooth val="0"/>
          <c:extLst>
            <c:ext xmlns:c16="http://schemas.microsoft.com/office/drawing/2014/chart" uri="{C3380CC4-5D6E-409C-BE32-E72D297353CC}">
              <c16:uniqueId val="{00000008-9220-45ED-BE0C-ABF5C58B75E7}"/>
            </c:ext>
          </c:extLst>
        </c:ser>
        <c:dLbls>
          <c:showLegendKey val="0"/>
          <c:showVal val="0"/>
          <c:showCatName val="0"/>
          <c:showSerName val="0"/>
          <c:showPercent val="0"/>
          <c:showBubbleSize val="0"/>
        </c:dLbls>
        <c:marker val="1"/>
        <c:smooth val="0"/>
        <c:axId val="457335056"/>
        <c:axId val="457336496"/>
      </c:lineChart>
      <c:catAx>
        <c:axId val="149972118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99725343"/>
        <c:crosses val="autoZero"/>
        <c:auto val="1"/>
        <c:lblAlgn val="ctr"/>
        <c:lblOffset val="100"/>
        <c:noMultiLvlLbl val="0"/>
      </c:catAx>
      <c:valAx>
        <c:axId val="1499725343"/>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99721183"/>
        <c:crosses val="autoZero"/>
        <c:crossBetween val="between"/>
      </c:valAx>
      <c:valAx>
        <c:axId val="4573364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57335056"/>
        <c:crosses val="max"/>
        <c:crossBetween val="between"/>
      </c:valAx>
      <c:catAx>
        <c:axId val="457335056"/>
        <c:scaling>
          <c:orientation val="minMax"/>
        </c:scaling>
        <c:delete val="1"/>
        <c:axPos val="t"/>
        <c:numFmt formatCode="General" sourceLinked="1"/>
        <c:majorTickMark val="out"/>
        <c:minorTickMark val="none"/>
        <c:tickLblPos val="nextTo"/>
        <c:crossAx val="457336496"/>
        <c:crosses val="max"/>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892687559354226E-2"/>
          <c:y val="0"/>
          <c:w val="0.9582146248812915"/>
          <c:h val="0.6902063261382112"/>
        </c:manualLayout>
      </c:layout>
      <c:barChart>
        <c:barDir val="col"/>
        <c:grouping val="clustered"/>
        <c:varyColors val="0"/>
        <c:ser>
          <c:idx val="0"/>
          <c:order val="0"/>
          <c:tx>
            <c:strRef>
              <c:f>Sheet1!$A$5</c:f>
              <c:strCache>
                <c:ptCount val="1"/>
                <c:pt idx="0">
                  <c:v>India</c:v>
                </c:pt>
              </c:strCache>
            </c:strRef>
          </c:tx>
          <c:spPr>
            <a:solidFill>
              <a:srgbClr val="005B7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Sheet1!$B$5:$L$5</c:f>
              <c:numCache>
                <c:formatCode>0.0%</c:formatCode>
                <c:ptCount val="11"/>
                <c:pt idx="0">
                  <c:v>0.32</c:v>
                </c:pt>
                <c:pt idx="1">
                  <c:v>0.32400000000000001</c:v>
                </c:pt>
                <c:pt idx="2">
                  <c:v>0.32800000000000001</c:v>
                </c:pt>
                <c:pt idx="3">
                  <c:v>0.33200000000000002</c:v>
                </c:pt>
                <c:pt idx="4">
                  <c:v>0.33600000000000002</c:v>
                </c:pt>
                <c:pt idx="5">
                  <c:v>0.34</c:v>
                </c:pt>
                <c:pt idx="6">
                  <c:v>0.34499999999999997</c:v>
                </c:pt>
                <c:pt idx="7">
                  <c:v>0.34899999999999998</c:v>
                </c:pt>
                <c:pt idx="8">
                  <c:v>0.35399999999999998</c:v>
                </c:pt>
                <c:pt idx="9">
                  <c:v>0.35899999999999999</c:v>
                </c:pt>
                <c:pt idx="10">
                  <c:v>0.36399999999999999</c:v>
                </c:pt>
              </c:numCache>
            </c:numRef>
          </c:val>
          <c:extLst>
            <c:ext xmlns:c16="http://schemas.microsoft.com/office/drawing/2014/chart" uri="{C3380CC4-5D6E-409C-BE32-E72D297353CC}">
              <c16:uniqueId val="{00000000-C6DE-4E02-81FE-AAB4362FE3B6}"/>
            </c:ext>
          </c:extLst>
        </c:ser>
        <c:ser>
          <c:idx val="1"/>
          <c:order val="1"/>
          <c:tx>
            <c:strRef>
              <c:f>Sheet1!$A$6</c:f>
              <c:strCache>
                <c:ptCount val="1"/>
                <c:pt idx="0">
                  <c:v>World</c:v>
                </c:pt>
              </c:strCache>
            </c:strRef>
          </c:tx>
          <c:spPr>
            <a:solidFill>
              <a:srgbClr val="E2E2E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Sheet1!$B$6:$L$6</c:f>
              <c:numCache>
                <c:formatCode>0.0%</c:formatCode>
                <c:ptCount val="11"/>
                <c:pt idx="0">
                  <c:v>0.52800000000000002</c:v>
                </c:pt>
                <c:pt idx="1">
                  <c:v>0.53300000000000003</c:v>
                </c:pt>
                <c:pt idx="2">
                  <c:v>0.53700000000000003</c:v>
                </c:pt>
                <c:pt idx="3">
                  <c:v>0.54200000000000004</c:v>
                </c:pt>
                <c:pt idx="4">
                  <c:v>0.54600000000000004</c:v>
                </c:pt>
                <c:pt idx="5">
                  <c:v>0.55100000000000005</c:v>
                </c:pt>
                <c:pt idx="6">
                  <c:v>0.55500000000000005</c:v>
                </c:pt>
                <c:pt idx="7">
                  <c:v>0.56000000000000005</c:v>
                </c:pt>
                <c:pt idx="8">
                  <c:v>0.56399999999999995</c:v>
                </c:pt>
                <c:pt idx="9">
                  <c:v>0.56799999999999995</c:v>
                </c:pt>
                <c:pt idx="10">
                  <c:v>0.57299999999999995</c:v>
                </c:pt>
              </c:numCache>
            </c:numRef>
          </c:val>
          <c:extLst>
            <c:ext xmlns:c16="http://schemas.microsoft.com/office/drawing/2014/chart" uri="{C3380CC4-5D6E-409C-BE32-E72D297353CC}">
              <c16:uniqueId val="{00000001-C6DE-4E02-81FE-AAB4362FE3B6}"/>
            </c:ext>
          </c:extLst>
        </c:ser>
        <c:dLbls>
          <c:showLegendKey val="0"/>
          <c:showVal val="1"/>
          <c:showCatName val="0"/>
          <c:showSerName val="0"/>
          <c:showPercent val="0"/>
          <c:showBubbleSize val="0"/>
        </c:dLbls>
        <c:gapWidth val="150"/>
        <c:axId val="649347712"/>
        <c:axId val="649344352"/>
      </c:barChart>
      <c:catAx>
        <c:axId val="64934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49344352"/>
        <c:crosses val="autoZero"/>
        <c:auto val="1"/>
        <c:lblAlgn val="ctr"/>
        <c:lblOffset val="100"/>
        <c:noMultiLvlLbl val="0"/>
      </c:catAx>
      <c:valAx>
        <c:axId val="649344352"/>
        <c:scaling>
          <c:orientation val="minMax"/>
          <c:max val="1"/>
          <c:min val="0"/>
        </c:scaling>
        <c:delete val="1"/>
        <c:axPos val="l"/>
        <c:numFmt formatCode="0.0%" sourceLinked="1"/>
        <c:majorTickMark val="none"/>
        <c:minorTickMark val="none"/>
        <c:tickLblPos val="nextTo"/>
        <c:crossAx val="64934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Brazil</c:v>
                </c:pt>
              </c:strCache>
            </c:strRef>
          </c:tx>
          <c:spPr>
            <a:solidFill>
              <a:schemeClr val="accent1"/>
            </a:solidFill>
            <a:ln>
              <a:noFill/>
            </a:ln>
            <a:effectLst/>
          </c:spPr>
          <c:invertIfNegative val="0"/>
          <c:dPt>
            <c:idx val="5"/>
            <c:invertIfNegative val="0"/>
            <c:bubble3D val="0"/>
            <c:spPr>
              <a:solidFill>
                <a:srgbClr val="C7DAE0"/>
              </a:solidFill>
              <a:ln>
                <a:noFill/>
              </a:ln>
              <a:effectLst/>
            </c:spPr>
            <c:extLst>
              <c:ext xmlns:c16="http://schemas.microsoft.com/office/drawing/2014/chart" uri="{C3380CC4-5D6E-409C-BE32-E72D297353CC}">
                <c16:uniqueId val="{00000001-9B4D-4E6B-AF76-DEEF755A6BCD}"/>
              </c:ext>
            </c:extLst>
          </c:dPt>
          <c:dPt>
            <c:idx val="6"/>
            <c:invertIfNegative val="0"/>
            <c:bubble3D val="0"/>
            <c:spPr>
              <a:solidFill>
                <a:srgbClr val="C7DAE0"/>
              </a:solidFill>
              <a:ln>
                <a:noFill/>
              </a:ln>
              <a:effectLst/>
            </c:spPr>
            <c:extLst>
              <c:ext xmlns:c16="http://schemas.microsoft.com/office/drawing/2014/chart" uri="{C3380CC4-5D6E-409C-BE32-E72D297353CC}">
                <c16:uniqueId val="{00000003-9B4D-4E6B-AF76-DEEF755A6BCD}"/>
              </c:ext>
            </c:extLst>
          </c:dPt>
          <c:dPt>
            <c:idx val="7"/>
            <c:invertIfNegative val="0"/>
            <c:bubble3D val="0"/>
            <c:spPr>
              <a:solidFill>
                <a:srgbClr val="C7DAE0"/>
              </a:solidFill>
              <a:ln>
                <a:noFill/>
              </a:ln>
              <a:effectLst/>
            </c:spPr>
            <c:extLst>
              <c:ext xmlns:c16="http://schemas.microsoft.com/office/drawing/2014/chart" uri="{C3380CC4-5D6E-409C-BE32-E72D297353CC}">
                <c16:uniqueId val="{00000005-9B4D-4E6B-AF76-DEEF755A6BCD}"/>
              </c:ext>
            </c:extLst>
          </c:dPt>
          <c:dPt>
            <c:idx val="8"/>
            <c:invertIfNegative val="0"/>
            <c:bubble3D val="0"/>
            <c:spPr>
              <a:solidFill>
                <a:srgbClr val="C7DAE0"/>
              </a:solidFill>
              <a:ln>
                <a:noFill/>
              </a:ln>
              <a:effectLst/>
            </c:spPr>
            <c:extLst>
              <c:ext xmlns:c16="http://schemas.microsoft.com/office/drawing/2014/chart" uri="{C3380CC4-5D6E-409C-BE32-E72D297353CC}">
                <c16:uniqueId val="{00000007-9B4D-4E6B-AF76-DEEF755A6BCD}"/>
              </c:ext>
            </c:extLst>
          </c:dPt>
          <c:dPt>
            <c:idx val="9"/>
            <c:invertIfNegative val="0"/>
            <c:bubble3D val="0"/>
            <c:spPr>
              <a:solidFill>
                <a:srgbClr val="C7DAE0"/>
              </a:solidFill>
              <a:ln>
                <a:noFill/>
              </a:ln>
              <a:effectLst/>
            </c:spPr>
            <c:extLst>
              <c:ext xmlns:c16="http://schemas.microsoft.com/office/drawing/2014/chart" uri="{C3380CC4-5D6E-409C-BE32-E72D297353CC}">
                <c16:uniqueId val="{00000009-9B4D-4E6B-AF76-DEEF755A6BCD}"/>
              </c:ext>
            </c:extLst>
          </c:dPt>
          <c:dPt>
            <c:idx val="10"/>
            <c:invertIfNegative val="0"/>
            <c:bubble3D val="0"/>
            <c:spPr>
              <a:solidFill>
                <a:srgbClr val="C7DAE0"/>
              </a:solidFill>
              <a:ln>
                <a:noFill/>
              </a:ln>
              <a:effectLst/>
            </c:spPr>
            <c:extLst>
              <c:ext xmlns:c16="http://schemas.microsoft.com/office/drawing/2014/chart" uri="{C3380CC4-5D6E-409C-BE32-E72D297353CC}">
                <c16:uniqueId val="{0000000B-9B4D-4E6B-AF76-DEEF755A6BC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Sheet1!$B$1:$L$1</c:f>
              <c:strCache>
                <c:ptCount val="11"/>
                <c:pt idx="0">
                  <c:v>2020</c:v>
                </c:pt>
                <c:pt idx="1">
                  <c:v>2021</c:v>
                </c:pt>
                <c:pt idx="2">
                  <c:v>2022</c:v>
                </c:pt>
                <c:pt idx="3">
                  <c:v>2023</c:v>
                </c:pt>
                <c:pt idx="4">
                  <c:v>2024</c:v>
                </c:pt>
                <c:pt idx="5">
                  <c:v>2025(F)</c:v>
                </c:pt>
                <c:pt idx="6">
                  <c:v>2026(F)</c:v>
                </c:pt>
                <c:pt idx="7">
                  <c:v>2027(F)</c:v>
                </c:pt>
                <c:pt idx="8">
                  <c:v>2028(F)</c:v>
                </c:pt>
                <c:pt idx="9">
                  <c:v>2029(F)</c:v>
                </c:pt>
                <c:pt idx="10">
                  <c:v>2030(F)</c:v>
                </c:pt>
              </c:strCache>
            </c:strRef>
          </c:cat>
          <c:val>
            <c:numRef>
              <c:f>Sheet1!$B$2:$L$2</c:f>
              <c:numCache>
                <c:formatCode>0</c:formatCode>
                <c:ptCount val="11"/>
                <c:pt idx="0">
                  <c:v>1291.01</c:v>
                </c:pt>
                <c:pt idx="1">
                  <c:v>1275.5340000000001</c:v>
                </c:pt>
                <c:pt idx="2">
                  <c:v>1379.8119999999999</c:v>
                </c:pt>
                <c:pt idx="3">
                  <c:v>1515.3</c:v>
                </c:pt>
                <c:pt idx="4">
                  <c:v>1629.67</c:v>
                </c:pt>
                <c:pt idx="5">
                  <c:v>1743.7470000000001</c:v>
                </c:pt>
                <c:pt idx="6">
                  <c:v>1865.809</c:v>
                </c:pt>
                <c:pt idx="7">
                  <c:v>1996.4159999999999</c:v>
                </c:pt>
                <c:pt idx="8">
                  <c:v>2116.201</c:v>
                </c:pt>
                <c:pt idx="9">
                  <c:v>2243.1729999999998</c:v>
                </c:pt>
                <c:pt idx="10">
                  <c:v>2377.7629999999999</c:v>
                </c:pt>
              </c:numCache>
            </c:numRef>
          </c:val>
          <c:extLst>
            <c:ext xmlns:c16="http://schemas.microsoft.com/office/drawing/2014/chart" uri="{C3380CC4-5D6E-409C-BE32-E72D297353CC}">
              <c16:uniqueId val="{0000000C-9B4D-4E6B-AF76-DEEF755A6BCD}"/>
            </c:ext>
          </c:extLst>
        </c:ser>
        <c:dLbls>
          <c:showLegendKey val="0"/>
          <c:showVal val="1"/>
          <c:showCatName val="0"/>
          <c:showSerName val="0"/>
          <c:showPercent val="0"/>
          <c:showBubbleSize val="0"/>
        </c:dLbls>
        <c:gapWidth val="150"/>
        <c:axId val="649347712"/>
        <c:axId val="649344352"/>
      </c:barChart>
      <c:catAx>
        <c:axId val="649347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9344352"/>
        <c:crosses val="autoZero"/>
        <c:auto val="1"/>
        <c:lblAlgn val="ctr"/>
        <c:lblOffset val="100"/>
        <c:noMultiLvlLbl val="0"/>
      </c:catAx>
      <c:valAx>
        <c:axId val="649344352"/>
        <c:scaling>
          <c:orientation val="minMax"/>
        </c:scaling>
        <c:delete val="1"/>
        <c:axPos val="l"/>
        <c:numFmt formatCode="0" sourceLinked="1"/>
        <c:majorTickMark val="out"/>
        <c:minorTickMark val="none"/>
        <c:tickLblPos val="nextTo"/>
        <c:crossAx val="649347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159210578320765E-2"/>
          <c:y val="8.3563116139252033E-2"/>
          <c:w val="0.94660378296086478"/>
          <c:h val="0.71433163462714999"/>
        </c:manualLayout>
      </c:layout>
      <c:barChart>
        <c:barDir val="col"/>
        <c:grouping val="clustered"/>
        <c:varyColors val="0"/>
        <c:ser>
          <c:idx val="0"/>
          <c:order val="0"/>
          <c:tx>
            <c:strRef>
              <c:f>Sheet1!$B$1</c:f>
              <c:strCache>
                <c:ptCount val="1"/>
                <c:pt idx="0">
                  <c:v>India</c:v>
                </c:pt>
              </c:strCache>
            </c:strRef>
          </c:tx>
          <c:spPr>
            <a:solidFill>
              <a:srgbClr val="006D89"/>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2020</c:v>
                </c:pt>
                <c:pt idx="1">
                  <c:v>2021</c:v>
                </c:pt>
                <c:pt idx="2">
                  <c:v>2022</c:v>
                </c:pt>
                <c:pt idx="4">
                  <c:v>2024</c:v>
                </c:pt>
                <c:pt idx="6">
                  <c:v>2027</c:v>
                </c:pt>
                <c:pt idx="8">
                  <c:v>2030</c:v>
                </c:pt>
              </c:numCache>
            </c:numRef>
          </c:cat>
          <c:val>
            <c:numRef>
              <c:f>Sheet1!$B$2:$B$10</c:f>
              <c:numCache>
                <c:formatCode>0</c:formatCode>
                <c:ptCount val="9"/>
                <c:pt idx="0">
                  <c:v>928</c:v>
                </c:pt>
                <c:pt idx="1">
                  <c:v>910</c:v>
                </c:pt>
                <c:pt idx="2">
                  <c:v>1002</c:v>
                </c:pt>
                <c:pt idx="4" formatCode="General">
                  <c:v>1024</c:v>
                </c:pt>
                <c:pt idx="6">
                  <c:v>1057</c:v>
                </c:pt>
                <c:pt idx="8">
                  <c:v>1082.8</c:v>
                </c:pt>
              </c:numCache>
            </c:numRef>
          </c:val>
          <c:extLst>
            <c:ext xmlns:c16="http://schemas.microsoft.com/office/drawing/2014/chart" uri="{C3380CC4-5D6E-409C-BE32-E72D297353CC}">
              <c16:uniqueId val="{00000000-3822-41C8-8A38-80E9CE0651FD}"/>
            </c:ext>
          </c:extLst>
        </c:ser>
        <c:dLbls>
          <c:dLblPos val="outEnd"/>
          <c:showLegendKey val="0"/>
          <c:showVal val="1"/>
          <c:showCatName val="0"/>
          <c:showSerName val="0"/>
          <c:showPercent val="0"/>
          <c:showBubbleSize val="0"/>
        </c:dLbls>
        <c:gapWidth val="219"/>
        <c:overlap val="-27"/>
        <c:axId val="1499721183"/>
        <c:axId val="1499725343"/>
      </c:barChart>
      <c:catAx>
        <c:axId val="149972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99725343"/>
        <c:crosses val="autoZero"/>
        <c:auto val="1"/>
        <c:lblAlgn val="ctr"/>
        <c:lblOffset val="100"/>
        <c:noMultiLvlLbl val="0"/>
      </c:catAx>
      <c:valAx>
        <c:axId val="1499725343"/>
        <c:scaling>
          <c:orientation val="minMax"/>
        </c:scaling>
        <c:delete val="1"/>
        <c:axPos val="l"/>
        <c:numFmt formatCode="0" sourceLinked="1"/>
        <c:majorTickMark val="none"/>
        <c:minorTickMark val="none"/>
        <c:tickLblPos val="nextTo"/>
        <c:crossAx val="1499721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159210578320765E-2"/>
          <c:y val="5.6504475402113202E-2"/>
          <c:w val="0.94660378296086478"/>
          <c:h val="0.7916721485763647"/>
        </c:manualLayout>
      </c:layout>
      <c:barChart>
        <c:barDir val="col"/>
        <c:grouping val="clustered"/>
        <c:varyColors val="0"/>
        <c:ser>
          <c:idx val="0"/>
          <c:order val="0"/>
          <c:tx>
            <c:strRef>
              <c:f>Sheet1!$B$1</c:f>
              <c:strCache>
                <c:ptCount val="1"/>
                <c:pt idx="0">
                  <c:v>India</c:v>
                </c:pt>
              </c:strCache>
            </c:strRef>
          </c:tx>
          <c:spPr>
            <a:solidFill>
              <a:srgbClr val="006D89"/>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2020</c:v>
                </c:pt>
                <c:pt idx="1">
                  <c:v>2021</c:v>
                </c:pt>
                <c:pt idx="2">
                  <c:v>2022</c:v>
                </c:pt>
                <c:pt idx="4">
                  <c:v>2024</c:v>
                </c:pt>
                <c:pt idx="6">
                  <c:v>2027</c:v>
                </c:pt>
                <c:pt idx="8">
                  <c:v>2030</c:v>
                </c:pt>
              </c:numCache>
            </c:numRef>
          </c:cat>
          <c:val>
            <c:numRef>
              <c:f>Sheet1!$B$2:$B$10</c:f>
              <c:numCache>
                <c:formatCode>0.00</c:formatCode>
                <c:ptCount val="9"/>
                <c:pt idx="0">
                  <c:v>0.71</c:v>
                </c:pt>
                <c:pt idx="1">
                  <c:v>0.7</c:v>
                </c:pt>
                <c:pt idx="2">
                  <c:v>0.71</c:v>
                </c:pt>
                <c:pt idx="4">
                  <c:v>0.6452</c:v>
                </c:pt>
                <c:pt idx="6">
                  <c:v>0.54800000000000004</c:v>
                </c:pt>
                <c:pt idx="8">
                  <c:v>0.47720000000000001</c:v>
                </c:pt>
              </c:numCache>
            </c:numRef>
          </c:val>
          <c:extLst>
            <c:ext xmlns:c16="http://schemas.microsoft.com/office/drawing/2014/chart" uri="{C3380CC4-5D6E-409C-BE32-E72D297353CC}">
              <c16:uniqueId val="{00000000-CC5B-44BE-9896-73CBEA96876B}"/>
            </c:ext>
          </c:extLst>
        </c:ser>
        <c:dLbls>
          <c:dLblPos val="outEnd"/>
          <c:showLegendKey val="0"/>
          <c:showVal val="1"/>
          <c:showCatName val="0"/>
          <c:showSerName val="0"/>
          <c:showPercent val="0"/>
          <c:showBubbleSize val="0"/>
        </c:dLbls>
        <c:gapWidth val="219"/>
        <c:overlap val="-27"/>
        <c:axId val="1499721183"/>
        <c:axId val="1499725343"/>
      </c:barChart>
      <c:catAx>
        <c:axId val="149972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99725343"/>
        <c:crosses val="autoZero"/>
        <c:auto val="1"/>
        <c:lblAlgn val="ctr"/>
        <c:lblOffset val="100"/>
        <c:noMultiLvlLbl val="0"/>
      </c:catAx>
      <c:valAx>
        <c:axId val="1499725343"/>
        <c:scaling>
          <c:orientation val="minMax"/>
        </c:scaling>
        <c:delete val="1"/>
        <c:axPos val="l"/>
        <c:numFmt formatCode="0.00" sourceLinked="1"/>
        <c:majorTickMark val="none"/>
        <c:minorTickMark val="none"/>
        <c:tickLblPos val="nextTo"/>
        <c:crossAx val="1499721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4593175853017"/>
          <c:y val="0.12855831037649221"/>
          <c:w val="0.78991608498526933"/>
          <c:h val="0.87144168962350776"/>
        </c:manualLayout>
      </c:layout>
      <c:barChart>
        <c:barDir val="bar"/>
        <c:grouping val="stacked"/>
        <c:varyColors val="0"/>
        <c:ser>
          <c:idx val="0"/>
          <c:order val="0"/>
          <c:tx>
            <c:strRef>
              <c:f>Sheet1!$A$2</c:f>
              <c:strCache>
                <c:ptCount val="1"/>
                <c:pt idx="0">
                  <c:v>Metallic minerals</c:v>
                </c:pt>
              </c:strCache>
            </c:strRef>
          </c:tx>
          <c:spPr>
            <a:solidFill>
              <a:srgbClr val="006D89"/>
            </a:solidFill>
            <a:ln>
              <a:solidFill>
                <a:schemeClr val="tx1"/>
              </a:solidFill>
            </a:ln>
            <a:effectLst/>
          </c:spPr>
          <c:invertIfNegative val="0"/>
          <c:dLbls>
            <c:dLbl>
              <c:idx val="0"/>
              <c:tx>
                <c:rich>
                  <a:bodyPr/>
                  <a:lstStyle/>
                  <a:p>
                    <a:fld id="{1C4A4369-F6A4-4996-B099-36C3B81CA6CB}" type="SERIESNAME">
                      <a:rPr lang="en-US"/>
                      <a:pPr/>
                      <a:t>[SERIES NAME]</a:t>
                    </a:fld>
                    <a:r>
                      <a:rPr lang="en-US" baseline="0"/>
                      <a:t>, 45%</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575-40F7-A4BE-B24CD363BF0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Value (in INR crore)</c:v>
                </c:pt>
              </c:strCache>
            </c:strRef>
          </c:cat>
          <c:val>
            <c:numRef>
              <c:f>Sheet1!$B$2</c:f>
              <c:numCache>
                <c:formatCode>0%</c:formatCode>
                <c:ptCount val="1"/>
                <c:pt idx="0">
                  <c:v>0.45</c:v>
                </c:pt>
              </c:numCache>
            </c:numRef>
          </c:val>
          <c:extLst>
            <c:ext xmlns:c16="http://schemas.microsoft.com/office/drawing/2014/chart" uri="{C3380CC4-5D6E-409C-BE32-E72D297353CC}">
              <c16:uniqueId val="{00000001-3575-40F7-A4BE-B24CD363BF06}"/>
            </c:ext>
          </c:extLst>
        </c:ser>
        <c:ser>
          <c:idx val="1"/>
          <c:order val="1"/>
          <c:tx>
            <c:strRef>
              <c:f>Sheet1!$A$3</c:f>
              <c:strCache>
                <c:ptCount val="1"/>
                <c:pt idx="0">
                  <c:v>Non-metallic minerals</c:v>
                </c:pt>
              </c:strCache>
            </c:strRef>
          </c:tx>
          <c:spPr>
            <a:solidFill>
              <a:srgbClr val="F1A649"/>
            </a:solidFill>
            <a:ln>
              <a:solidFill>
                <a:schemeClr val="tx1"/>
              </a:solidFill>
            </a:ln>
            <a:effectLst/>
          </c:spPr>
          <c:invertIfNegative val="0"/>
          <c:dLbls>
            <c:dLbl>
              <c:idx val="0"/>
              <c:layout>
                <c:manualLayout>
                  <c:x val="-1.9593661138541788E-3"/>
                  <c:y val="-0.32952285922937319"/>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3575-40F7-A4BE-B24CD363BF0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Value (in INR crore)</c:v>
                </c:pt>
              </c:strCache>
            </c:strRef>
          </c:cat>
          <c:val>
            <c:numRef>
              <c:f>Sheet1!$B$3</c:f>
              <c:numCache>
                <c:formatCode>0%</c:formatCode>
                <c:ptCount val="1"/>
                <c:pt idx="0">
                  <c:v>0.05</c:v>
                </c:pt>
              </c:numCache>
            </c:numRef>
          </c:val>
          <c:extLst>
            <c:ext xmlns:c16="http://schemas.microsoft.com/office/drawing/2014/chart" uri="{C3380CC4-5D6E-409C-BE32-E72D297353CC}">
              <c16:uniqueId val="{00000003-3575-40F7-A4BE-B24CD363BF06}"/>
            </c:ext>
          </c:extLst>
        </c:ser>
        <c:ser>
          <c:idx val="2"/>
          <c:order val="2"/>
          <c:tx>
            <c:strRef>
              <c:f>Sheet1!$A$4</c:f>
              <c:strCache>
                <c:ptCount val="1"/>
                <c:pt idx="0">
                  <c:v>Coal</c:v>
                </c:pt>
              </c:strCache>
            </c:strRef>
          </c:tx>
          <c:spPr>
            <a:solidFill>
              <a:srgbClr val="B92051"/>
            </a:solidFill>
            <a:ln>
              <a:solidFill>
                <a:schemeClr val="tx1"/>
              </a:solidFill>
            </a:ln>
            <a:effectLst/>
          </c:spPr>
          <c:invertIfNegative val="0"/>
          <c:dLbls>
            <c:dLbl>
              <c:idx val="0"/>
              <c:layout>
                <c:manualLayout>
                  <c:x val="-3.906198533262567E-3"/>
                  <c:y val="-6.6285089758102002E-4"/>
                </c:manualLayout>
              </c:layout>
              <c:tx>
                <c:rich>
                  <a:bodyPr/>
                  <a:lstStyle/>
                  <a:p>
                    <a:fld id="{2250BF6B-7227-4295-8265-067984157B30}" type="SERIESNAME">
                      <a:rPr lang="en-US"/>
                      <a:pPr/>
                      <a:t>[SERIES NAME]</a:t>
                    </a:fld>
                    <a:r>
                      <a:rPr lang="en-US" baseline="0"/>
                      <a:t>, 50%</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575-40F7-A4BE-B24CD363BF0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f>
              <c:strCache>
                <c:ptCount val="1"/>
                <c:pt idx="0">
                  <c:v>Value (in INR crore)</c:v>
                </c:pt>
              </c:strCache>
            </c:strRef>
          </c:cat>
          <c:val>
            <c:numRef>
              <c:f>Sheet1!$B$4</c:f>
              <c:numCache>
                <c:formatCode>0%</c:formatCode>
                <c:ptCount val="1"/>
                <c:pt idx="0">
                  <c:v>0.51</c:v>
                </c:pt>
              </c:numCache>
            </c:numRef>
          </c:val>
          <c:extLst>
            <c:ext xmlns:c16="http://schemas.microsoft.com/office/drawing/2014/chart" uri="{C3380CC4-5D6E-409C-BE32-E72D297353CC}">
              <c16:uniqueId val="{00000005-3575-40F7-A4BE-B24CD363BF06}"/>
            </c:ext>
          </c:extLst>
        </c:ser>
        <c:dLbls>
          <c:showLegendKey val="0"/>
          <c:showVal val="1"/>
          <c:showCatName val="0"/>
          <c:showSerName val="0"/>
          <c:showPercent val="0"/>
          <c:showBubbleSize val="0"/>
        </c:dLbls>
        <c:gapWidth val="151"/>
        <c:overlap val="100"/>
        <c:axId val="923722447"/>
        <c:axId val="923698927"/>
      </c:barChart>
      <c:catAx>
        <c:axId val="923722447"/>
        <c:scaling>
          <c:orientation val="minMax"/>
        </c:scaling>
        <c:delete val="1"/>
        <c:axPos val="l"/>
        <c:numFmt formatCode="General" sourceLinked="1"/>
        <c:majorTickMark val="out"/>
        <c:minorTickMark val="none"/>
        <c:tickLblPos val="nextTo"/>
        <c:crossAx val="923698927"/>
        <c:crosses val="autoZero"/>
        <c:auto val="1"/>
        <c:lblAlgn val="ctr"/>
        <c:lblOffset val="100"/>
        <c:noMultiLvlLbl val="0"/>
      </c:catAx>
      <c:valAx>
        <c:axId val="923698927"/>
        <c:scaling>
          <c:orientation val="minMax"/>
          <c:max val="1"/>
        </c:scaling>
        <c:delete val="1"/>
        <c:axPos val="b"/>
        <c:numFmt formatCode="0%" sourceLinked="1"/>
        <c:majorTickMark val="out"/>
        <c:minorTickMark val="none"/>
        <c:tickLblPos val="nextTo"/>
        <c:crossAx val="92372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070085222099096E-2"/>
          <c:y val="0.11860610075497753"/>
          <c:w val="0.95832975797664655"/>
          <c:h val="0.68294130965258737"/>
        </c:manualLayout>
      </c:layout>
      <c:barChart>
        <c:barDir val="col"/>
        <c:grouping val="stacked"/>
        <c:varyColors val="0"/>
        <c:ser>
          <c:idx val="0"/>
          <c:order val="0"/>
          <c:tx>
            <c:strRef>
              <c:f>Sheet1!$A$2</c:f>
              <c:strCache>
                <c:ptCount val="1"/>
                <c:pt idx="0">
                  <c:v>Value of metallic mineral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Sheet1!$C$1:$I$1</c:f>
              <c:strCache>
                <c:ptCount val="7"/>
                <c:pt idx="0">
                  <c:v>2019</c:v>
                </c:pt>
                <c:pt idx="1">
                  <c:v>2020</c:v>
                </c:pt>
                <c:pt idx="2">
                  <c:v>2021</c:v>
                </c:pt>
                <c:pt idx="3">
                  <c:v>2022</c:v>
                </c:pt>
                <c:pt idx="4">
                  <c:v>2023</c:v>
                </c:pt>
                <c:pt idx="5">
                  <c:v>2024</c:v>
                </c:pt>
                <c:pt idx="6">
                  <c:v>2025</c:v>
                </c:pt>
              </c:strCache>
            </c:strRef>
          </c:cat>
          <c:val>
            <c:numRef>
              <c:f>Sheet1!$C$2:$I$2</c:f>
              <c:numCache>
                <c:formatCode>0.00</c:formatCode>
                <c:ptCount val="7"/>
                <c:pt idx="0">
                  <c:v>0.64200000000000002</c:v>
                </c:pt>
                <c:pt idx="1">
                  <c:v>0.68300000000000005</c:v>
                </c:pt>
                <c:pt idx="2">
                  <c:v>0.72199999999999998</c:v>
                </c:pt>
                <c:pt idx="3">
                  <c:v>1.248</c:v>
                </c:pt>
                <c:pt idx="4">
                  <c:v>1.1100000000000001</c:v>
                </c:pt>
                <c:pt idx="5">
                  <c:v>1.1080000000000001</c:v>
                </c:pt>
                <c:pt idx="6">
                  <c:v>1.42</c:v>
                </c:pt>
              </c:numCache>
            </c:numRef>
          </c:val>
          <c:extLst>
            <c:ext xmlns:c16="http://schemas.microsoft.com/office/drawing/2014/chart" uri="{C3380CC4-5D6E-409C-BE32-E72D297353CC}">
              <c16:uniqueId val="{00000000-7DDE-4735-9E69-57E0059058B7}"/>
            </c:ext>
          </c:extLst>
        </c:ser>
        <c:ser>
          <c:idx val="1"/>
          <c:order val="1"/>
          <c:tx>
            <c:strRef>
              <c:f>Sheet1!$A$3</c:f>
              <c:strCache>
                <c:ptCount val="1"/>
                <c:pt idx="0">
                  <c:v>Value of non-metallic minerals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Sheet1!$C$1:$I$1</c:f>
              <c:strCache>
                <c:ptCount val="7"/>
                <c:pt idx="0">
                  <c:v>2019</c:v>
                </c:pt>
                <c:pt idx="1">
                  <c:v>2020</c:v>
                </c:pt>
                <c:pt idx="2">
                  <c:v>2021</c:v>
                </c:pt>
                <c:pt idx="3">
                  <c:v>2022</c:v>
                </c:pt>
                <c:pt idx="4">
                  <c:v>2023</c:v>
                </c:pt>
                <c:pt idx="5">
                  <c:v>2024</c:v>
                </c:pt>
                <c:pt idx="6">
                  <c:v>2025</c:v>
                </c:pt>
              </c:strCache>
            </c:strRef>
          </c:cat>
          <c:val>
            <c:numRef>
              <c:f>Sheet1!$C$3:$I$3</c:f>
              <c:numCache>
                <c:formatCode>0.00</c:formatCode>
                <c:ptCount val="7"/>
                <c:pt idx="0">
                  <c:v>9.7000000000000003E-2</c:v>
                </c:pt>
                <c:pt idx="1">
                  <c:v>9.6000000000000002E-2</c:v>
                </c:pt>
                <c:pt idx="2">
                  <c:v>9.1999999999999998E-2</c:v>
                </c:pt>
                <c:pt idx="3">
                  <c:v>0.11</c:v>
                </c:pt>
                <c:pt idx="4">
                  <c:v>0.125</c:v>
                </c:pt>
                <c:pt idx="5">
                  <c:v>0.126</c:v>
                </c:pt>
                <c:pt idx="6">
                  <c:v>0.13</c:v>
                </c:pt>
              </c:numCache>
            </c:numRef>
          </c:val>
          <c:extLst>
            <c:ext xmlns:c16="http://schemas.microsoft.com/office/drawing/2014/chart" uri="{C3380CC4-5D6E-409C-BE32-E72D297353CC}">
              <c16:uniqueId val="{00000001-7DDE-4735-9E69-57E0059058B7}"/>
            </c:ext>
          </c:extLst>
        </c:ser>
        <c:ser>
          <c:idx val="2"/>
          <c:order val="2"/>
          <c:tx>
            <c:strRef>
              <c:f>Sheet1!$A$4</c:f>
              <c:strCache>
                <c:ptCount val="1"/>
                <c:pt idx="0">
                  <c:v>Value of coal</c:v>
                </c:pt>
              </c:strCache>
            </c:strRef>
          </c:tx>
          <c:spPr>
            <a:solidFill>
              <a:schemeClr val="accent3"/>
            </a:solidFill>
            <a:ln>
              <a:noFill/>
            </a:ln>
            <a:effectLst/>
          </c:spPr>
          <c:invertIfNegative val="0"/>
          <c:dLbls>
            <c:dLbl>
              <c:idx val="0"/>
              <c:layout>
                <c:manualLayout>
                  <c:x val="0"/>
                  <c:y val="-7.31930466605672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E-4735-9E69-57E0059058B7}"/>
                </c:ext>
              </c:extLst>
            </c:dLbl>
            <c:dLbl>
              <c:idx val="1"/>
              <c:layout>
                <c:manualLayout>
                  <c:x val="-7.1845288713819101E-17"/>
                  <c:y val="-7.3193046660567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E-4735-9E69-57E0059058B7}"/>
                </c:ext>
              </c:extLst>
            </c:dLbl>
            <c:dLbl>
              <c:idx val="2"/>
              <c:layout>
                <c:manualLayout>
                  <c:x val="-7.1845288713819101E-17"/>
                  <c:y val="-5.48947849954254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DE-4735-9E69-57E0059058B7}"/>
                </c:ext>
              </c:extLst>
            </c:dLbl>
            <c:dLbl>
              <c:idx val="3"/>
              <c:layout>
                <c:manualLayout>
                  <c:x val="0"/>
                  <c:y val="-6.09942055504727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DE-4735-9E69-57E0059058B7}"/>
                </c:ext>
              </c:extLst>
            </c:dLbl>
            <c:dLbl>
              <c:idx val="4"/>
              <c:layout>
                <c:manualLayout>
                  <c:x val="0"/>
                  <c:y val="-6.09942055504727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E-4735-9E69-57E0059058B7}"/>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Sheet1!$C$1:$I$1</c:f>
              <c:strCache>
                <c:ptCount val="7"/>
                <c:pt idx="0">
                  <c:v>2019</c:v>
                </c:pt>
                <c:pt idx="1">
                  <c:v>2020</c:v>
                </c:pt>
                <c:pt idx="2">
                  <c:v>2021</c:v>
                </c:pt>
                <c:pt idx="3">
                  <c:v>2022</c:v>
                </c:pt>
                <c:pt idx="4">
                  <c:v>2023</c:v>
                </c:pt>
                <c:pt idx="5">
                  <c:v>2024</c:v>
                </c:pt>
                <c:pt idx="6">
                  <c:v>2025</c:v>
                </c:pt>
              </c:strCache>
            </c:strRef>
          </c:cat>
          <c:val>
            <c:numRef>
              <c:f>Sheet1!$C$4:$I$4</c:f>
              <c:numCache>
                <c:formatCode>0.00</c:formatCode>
                <c:ptCount val="7"/>
                <c:pt idx="0">
                  <c:v>0.86199999999999999</c:v>
                </c:pt>
                <c:pt idx="1">
                  <c:v>0.86299999999999999</c:v>
                </c:pt>
                <c:pt idx="2">
                  <c:v>0.84899999999999998</c:v>
                </c:pt>
                <c:pt idx="3">
                  <c:v>0.91200000000000003</c:v>
                </c:pt>
                <c:pt idx="4">
                  <c:v>1.0469999999999999</c:v>
                </c:pt>
                <c:pt idx="5">
                  <c:v>1.268</c:v>
                </c:pt>
                <c:pt idx="6">
                  <c:v>1.28</c:v>
                </c:pt>
              </c:numCache>
            </c:numRef>
          </c:val>
          <c:extLst>
            <c:ext xmlns:c16="http://schemas.microsoft.com/office/drawing/2014/chart" uri="{C3380CC4-5D6E-409C-BE32-E72D297353CC}">
              <c16:uniqueId val="{00000007-7DDE-4735-9E69-57E0059058B7}"/>
            </c:ext>
          </c:extLst>
        </c:ser>
        <c:dLbls>
          <c:showLegendKey val="0"/>
          <c:showVal val="0"/>
          <c:showCatName val="0"/>
          <c:showSerName val="0"/>
          <c:showPercent val="0"/>
          <c:showBubbleSize val="0"/>
        </c:dLbls>
        <c:gapWidth val="219"/>
        <c:overlap val="100"/>
        <c:axId val="923722447"/>
        <c:axId val="923698927"/>
      </c:barChart>
      <c:lineChart>
        <c:grouping val="standard"/>
        <c:varyColors val="0"/>
        <c:ser>
          <c:idx val="3"/>
          <c:order val="3"/>
          <c:tx>
            <c:strRef>
              <c:f>Sheet1!$A$5</c:f>
              <c:strCache>
                <c:ptCount val="1"/>
                <c:pt idx="0">
                  <c:v>Sum</c:v>
                </c:pt>
              </c:strCache>
            </c:strRef>
          </c:tx>
          <c:spPr>
            <a:ln w="28575" cap="rnd">
              <a:noFill/>
              <a:round/>
            </a:ln>
            <a:effectLst/>
          </c:spPr>
          <c:marker>
            <c:symbol val="none"/>
          </c:marker>
          <c:dLbls>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Sheet1!$C$1:$I$1</c:f>
              <c:strCache>
                <c:ptCount val="7"/>
                <c:pt idx="0">
                  <c:v>2019</c:v>
                </c:pt>
                <c:pt idx="1">
                  <c:v>2020</c:v>
                </c:pt>
                <c:pt idx="2">
                  <c:v>2021</c:v>
                </c:pt>
                <c:pt idx="3">
                  <c:v>2022</c:v>
                </c:pt>
                <c:pt idx="4">
                  <c:v>2023</c:v>
                </c:pt>
                <c:pt idx="5">
                  <c:v>2024</c:v>
                </c:pt>
                <c:pt idx="6">
                  <c:v>2025</c:v>
                </c:pt>
              </c:strCache>
            </c:strRef>
          </c:cat>
          <c:val>
            <c:numRef>
              <c:f>Sheet1!$C$5:$I$5</c:f>
              <c:numCache>
                <c:formatCode>0.00</c:formatCode>
                <c:ptCount val="7"/>
                <c:pt idx="0">
                  <c:v>1.601</c:v>
                </c:pt>
                <c:pt idx="1">
                  <c:v>1.6419999999999999</c:v>
                </c:pt>
                <c:pt idx="2">
                  <c:v>1.6629999999999998</c:v>
                </c:pt>
                <c:pt idx="3">
                  <c:v>2.27</c:v>
                </c:pt>
                <c:pt idx="4">
                  <c:v>2.282</c:v>
                </c:pt>
                <c:pt idx="5">
                  <c:v>2.5019999999999998</c:v>
                </c:pt>
                <c:pt idx="6">
                  <c:v>2.83</c:v>
                </c:pt>
              </c:numCache>
            </c:numRef>
          </c:val>
          <c:smooth val="0"/>
          <c:extLst>
            <c:ext xmlns:c16="http://schemas.microsoft.com/office/drawing/2014/chart" uri="{C3380CC4-5D6E-409C-BE32-E72D297353CC}">
              <c16:uniqueId val="{00000008-7DDE-4735-9E69-57E0059058B7}"/>
            </c:ext>
          </c:extLst>
        </c:ser>
        <c:dLbls>
          <c:showLegendKey val="0"/>
          <c:showVal val="0"/>
          <c:showCatName val="0"/>
          <c:showSerName val="0"/>
          <c:showPercent val="0"/>
          <c:showBubbleSize val="0"/>
        </c:dLbls>
        <c:marker val="1"/>
        <c:smooth val="0"/>
        <c:axId val="923722447"/>
        <c:axId val="923698927"/>
      </c:lineChart>
      <c:catAx>
        <c:axId val="923722447"/>
        <c:scaling>
          <c:orientation val="minMax"/>
        </c:scaling>
        <c:delete val="0"/>
        <c:axPos val="b"/>
        <c:numFmt formatCode="General" sourceLinked="1"/>
        <c:majorTickMark val="out"/>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23698927"/>
        <c:crosses val="autoZero"/>
        <c:auto val="1"/>
        <c:lblAlgn val="ctr"/>
        <c:lblOffset val="100"/>
        <c:noMultiLvlLbl val="0"/>
      </c:catAx>
      <c:valAx>
        <c:axId val="923698927"/>
        <c:scaling>
          <c:orientation val="minMax"/>
        </c:scaling>
        <c:delete val="1"/>
        <c:axPos val="l"/>
        <c:numFmt formatCode="0.00" sourceLinked="1"/>
        <c:majorTickMark val="out"/>
        <c:minorTickMark val="none"/>
        <c:tickLblPos val="nextTo"/>
        <c:crossAx val="923722447"/>
        <c:crosses val="autoZero"/>
        <c:crossBetween val="between"/>
      </c:valAx>
      <c:spPr>
        <a:noFill/>
        <a:ln>
          <a:noFill/>
        </a:ln>
        <a:effectLst/>
      </c:spPr>
    </c:plotArea>
    <c:legend>
      <c:legendPos val="t"/>
      <c:legendEntry>
        <c:idx val="3"/>
        <c:delete val="1"/>
      </c:legendEntry>
      <c:layout>
        <c:manualLayout>
          <c:xMode val="edge"/>
          <c:yMode val="edge"/>
          <c:x val="0.13005105300684927"/>
          <c:y val="0.91623036649214662"/>
          <c:w val="0.70853748877235112"/>
          <c:h val="8.35053798903409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12663140855546"/>
          <c:y val="0.12536308540519134"/>
          <c:w val="0.50719242177973056"/>
          <c:h val="0.76768495515600654"/>
        </c:manualLayout>
      </c:layout>
      <c:pie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72-4E4C-B72C-4537AA5C41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72-4E4C-B72C-4537AA5C41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72-4E4C-B72C-4537AA5C41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72-4E4C-B72C-4537AA5C41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72-4E4C-B72C-4537AA5C41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72-4E4C-B72C-4537AA5C4130}"/>
              </c:ext>
            </c:extLst>
          </c:dPt>
          <c:dPt>
            <c:idx val="6"/>
            <c:bubble3D val="0"/>
            <c:spPr>
              <a:solidFill>
                <a:srgbClr val="8AAD9C"/>
              </a:solidFill>
              <a:ln w="19050">
                <a:solidFill>
                  <a:schemeClr val="lt1"/>
                </a:solidFill>
              </a:ln>
              <a:effectLst/>
            </c:spPr>
            <c:extLst>
              <c:ext xmlns:c16="http://schemas.microsoft.com/office/drawing/2014/chart" uri="{C3380CC4-5D6E-409C-BE32-E72D297353CC}">
                <c16:uniqueId val="{0000000D-5772-4E4C-B72C-4537AA5C4130}"/>
              </c:ext>
            </c:extLst>
          </c:dPt>
          <c:dPt>
            <c:idx val="7"/>
            <c:bubble3D val="0"/>
            <c:spPr>
              <a:solidFill>
                <a:schemeClr val="tx1"/>
              </a:solidFill>
              <a:ln w="19050">
                <a:solidFill>
                  <a:schemeClr val="lt1"/>
                </a:solidFill>
              </a:ln>
              <a:effectLst/>
            </c:spPr>
            <c:extLst>
              <c:ext xmlns:c16="http://schemas.microsoft.com/office/drawing/2014/chart" uri="{C3380CC4-5D6E-409C-BE32-E72D297353CC}">
                <c16:uniqueId val="{0000000F-5772-4E4C-B72C-4537AA5C4130}"/>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5772-4E4C-B72C-4537AA5C4130}"/>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5772-4E4C-B72C-4537AA5C4130}"/>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5772-4E4C-B72C-4537AA5C4130}"/>
                </c:ext>
              </c:extLst>
            </c:dLbl>
            <c:dLbl>
              <c:idx val="3"/>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5772-4E4C-B72C-4537AA5C4130}"/>
                </c:ext>
              </c:extLst>
            </c:dLbl>
            <c:dLbl>
              <c:idx val="7"/>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F-5772-4E4C-B72C-4537AA5C413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China</c:v>
                </c:pt>
                <c:pt idx="1">
                  <c:v>US</c:v>
                </c:pt>
                <c:pt idx="2">
                  <c:v>India</c:v>
                </c:pt>
                <c:pt idx="3">
                  <c:v>Russian Federation</c:v>
                </c:pt>
                <c:pt idx="4">
                  <c:v>Japan</c:v>
                </c:pt>
                <c:pt idx="5">
                  <c:v>Germany</c:v>
                </c:pt>
                <c:pt idx="6">
                  <c:v>France</c:v>
                </c:pt>
                <c:pt idx="7">
                  <c:v>Rest of the world</c:v>
                </c:pt>
              </c:strCache>
            </c:strRef>
          </c:cat>
          <c:val>
            <c:numRef>
              <c:f>Sheet1!$B$2:$B$9</c:f>
              <c:numCache>
                <c:formatCode>0</c:formatCode>
                <c:ptCount val="8"/>
                <c:pt idx="0">
                  <c:v>138.27000000000001</c:v>
                </c:pt>
                <c:pt idx="1">
                  <c:v>96.37</c:v>
                </c:pt>
                <c:pt idx="2">
                  <c:v>32.72</c:v>
                </c:pt>
                <c:pt idx="3">
                  <c:v>30.36</c:v>
                </c:pt>
                <c:pt idx="4">
                  <c:v>19.14</c:v>
                </c:pt>
                <c:pt idx="5">
                  <c:v>13.64</c:v>
                </c:pt>
                <c:pt idx="6">
                  <c:v>10.039999999999999</c:v>
                </c:pt>
                <c:pt idx="7">
                  <c:v>240.93</c:v>
                </c:pt>
              </c:numCache>
            </c:numRef>
          </c:val>
          <c:extLst>
            <c:ext xmlns:c16="http://schemas.microsoft.com/office/drawing/2014/chart" uri="{C3380CC4-5D6E-409C-BE32-E72D297353CC}">
              <c16:uniqueId val="{00000010-5772-4E4C-B72C-4537AA5C4130}"/>
            </c:ext>
          </c:extLst>
        </c:ser>
        <c:dLbls>
          <c:dLblPos val="bestFit"/>
          <c:showLegendKey val="0"/>
          <c:showVal val="1"/>
          <c:showCatName val="0"/>
          <c:showSerName val="0"/>
          <c:showPercent val="0"/>
          <c:showBubbleSize val="0"/>
          <c:showLeaderLines val="1"/>
        </c:dLbls>
        <c:firstSliceAng val="10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38725999105619"/>
          <c:y val="0.13540805744748485"/>
          <c:w val="0.47412604429864691"/>
          <c:h val="0.78179023121778868"/>
        </c:manualLayout>
      </c:layout>
      <c:pie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71-45AC-A3D7-CBDD860053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71-45AC-A3D7-CBDD860053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71-45AC-A3D7-CBDD860053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71-45AC-A3D7-CBDD860053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A71-45AC-A3D7-CBDD860053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A71-45AC-A3D7-CBDD86005340}"/>
              </c:ext>
            </c:extLst>
          </c:dPt>
          <c:dPt>
            <c:idx val="6"/>
            <c:bubble3D val="0"/>
            <c:spPr>
              <a:solidFill>
                <a:srgbClr val="8AAD9C"/>
              </a:solidFill>
              <a:ln w="19050">
                <a:solidFill>
                  <a:schemeClr val="lt1"/>
                </a:solidFill>
              </a:ln>
              <a:effectLst/>
            </c:spPr>
            <c:extLst>
              <c:ext xmlns:c16="http://schemas.microsoft.com/office/drawing/2014/chart" uri="{C3380CC4-5D6E-409C-BE32-E72D297353CC}">
                <c16:uniqueId val="{0000000D-4A71-45AC-A3D7-CBDD86005340}"/>
              </c:ext>
            </c:extLst>
          </c:dPt>
          <c:dPt>
            <c:idx val="7"/>
            <c:bubble3D val="0"/>
            <c:spPr>
              <a:solidFill>
                <a:schemeClr val="tx1"/>
              </a:solidFill>
              <a:ln w="19050">
                <a:solidFill>
                  <a:schemeClr val="lt1"/>
                </a:solidFill>
              </a:ln>
              <a:effectLst/>
            </c:spPr>
            <c:extLst>
              <c:ext xmlns:c16="http://schemas.microsoft.com/office/drawing/2014/chart" uri="{C3380CC4-5D6E-409C-BE32-E72D297353CC}">
                <c16:uniqueId val="{0000000F-4A71-45AC-A3D7-CBDD86005340}"/>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1-4A71-45AC-A3D7-CBDD86005340}"/>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3-4A71-45AC-A3D7-CBDD86005340}"/>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tx1">
                          <a:lumMod val="5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4A71-45AC-A3D7-CBDD86005340}"/>
                </c:ext>
              </c:extLst>
            </c:dLbl>
            <c:dLbl>
              <c:idx val="3"/>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4A71-45AC-A3D7-CBDD86005340}"/>
                </c:ext>
              </c:extLst>
            </c:dLbl>
            <c:dLbl>
              <c:idx val="7"/>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F-4A71-45AC-A3D7-CBDD8600534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China</c:v>
                </c:pt>
                <c:pt idx="1">
                  <c:v>US</c:v>
                </c:pt>
                <c:pt idx="2">
                  <c:v>India</c:v>
                </c:pt>
                <c:pt idx="3">
                  <c:v>Russian Federation</c:v>
                </c:pt>
                <c:pt idx="4">
                  <c:v>Japan</c:v>
                </c:pt>
                <c:pt idx="5">
                  <c:v>Germany</c:v>
                </c:pt>
                <c:pt idx="6">
                  <c:v>France</c:v>
                </c:pt>
                <c:pt idx="7">
                  <c:v>Rest of the world</c:v>
                </c:pt>
              </c:strCache>
            </c:strRef>
          </c:cat>
          <c:val>
            <c:numRef>
              <c:f>Sheet1!$B$2:$B$9</c:f>
              <c:numCache>
                <c:formatCode>0</c:formatCode>
                <c:ptCount val="8"/>
                <c:pt idx="0">
                  <c:v>170.74</c:v>
                </c:pt>
                <c:pt idx="1">
                  <c:v>94.28</c:v>
                </c:pt>
                <c:pt idx="2">
                  <c:v>39.020000000000003</c:v>
                </c:pt>
                <c:pt idx="3">
                  <c:v>31.29</c:v>
                </c:pt>
                <c:pt idx="4">
                  <c:v>17.399999999999999</c:v>
                </c:pt>
                <c:pt idx="5">
                  <c:v>11.41</c:v>
                </c:pt>
                <c:pt idx="6">
                  <c:v>8.66</c:v>
                </c:pt>
                <c:pt idx="7">
                  <c:v>247.2</c:v>
                </c:pt>
              </c:numCache>
            </c:numRef>
          </c:val>
          <c:extLst>
            <c:ext xmlns:c16="http://schemas.microsoft.com/office/drawing/2014/chart" uri="{C3380CC4-5D6E-409C-BE32-E72D297353CC}">
              <c16:uniqueId val="{00000010-4A71-45AC-A3D7-CBDD86005340}"/>
            </c:ext>
          </c:extLst>
        </c:ser>
        <c:dLbls>
          <c:dLblPos val="bestFit"/>
          <c:showLegendKey val="0"/>
          <c:showVal val="1"/>
          <c:showCatName val="0"/>
          <c:showSerName val="0"/>
          <c:showPercent val="0"/>
          <c:showBubbleSize val="0"/>
          <c:showLeaderLines val="1"/>
        </c:dLbls>
        <c:firstSliceAng val="11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66351484892643E-2"/>
          <c:y val="0.12045037968054464"/>
          <c:w val="0.89467981291208987"/>
          <c:h val="0.70699383315498765"/>
        </c:manualLayout>
      </c:layout>
      <c:lineChart>
        <c:grouping val="standard"/>
        <c:varyColors val="0"/>
        <c:ser>
          <c:idx val="0"/>
          <c:order val="0"/>
          <c:tx>
            <c:strRef>
              <c:f>Sheet1!$A$2</c:f>
              <c:strCache>
                <c:ptCount val="1"/>
                <c:pt idx="0">
                  <c:v>Steel demand growth rate in India</c:v>
                </c:pt>
              </c:strCache>
            </c:strRef>
          </c:tx>
          <c:spPr>
            <a:ln w="28575" cap="rnd">
              <a:solidFill>
                <a:schemeClr val="accent1"/>
              </a:solidFill>
              <a:round/>
            </a:ln>
            <a:effectLst/>
          </c:spPr>
          <c:marker>
            <c:symbol val="none"/>
          </c:marker>
          <c:dLbls>
            <c:dLbl>
              <c:idx val="0"/>
              <c:layout>
                <c:manualLayout>
                  <c:x val="-3.6850455585182712E-2"/>
                  <c:y val="-4.3067291966771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50-4B6A-80F3-DFC3C0C335DB}"/>
                </c:ext>
              </c:extLst>
            </c:dLbl>
            <c:dLbl>
              <c:idx val="2"/>
              <c:layout>
                <c:manualLayout>
                  <c:x val="2.8185093132147163E-2"/>
                  <c:y val="7.155281655817680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0-4B6A-80F3-DFC3C0C335DB}"/>
                </c:ext>
              </c:extLst>
            </c:dLbl>
            <c:dLbl>
              <c:idx val="5"/>
              <c:layout>
                <c:manualLayout>
                  <c:x val="-1.2294882237863503E-2"/>
                  <c:y val="-4.8569355240498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50-4B6A-80F3-DFC3C0C335D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CY18</c:v>
                </c:pt>
                <c:pt idx="1">
                  <c:v>CY19</c:v>
                </c:pt>
                <c:pt idx="2">
                  <c:v>CY20</c:v>
                </c:pt>
                <c:pt idx="3">
                  <c:v>CY21</c:v>
                </c:pt>
                <c:pt idx="4">
                  <c:v>CY22</c:v>
                </c:pt>
                <c:pt idx="5">
                  <c:v>CY23</c:v>
                </c:pt>
              </c:strCache>
            </c:strRef>
          </c:cat>
          <c:val>
            <c:numRef>
              <c:f>Sheet1!$B$2:$G$2</c:f>
              <c:numCache>
                <c:formatCode>0.0%</c:formatCode>
                <c:ptCount val="6"/>
                <c:pt idx="0">
                  <c:v>7.5999999999999998E-2</c:v>
                </c:pt>
                <c:pt idx="1">
                  <c:v>-1.6E-2</c:v>
                </c:pt>
                <c:pt idx="2">
                  <c:v>-5.0999999999999997E-2</c:v>
                </c:pt>
                <c:pt idx="3">
                  <c:v>0.16200000000000001</c:v>
                </c:pt>
                <c:pt idx="4">
                  <c:v>5.7000000000000002E-2</c:v>
                </c:pt>
                <c:pt idx="5">
                  <c:v>0.122</c:v>
                </c:pt>
              </c:numCache>
            </c:numRef>
          </c:val>
          <c:smooth val="0"/>
          <c:extLst>
            <c:ext xmlns:c16="http://schemas.microsoft.com/office/drawing/2014/chart" uri="{C3380CC4-5D6E-409C-BE32-E72D297353CC}">
              <c16:uniqueId val="{00000003-9D50-4B6A-80F3-DFC3C0C335DB}"/>
            </c:ext>
          </c:extLst>
        </c:ser>
        <c:ser>
          <c:idx val="1"/>
          <c:order val="1"/>
          <c:tx>
            <c:strRef>
              <c:f>Sheet1!$A$3</c:f>
              <c:strCache>
                <c:ptCount val="1"/>
                <c:pt idx="0">
                  <c:v>India's real GDP growth </c:v>
                </c:pt>
              </c:strCache>
            </c:strRef>
          </c:tx>
          <c:spPr>
            <a:ln w="28575" cap="rnd">
              <a:solidFill>
                <a:schemeClr val="accent2"/>
              </a:solidFill>
              <a:round/>
            </a:ln>
            <a:effectLst/>
          </c:spPr>
          <c:marker>
            <c:symbol val="none"/>
          </c:marker>
          <c:dLbls>
            <c:dLbl>
              <c:idx val="0"/>
              <c:layout>
                <c:manualLayout>
                  <c:x val="-4.2744944238292053E-2"/>
                  <c:y val="6.1471910234054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0-4B6A-80F3-DFC3C0C335DB}"/>
                </c:ext>
              </c:extLst>
            </c:dLbl>
            <c:dLbl>
              <c:idx val="1"/>
              <c:layout>
                <c:manualLayout>
                  <c:x val="-1.841145833333338E-2"/>
                  <c:y val="-7.9738907900204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50-4B6A-80F3-DFC3C0C335DB}"/>
                </c:ext>
              </c:extLst>
            </c:dLbl>
            <c:dLbl>
              <c:idx val="3"/>
              <c:layout>
                <c:manualLayout>
                  <c:x val="-3.1432291666666667E-2"/>
                  <c:y val="-3.2876077759939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0-4B6A-80F3-DFC3C0C335DB}"/>
                </c:ext>
              </c:extLst>
            </c:dLbl>
            <c:dLbl>
              <c:idx val="5"/>
              <c:layout>
                <c:manualLayout>
                  <c:x val="-5.9128992607136869E-3"/>
                  <c:y val="4.4152974688342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50-4B6A-80F3-DFC3C0C335D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CY18</c:v>
                </c:pt>
                <c:pt idx="1">
                  <c:v>CY19</c:v>
                </c:pt>
                <c:pt idx="2">
                  <c:v>CY20</c:v>
                </c:pt>
                <c:pt idx="3">
                  <c:v>CY21</c:v>
                </c:pt>
                <c:pt idx="4">
                  <c:v>CY22</c:v>
                </c:pt>
                <c:pt idx="5">
                  <c:v>CY23</c:v>
                </c:pt>
              </c:strCache>
            </c:strRef>
          </c:cat>
          <c:val>
            <c:numRef>
              <c:f>Sheet1!$B$3:$G$3</c:f>
              <c:numCache>
                <c:formatCode>0.0%</c:formatCode>
                <c:ptCount val="6"/>
                <c:pt idx="0">
                  <c:v>6.5000000000000002E-2</c:v>
                </c:pt>
                <c:pt idx="1">
                  <c:v>3.9E-2</c:v>
                </c:pt>
                <c:pt idx="2">
                  <c:v>-5.8000000000000003E-2</c:v>
                </c:pt>
                <c:pt idx="3">
                  <c:v>9.7000000000000003E-2</c:v>
                </c:pt>
                <c:pt idx="4">
                  <c:v>7.5999999999999998E-2</c:v>
                </c:pt>
                <c:pt idx="5">
                  <c:v>9.1999999999999998E-2</c:v>
                </c:pt>
              </c:numCache>
            </c:numRef>
          </c:val>
          <c:smooth val="0"/>
          <c:extLst>
            <c:ext xmlns:c16="http://schemas.microsoft.com/office/drawing/2014/chart" uri="{C3380CC4-5D6E-409C-BE32-E72D297353CC}">
              <c16:uniqueId val="{00000008-9D50-4B6A-80F3-DFC3C0C335DB}"/>
            </c:ext>
          </c:extLst>
        </c:ser>
        <c:dLbls>
          <c:dLblPos val="t"/>
          <c:showLegendKey val="0"/>
          <c:showVal val="1"/>
          <c:showCatName val="0"/>
          <c:showSerName val="0"/>
          <c:showPercent val="0"/>
          <c:showBubbleSize val="0"/>
        </c:dLbls>
        <c:smooth val="0"/>
        <c:axId val="998044608"/>
        <c:axId val="998021088"/>
      </c:lineChart>
      <c:catAx>
        <c:axId val="9980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8021088"/>
        <c:crosses val="autoZero"/>
        <c:auto val="1"/>
        <c:lblAlgn val="ctr"/>
        <c:lblOffset val="100"/>
        <c:noMultiLvlLbl val="0"/>
      </c:catAx>
      <c:valAx>
        <c:axId val="998021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8044608"/>
        <c:crosses val="autoZero"/>
        <c:crossBetween val="between"/>
      </c:valAx>
      <c:spPr>
        <a:noFill/>
        <a:ln>
          <a:noFill/>
        </a:ln>
        <a:effectLst/>
      </c:spPr>
    </c:plotArea>
    <c:legend>
      <c:legendPos val="b"/>
      <c:layout>
        <c:manualLayout>
          <c:xMode val="edge"/>
          <c:yMode val="edge"/>
          <c:x val="1.413002810330103E-2"/>
          <c:y val="0.88505091616101028"/>
          <c:w val="0.65039169506182648"/>
          <c:h val="8.35272456614565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60384585733656E-2"/>
          <c:y val="0.13929581271334446"/>
          <c:w val="0.96641881177791911"/>
          <c:h val="0.70673004639923331"/>
        </c:manualLayout>
      </c:layout>
      <c:barChart>
        <c:barDir val="col"/>
        <c:grouping val="clustered"/>
        <c:varyColors val="0"/>
        <c:ser>
          <c:idx val="0"/>
          <c:order val="0"/>
          <c:tx>
            <c:strRef>
              <c:f>Sheet1!$B$1</c:f>
              <c:strCache>
                <c:ptCount val="1"/>
                <c:pt idx="0">
                  <c:v>India </c:v>
                </c:pt>
              </c:strCache>
            </c:strRef>
          </c:tx>
          <c:spPr>
            <a:solidFill>
              <a:schemeClr val="accent1"/>
            </a:solidFill>
            <a:ln>
              <a:noFill/>
            </a:ln>
            <a:effectLst/>
          </c:spPr>
          <c:invertIfNegative val="0"/>
          <c:dPt>
            <c:idx val="17"/>
            <c:invertIfNegative val="0"/>
            <c:bubble3D val="0"/>
            <c:spPr>
              <a:solidFill>
                <a:srgbClr val="F7F7F7"/>
              </a:solidFill>
              <a:ln w="28575" cap="rnd">
                <a:solidFill>
                  <a:schemeClr val="accent1"/>
                </a:solidFill>
                <a:prstDash val="sysDot"/>
                <a:round/>
              </a:ln>
              <a:effectLst/>
            </c:spPr>
            <c:extLst>
              <c:ext xmlns:c16="http://schemas.microsoft.com/office/drawing/2014/chart" uri="{C3380CC4-5D6E-409C-BE32-E72D297353CC}">
                <c16:uniqueId val="{00000001-D291-4FCF-B0EF-B06338DB0333}"/>
              </c:ext>
            </c:extLst>
          </c:dPt>
          <c:dPt>
            <c:idx val="18"/>
            <c:invertIfNegative val="0"/>
            <c:bubble3D val="0"/>
            <c:spPr>
              <a:solidFill>
                <a:srgbClr val="F7F7F7"/>
              </a:solidFill>
              <a:ln w="28575" cap="rnd">
                <a:solidFill>
                  <a:schemeClr val="accent1"/>
                </a:solidFill>
                <a:prstDash val="sysDot"/>
                <a:round/>
              </a:ln>
              <a:effectLst/>
            </c:spPr>
            <c:extLst>
              <c:ext xmlns:c16="http://schemas.microsoft.com/office/drawing/2014/chart" uri="{C3380CC4-5D6E-409C-BE32-E72D297353CC}">
                <c16:uniqueId val="{00000003-D291-4FCF-B0EF-B06338DB0333}"/>
              </c:ext>
            </c:extLst>
          </c:dPt>
          <c:dPt>
            <c:idx val="19"/>
            <c:invertIfNegative val="0"/>
            <c:bubble3D val="0"/>
            <c:spPr>
              <a:solidFill>
                <a:srgbClr val="F7F7F7"/>
              </a:solidFill>
              <a:ln w="28575" cap="rnd">
                <a:solidFill>
                  <a:schemeClr val="accent1"/>
                </a:solidFill>
                <a:prstDash val="sysDot"/>
                <a:round/>
              </a:ln>
              <a:effectLst/>
            </c:spPr>
            <c:extLst>
              <c:ext xmlns:c16="http://schemas.microsoft.com/office/drawing/2014/chart" uri="{C3380CC4-5D6E-409C-BE32-E72D297353CC}">
                <c16:uniqueId val="{00000005-D291-4FCF-B0EF-B06338DB0333}"/>
              </c:ext>
            </c:extLst>
          </c:dPt>
          <c:dPt>
            <c:idx val="20"/>
            <c:invertIfNegative val="0"/>
            <c:bubble3D val="0"/>
            <c:spPr>
              <a:solidFill>
                <a:srgbClr val="F7F7F7"/>
              </a:solidFill>
              <a:ln w="28575" cap="rnd">
                <a:solidFill>
                  <a:srgbClr val="C7DAE0"/>
                </a:solidFill>
                <a:prstDash val="sysDot"/>
                <a:round/>
              </a:ln>
              <a:effectLst/>
            </c:spPr>
            <c:extLst>
              <c:ext xmlns:c16="http://schemas.microsoft.com/office/drawing/2014/chart" uri="{C3380CC4-5D6E-409C-BE32-E72D297353CC}">
                <c16:uniqueId val="{00000007-D291-4FCF-B0EF-B06338DB0333}"/>
              </c:ext>
            </c:extLst>
          </c:dPt>
          <c:dPt>
            <c:idx val="21"/>
            <c:invertIfNegative val="0"/>
            <c:bubble3D val="0"/>
            <c:spPr>
              <a:solidFill>
                <a:srgbClr val="F7F7F7"/>
              </a:solidFill>
              <a:ln w="28575" cap="rnd">
                <a:solidFill>
                  <a:srgbClr val="C7DAE0"/>
                </a:solidFill>
                <a:prstDash val="sysDot"/>
                <a:round/>
              </a:ln>
              <a:effectLst/>
            </c:spPr>
            <c:extLst>
              <c:ext xmlns:c16="http://schemas.microsoft.com/office/drawing/2014/chart" uri="{C3380CC4-5D6E-409C-BE32-E72D297353CC}">
                <c16:uniqueId val="{00000009-D291-4FCF-B0EF-B06338DB0333}"/>
              </c:ext>
            </c:extLst>
          </c:dPt>
          <c:dPt>
            <c:idx val="22"/>
            <c:invertIfNegative val="0"/>
            <c:bubble3D val="0"/>
            <c:spPr>
              <a:solidFill>
                <a:srgbClr val="F7F7F7"/>
              </a:solidFill>
              <a:ln w="28575" cap="rnd">
                <a:solidFill>
                  <a:srgbClr val="C7DAE0"/>
                </a:solidFill>
                <a:prstDash val="sysDot"/>
              </a:ln>
              <a:effectLst/>
            </c:spPr>
            <c:extLst>
              <c:ext xmlns:c16="http://schemas.microsoft.com/office/drawing/2014/chart" uri="{C3380CC4-5D6E-409C-BE32-E72D297353CC}">
                <c16:uniqueId val="{0000000B-D291-4FCF-B0EF-B06338DB033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Sheet1!$A$2:$A$24</c:f>
              <c:numCache>
                <c:formatCode>General</c:formatCode>
                <c:ptCount val="23"/>
                <c:pt idx="0">
                  <c:v>1980</c:v>
                </c:pt>
                <c:pt idx="2">
                  <c:v>1990</c:v>
                </c:pt>
                <c:pt idx="4">
                  <c:v>2000</c:v>
                </c:pt>
                <c:pt idx="6">
                  <c:v>2005</c:v>
                </c:pt>
                <c:pt idx="8">
                  <c:v>2010</c:v>
                </c:pt>
                <c:pt idx="10">
                  <c:v>2015</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Sheet1!$B$2:$B$24</c:f>
              <c:numCache>
                <c:formatCode>General</c:formatCode>
                <c:ptCount val="23"/>
                <c:pt idx="0" formatCode="0.0">
                  <c:v>0.18616999999999997</c:v>
                </c:pt>
                <c:pt idx="2" formatCode="0.0">
                  <c:v>0.32097899999999996</c:v>
                </c:pt>
                <c:pt idx="4" formatCode="0.0">
                  <c:v>0.46839600000000003</c:v>
                </c:pt>
                <c:pt idx="6" formatCode="0.0">
                  <c:v>0.82038500000000003</c:v>
                </c:pt>
                <c:pt idx="8" formatCode="0.0">
                  <c:v>1.6756150000000001</c:v>
                </c:pt>
                <c:pt idx="10" formatCode="0.0">
                  <c:v>2.1035880000000002</c:v>
                </c:pt>
                <c:pt idx="12" formatCode="0.0">
                  <c:v>2.674852</c:v>
                </c:pt>
                <c:pt idx="13" formatCode="0.0">
                  <c:v>3.1672710000000004</c:v>
                </c:pt>
                <c:pt idx="14" formatCode="0.0">
                  <c:v>3.3461069999999999</c:v>
                </c:pt>
                <c:pt idx="15" formatCode="0.0">
                  <c:v>3.63849</c:v>
                </c:pt>
                <c:pt idx="16" formatCode="0.0">
                  <c:v>3.9091</c:v>
                </c:pt>
                <c:pt idx="17" formatCode="0.0">
                  <c:v>4.1870200000000004</c:v>
                </c:pt>
                <c:pt idx="18" formatCode="0.0">
                  <c:v>4.6012299999999993</c:v>
                </c:pt>
                <c:pt idx="19" formatCode="0.0">
                  <c:v>5.0694699999999999</c:v>
                </c:pt>
                <c:pt idx="20" formatCode="0.0">
                  <c:v>5.5844799999999992</c:v>
                </c:pt>
                <c:pt idx="21" formatCode="0.0">
                  <c:v>6.1484300000000003</c:v>
                </c:pt>
                <c:pt idx="22" formatCode="0.0">
                  <c:v>6.7698199999999993</c:v>
                </c:pt>
              </c:numCache>
            </c:numRef>
          </c:val>
          <c:extLst>
            <c:ext xmlns:c16="http://schemas.microsoft.com/office/drawing/2014/chart" uri="{C3380CC4-5D6E-409C-BE32-E72D297353CC}">
              <c16:uniqueId val="{0000000C-D291-4FCF-B0EF-B06338DB0333}"/>
            </c:ext>
          </c:extLst>
        </c:ser>
        <c:dLbls>
          <c:dLblPos val="outEnd"/>
          <c:showLegendKey val="0"/>
          <c:showVal val="1"/>
          <c:showCatName val="0"/>
          <c:showSerName val="0"/>
          <c:showPercent val="0"/>
          <c:showBubbleSize val="0"/>
        </c:dLbls>
        <c:gapWidth val="150"/>
        <c:axId val="1499721183"/>
        <c:axId val="1499725343"/>
      </c:barChart>
      <c:catAx>
        <c:axId val="149972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99725343"/>
        <c:crosses val="autoZero"/>
        <c:auto val="1"/>
        <c:lblAlgn val="ctr"/>
        <c:lblOffset val="100"/>
        <c:noMultiLvlLbl val="0"/>
      </c:catAx>
      <c:valAx>
        <c:axId val="1499725343"/>
        <c:scaling>
          <c:orientation val="minMax"/>
          <c:min val="0"/>
        </c:scaling>
        <c:delete val="1"/>
        <c:axPos val="l"/>
        <c:numFmt formatCode="0.0" sourceLinked="1"/>
        <c:majorTickMark val="none"/>
        <c:minorTickMark val="none"/>
        <c:tickLblPos val="nextTo"/>
        <c:crossAx val="1499721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13872423250468E-2"/>
          <c:y val="7.1428571428571425E-2"/>
          <c:w val="0.9236149073914548"/>
          <c:h val="0.71461345740873294"/>
        </c:manualLayout>
      </c:layout>
      <c:lineChart>
        <c:grouping val="standard"/>
        <c:varyColors val="0"/>
        <c:ser>
          <c:idx val="0"/>
          <c:order val="0"/>
          <c:tx>
            <c:strRef>
              <c:f>Sheet1!$A$2</c:f>
              <c:strCache>
                <c:ptCount val="1"/>
                <c:pt idx="0">
                  <c:v>Power demand growth rate in India</c:v>
                </c:pt>
              </c:strCache>
            </c:strRef>
          </c:tx>
          <c:spPr>
            <a:ln w="28575" cap="rnd">
              <a:solidFill>
                <a:schemeClr val="accent1"/>
              </a:solidFill>
              <a:round/>
            </a:ln>
            <a:effectLst/>
          </c:spPr>
          <c:marker>
            <c:symbol val="none"/>
          </c:marker>
          <c:dLbls>
            <c:dLbl>
              <c:idx val="0"/>
              <c:layout>
                <c:manualLayout>
                  <c:x val="-3.870880644671057E-2"/>
                  <c:y val="0.107553459804505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25-47EE-9543-BEB0C356EC7C}"/>
                </c:ext>
              </c:extLst>
            </c:dLbl>
            <c:dLbl>
              <c:idx val="1"/>
              <c:layout>
                <c:manualLayout>
                  <c:x val="-3.6640625000000003E-2"/>
                  <c:y val="2.9271244672227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25-47EE-9543-BEB0C356EC7C}"/>
                </c:ext>
              </c:extLst>
            </c:dLbl>
            <c:dLbl>
              <c:idx val="3"/>
              <c:layout>
                <c:manualLayout>
                  <c:x val="-2.3033289644515998E-2"/>
                  <c:y val="4.7884352128888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25-47EE-9543-BEB0C356EC7C}"/>
                </c:ext>
              </c:extLst>
            </c:dLbl>
            <c:dLbl>
              <c:idx val="5"/>
              <c:layout>
                <c:manualLayout>
                  <c:x val="-2.8911608445339108E-2"/>
                  <c:y val="-0.10400064922722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25-47EE-9543-BEB0C356EC7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CY18</c:v>
                </c:pt>
                <c:pt idx="1">
                  <c:v>CY19</c:v>
                </c:pt>
                <c:pt idx="2">
                  <c:v>CY20</c:v>
                </c:pt>
                <c:pt idx="3">
                  <c:v>CY21</c:v>
                </c:pt>
                <c:pt idx="4">
                  <c:v>CY22</c:v>
                </c:pt>
                <c:pt idx="5">
                  <c:v>CY23</c:v>
                </c:pt>
              </c:strCache>
            </c:strRef>
          </c:cat>
          <c:val>
            <c:numRef>
              <c:f>Sheet1!$B$2:$G$2</c:f>
              <c:numCache>
                <c:formatCode>0.0%</c:formatCode>
                <c:ptCount val="6"/>
                <c:pt idx="0">
                  <c:v>0.06</c:v>
                </c:pt>
                <c:pt idx="1">
                  <c:v>0.02</c:v>
                </c:pt>
                <c:pt idx="2">
                  <c:v>-0.01</c:v>
                </c:pt>
                <c:pt idx="3">
                  <c:v>0.06</c:v>
                </c:pt>
                <c:pt idx="4">
                  <c:v>0.09</c:v>
                </c:pt>
                <c:pt idx="5">
                  <c:v>0.08</c:v>
                </c:pt>
              </c:numCache>
            </c:numRef>
          </c:val>
          <c:smooth val="0"/>
          <c:extLst>
            <c:ext xmlns:c16="http://schemas.microsoft.com/office/drawing/2014/chart" uri="{C3380CC4-5D6E-409C-BE32-E72D297353CC}">
              <c16:uniqueId val="{00000004-2325-47EE-9543-BEB0C356EC7C}"/>
            </c:ext>
          </c:extLst>
        </c:ser>
        <c:ser>
          <c:idx val="1"/>
          <c:order val="1"/>
          <c:tx>
            <c:strRef>
              <c:f>Sheet1!$A$3</c:f>
              <c:strCache>
                <c:ptCount val="1"/>
                <c:pt idx="0">
                  <c:v>India's real GDP growth </c:v>
                </c:pt>
              </c:strCache>
            </c:strRef>
          </c:tx>
          <c:spPr>
            <a:ln w="28575" cap="rnd">
              <a:solidFill>
                <a:schemeClr val="accent2"/>
              </a:solidFill>
              <a:round/>
            </a:ln>
            <a:effectLst/>
          </c:spPr>
          <c:marker>
            <c:symbol val="none"/>
          </c:marker>
          <c:dLbls>
            <c:dLbl>
              <c:idx val="0"/>
              <c:layout>
                <c:manualLayout>
                  <c:x val="6.3583043595988242E-3"/>
                  <c:y val="-9.1280066802064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25-47EE-9543-BEB0C356EC7C}"/>
                </c:ext>
              </c:extLst>
            </c:dLbl>
            <c:dLbl>
              <c:idx val="1"/>
              <c:layout>
                <c:manualLayout>
                  <c:x val="-1.841145833333338E-2"/>
                  <c:y val="-7.9738907900204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25-47EE-9543-BEB0C356EC7C}"/>
                </c:ext>
              </c:extLst>
            </c:dLbl>
            <c:dLbl>
              <c:idx val="3"/>
              <c:layout>
                <c:manualLayout>
                  <c:x val="-3.1432291666666667E-2"/>
                  <c:y val="-3.2876077759939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25-47EE-9543-BEB0C356EC7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CY18</c:v>
                </c:pt>
                <c:pt idx="1">
                  <c:v>CY19</c:v>
                </c:pt>
                <c:pt idx="2">
                  <c:v>CY20</c:v>
                </c:pt>
                <c:pt idx="3">
                  <c:v>CY21</c:v>
                </c:pt>
                <c:pt idx="4">
                  <c:v>CY22</c:v>
                </c:pt>
                <c:pt idx="5">
                  <c:v>CY23</c:v>
                </c:pt>
              </c:strCache>
            </c:strRef>
          </c:cat>
          <c:val>
            <c:numRef>
              <c:f>Sheet1!$B$3:$G$3</c:f>
              <c:numCache>
                <c:formatCode>0.0%</c:formatCode>
                <c:ptCount val="6"/>
                <c:pt idx="0">
                  <c:v>6.5000000000000002E-2</c:v>
                </c:pt>
                <c:pt idx="1">
                  <c:v>3.9E-2</c:v>
                </c:pt>
                <c:pt idx="2">
                  <c:v>-5.8000000000000003E-2</c:v>
                </c:pt>
                <c:pt idx="3">
                  <c:v>9.7000000000000003E-2</c:v>
                </c:pt>
                <c:pt idx="4">
                  <c:v>7.5999999999999998E-2</c:v>
                </c:pt>
                <c:pt idx="5">
                  <c:v>9.1999999999999998E-2</c:v>
                </c:pt>
              </c:numCache>
            </c:numRef>
          </c:val>
          <c:smooth val="0"/>
          <c:extLst>
            <c:ext xmlns:c16="http://schemas.microsoft.com/office/drawing/2014/chart" uri="{C3380CC4-5D6E-409C-BE32-E72D297353CC}">
              <c16:uniqueId val="{00000008-2325-47EE-9543-BEB0C356EC7C}"/>
            </c:ext>
          </c:extLst>
        </c:ser>
        <c:dLbls>
          <c:dLblPos val="t"/>
          <c:showLegendKey val="0"/>
          <c:showVal val="1"/>
          <c:showCatName val="0"/>
          <c:showSerName val="0"/>
          <c:showPercent val="0"/>
          <c:showBubbleSize val="0"/>
        </c:dLbls>
        <c:smooth val="0"/>
        <c:axId val="998044608"/>
        <c:axId val="998021088"/>
      </c:lineChart>
      <c:catAx>
        <c:axId val="9980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8021088"/>
        <c:crosses val="autoZero"/>
        <c:auto val="1"/>
        <c:lblAlgn val="ctr"/>
        <c:lblOffset val="100"/>
        <c:noMultiLvlLbl val="0"/>
      </c:catAx>
      <c:valAx>
        <c:axId val="998021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8044608"/>
        <c:crosses val="autoZero"/>
        <c:crossBetween val="between"/>
      </c:valAx>
      <c:spPr>
        <a:noFill/>
        <a:ln>
          <a:noFill/>
        </a:ln>
        <a:effectLst/>
      </c:spPr>
    </c:plotArea>
    <c:legend>
      <c:legendPos val="b"/>
      <c:layout>
        <c:manualLayout>
          <c:xMode val="edge"/>
          <c:yMode val="edge"/>
          <c:x val="1.7656865097212111E-2"/>
          <c:y val="0.88093557060452887"/>
          <c:w val="0.66685129627729622"/>
          <c:h val="8.65176433905891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66351484892643E-2"/>
          <c:y val="0.12045037968054464"/>
          <c:w val="0.89467981291208987"/>
          <c:h val="0.70699383315498765"/>
        </c:manualLayout>
      </c:layout>
      <c:lineChart>
        <c:grouping val="standard"/>
        <c:varyColors val="0"/>
        <c:ser>
          <c:idx val="0"/>
          <c:order val="0"/>
          <c:tx>
            <c:strRef>
              <c:f>Sheet1!$A$2</c:f>
              <c:strCache>
                <c:ptCount val="1"/>
                <c:pt idx="0">
                  <c:v>Cement demand growth rate in India</c:v>
                </c:pt>
              </c:strCache>
            </c:strRef>
          </c:tx>
          <c:spPr>
            <a:ln w="28575" cap="rnd">
              <a:solidFill>
                <a:schemeClr val="accent1"/>
              </a:solidFill>
              <a:round/>
            </a:ln>
            <a:effectLst/>
          </c:spPr>
          <c:marker>
            <c:symbol val="none"/>
          </c:marker>
          <c:dLbls>
            <c:dLbl>
              <c:idx val="2"/>
              <c:layout>
                <c:manualLayout>
                  <c:x val="-3.2724635006561635E-2"/>
                  <c:y val="-0.119392071865044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23-41C0-84D0-133DC0CF25A5}"/>
                </c:ext>
              </c:extLst>
            </c:dLbl>
            <c:dLbl>
              <c:idx val="5"/>
              <c:layout>
                <c:manualLayout>
                  <c:x val="-4.7661814156519558E-2"/>
                  <c:y val="-2.1059038871860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23-41C0-84D0-133DC0CF25A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CY18</c:v>
                </c:pt>
                <c:pt idx="1">
                  <c:v>CY19</c:v>
                </c:pt>
                <c:pt idx="2">
                  <c:v>CY20</c:v>
                </c:pt>
                <c:pt idx="3">
                  <c:v>CY21</c:v>
                </c:pt>
                <c:pt idx="4">
                  <c:v>CY22</c:v>
                </c:pt>
                <c:pt idx="5">
                  <c:v>CY23</c:v>
                </c:pt>
              </c:strCache>
            </c:strRef>
          </c:cat>
          <c:val>
            <c:numRef>
              <c:f>Sheet1!$B$2:$G$2</c:f>
              <c:numCache>
                <c:formatCode>0.0%</c:formatCode>
                <c:ptCount val="6"/>
                <c:pt idx="0">
                  <c:v>0.13500000000000001</c:v>
                </c:pt>
                <c:pt idx="1">
                  <c:v>-3.0000000000000001E-3</c:v>
                </c:pt>
                <c:pt idx="2">
                  <c:v>6.7000000000000004E-2</c:v>
                </c:pt>
                <c:pt idx="3">
                  <c:v>8.5999999999999993E-2</c:v>
                </c:pt>
                <c:pt idx="4">
                  <c:v>5.2999999999999999E-2</c:v>
                </c:pt>
                <c:pt idx="5">
                  <c:v>0.14799999999999999</c:v>
                </c:pt>
              </c:numCache>
            </c:numRef>
          </c:val>
          <c:smooth val="0"/>
          <c:extLst>
            <c:ext xmlns:c16="http://schemas.microsoft.com/office/drawing/2014/chart" uri="{C3380CC4-5D6E-409C-BE32-E72D297353CC}">
              <c16:uniqueId val="{00000002-0523-41C0-84D0-133DC0CF25A5}"/>
            </c:ext>
          </c:extLst>
        </c:ser>
        <c:ser>
          <c:idx val="1"/>
          <c:order val="1"/>
          <c:tx>
            <c:strRef>
              <c:f>Sheet1!$A$3</c:f>
              <c:strCache>
                <c:ptCount val="1"/>
                <c:pt idx="0">
                  <c:v>India's real GDP growth </c:v>
                </c:pt>
              </c:strCache>
            </c:strRef>
          </c:tx>
          <c:spPr>
            <a:ln w="28575" cap="rnd">
              <a:solidFill>
                <a:schemeClr val="accent2"/>
              </a:solidFill>
              <a:round/>
            </a:ln>
            <a:effectLst/>
          </c:spPr>
          <c:marker>
            <c:symbol val="none"/>
          </c:marker>
          <c:dLbls>
            <c:dLbl>
              <c:idx val="1"/>
              <c:layout>
                <c:manualLayout>
                  <c:x val="-1.841145833333338E-2"/>
                  <c:y val="-7.9738907900204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23-41C0-84D0-133DC0CF25A5}"/>
                </c:ext>
              </c:extLst>
            </c:dLbl>
            <c:dLbl>
              <c:idx val="3"/>
              <c:layout>
                <c:manualLayout>
                  <c:x val="-3.1432291666666667E-2"/>
                  <c:y val="-3.2876077759939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23-41C0-84D0-133DC0CF25A5}"/>
                </c:ext>
              </c:extLst>
            </c:dLbl>
            <c:dLbl>
              <c:idx val="4"/>
              <c:layout>
                <c:manualLayout>
                  <c:x val="-4.0780114687255752E-2"/>
                  <c:y val="-7.6079671609136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23-41C0-84D0-133DC0CF25A5}"/>
                </c:ext>
              </c:extLst>
            </c:dLbl>
            <c:dLbl>
              <c:idx val="5"/>
              <c:layout>
                <c:manualLayout>
                  <c:x val="-2.9490853873151059E-2"/>
                  <c:y val="4.4152974688342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23-41C0-84D0-133DC0CF25A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CY18</c:v>
                </c:pt>
                <c:pt idx="1">
                  <c:v>CY19</c:v>
                </c:pt>
                <c:pt idx="2">
                  <c:v>CY20</c:v>
                </c:pt>
                <c:pt idx="3">
                  <c:v>CY21</c:v>
                </c:pt>
                <c:pt idx="4">
                  <c:v>CY22</c:v>
                </c:pt>
                <c:pt idx="5">
                  <c:v>CY23</c:v>
                </c:pt>
              </c:strCache>
            </c:strRef>
          </c:cat>
          <c:val>
            <c:numRef>
              <c:f>Sheet1!$B$3:$G$3</c:f>
              <c:numCache>
                <c:formatCode>0.0%</c:formatCode>
                <c:ptCount val="6"/>
                <c:pt idx="0">
                  <c:v>6.5000000000000002E-2</c:v>
                </c:pt>
                <c:pt idx="1">
                  <c:v>3.9E-2</c:v>
                </c:pt>
                <c:pt idx="2">
                  <c:v>-5.8000000000000003E-2</c:v>
                </c:pt>
                <c:pt idx="3">
                  <c:v>9.7000000000000003E-2</c:v>
                </c:pt>
                <c:pt idx="4">
                  <c:v>7.5999999999999998E-2</c:v>
                </c:pt>
                <c:pt idx="5">
                  <c:v>9.1999999999999998E-2</c:v>
                </c:pt>
              </c:numCache>
            </c:numRef>
          </c:val>
          <c:smooth val="0"/>
          <c:extLst>
            <c:ext xmlns:c16="http://schemas.microsoft.com/office/drawing/2014/chart" uri="{C3380CC4-5D6E-409C-BE32-E72D297353CC}">
              <c16:uniqueId val="{00000007-0523-41C0-84D0-133DC0CF25A5}"/>
            </c:ext>
          </c:extLst>
        </c:ser>
        <c:dLbls>
          <c:dLblPos val="t"/>
          <c:showLegendKey val="0"/>
          <c:showVal val="1"/>
          <c:showCatName val="0"/>
          <c:showSerName val="0"/>
          <c:showPercent val="0"/>
          <c:showBubbleSize val="0"/>
        </c:dLbls>
        <c:smooth val="0"/>
        <c:axId val="998044608"/>
        <c:axId val="998021088"/>
      </c:lineChart>
      <c:catAx>
        <c:axId val="9980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8021088"/>
        <c:crosses val="autoZero"/>
        <c:auto val="1"/>
        <c:lblAlgn val="ctr"/>
        <c:lblOffset val="100"/>
        <c:noMultiLvlLbl val="0"/>
      </c:catAx>
      <c:valAx>
        <c:axId val="9980210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98044608"/>
        <c:crosses val="autoZero"/>
        <c:crossBetween val="between"/>
      </c:valAx>
      <c:spPr>
        <a:noFill/>
        <a:ln>
          <a:noFill/>
        </a:ln>
        <a:effectLst/>
      </c:spPr>
    </c:plotArea>
    <c:legend>
      <c:legendPos val="b"/>
      <c:layout>
        <c:manualLayout>
          <c:xMode val="edge"/>
          <c:yMode val="edge"/>
          <c:x val="1.413002810330103E-2"/>
          <c:y val="0.88505091616101028"/>
          <c:w val="0.65039169506182648"/>
          <c:h val="8.35272456614565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680590982465218"/>
          <c:y val="0"/>
          <c:w val="0.32154757063817729"/>
          <c:h val="0.99621283703173469"/>
        </c:manualLayout>
      </c:layout>
      <c:pieChart>
        <c:varyColors val="1"/>
        <c:ser>
          <c:idx val="0"/>
          <c:order val="0"/>
          <c:tx>
            <c:strRef>
              <c:f>Sheet1!$B$1</c:f>
              <c:strCache>
                <c:ptCount val="1"/>
                <c:pt idx="0">
                  <c:v>Demand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DA-4577-8E62-8A63AC9034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DA-4577-8E62-8A63AC9034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DA-4577-8E62-8A63AC9034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DA-4577-8E62-8A63AC9034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DA-4577-8E62-8A63AC9034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DA-4577-8E62-8A63AC9034F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2DA-4577-8E62-8A63AC9034F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2DA-4577-8E62-8A63AC9034F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2DA-4577-8E62-8A63AC9034F0}"/>
              </c:ext>
            </c:extLst>
          </c:dPt>
          <c:dLbls>
            <c:dLbl>
              <c:idx val="1"/>
              <c:delete val="1"/>
              <c:extLst>
                <c:ext xmlns:c15="http://schemas.microsoft.com/office/drawing/2012/chart" uri="{CE6537A1-D6FC-4f65-9D91-7224C49458BB}"/>
                <c:ext xmlns:c16="http://schemas.microsoft.com/office/drawing/2014/chart" uri="{C3380CC4-5D6E-409C-BE32-E72D297353CC}">
                  <c16:uniqueId val="{00000003-02DA-4577-8E62-8A63AC9034F0}"/>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5-02DA-4577-8E62-8A63AC9034F0}"/>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B-02DA-4577-8E62-8A63AC9034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Power (Utility)</c:v>
                </c:pt>
                <c:pt idx="1">
                  <c:v>Power (Captive)</c:v>
                </c:pt>
                <c:pt idx="2">
                  <c:v>Steel - DRI</c:v>
                </c:pt>
                <c:pt idx="3">
                  <c:v>Cement</c:v>
                </c:pt>
                <c:pt idx="4">
                  <c:v>Coking - Steel, Coke oven</c:v>
                </c:pt>
                <c:pt idx="5">
                  <c:v>Others (Fertilizers, Paper, Bricks, etc.)</c:v>
                </c:pt>
              </c:strCache>
            </c:strRef>
          </c:cat>
          <c:val>
            <c:numRef>
              <c:f>Sheet1!$B$2:$B$7</c:f>
              <c:numCache>
                <c:formatCode>0</c:formatCode>
                <c:ptCount val="6"/>
                <c:pt idx="0">
                  <c:v>860.6</c:v>
                </c:pt>
                <c:pt idx="1">
                  <c:v>0</c:v>
                </c:pt>
                <c:pt idx="2">
                  <c:v>11.97</c:v>
                </c:pt>
                <c:pt idx="3">
                  <c:v>9.1199999999999992</c:v>
                </c:pt>
                <c:pt idx="4">
                  <c:v>74.760000000000005</c:v>
                </c:pt>
                <c:pt idx="5">
                  <c:v>277.41000000000003</c:v>
                </c:pt>
              </c:numCache>
            </c:numRef>
          </c:val>
          <c:extLst>
            <c:ext xmlns:c16="http://schemas.microsoft.com/office/drawing/2014/chart" uri="{C3380CC4-5D6E-409C-BE32-E72D297353CC}">
              <c16:uniqueId val="{00000012-02DA-4577-8E62-8A63AC9034F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851410409217321E-2"/>
          <c:y val="0.11929644637717154"/>
          <c:w val="0.95629717918156532"/>
          <c:h val="0.69245188157127768"/>
        </c:manualLayout>
      </c:layout>
      <c:barChart>
        <c:barDir val="col"/>
        <c:grouping val="stacked"/>
        <c:varyColors val="0"/>
        <c:ser>
          <c:idx val="0"/>
          <c:order val="0"/>
          <c:tx>
            <c:strRef>
              <c:f>Sheet1!$B$1</c:f>
              <c:strCache>
                <c:ptCount val="1"/>
                <c:pt idx="0">
                  <c:v>Non-coking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Sheet1!$B$2:$B$19</c:f>
              <c:numCache>
                <c:formatCode>0</c:formatCode>
                <c:ptCount val="18"/>
                <c:pt idx="0">
                  <c:v>759.44</c:v>
                </c:pt>
                <c:pt idx="1">
                  <c:v>777.18000000000006</c:v>
                </c:pt>
                <c:pt idx="2">
                  <c:v>777.68</c:v>
                </c:pt>
                <c:pt idx="3">
                  <c:v>852.87</c:v>
                </c:pt>
                <c:pt idx="4">
                  <c:v>924.83</c:v>
                </c:pt>
                <c:pt idx="5">
                  <c:v>842.85012774614961</c:v>
                </c:pt>
                <c:pt idx="6">
                  <c:v>837.96750861228088</c:v>
                </c:pt>
                <c:pt idx="7">
                  <c:v>920.3426686276506</c:v>
                </c:pt>
                <c:pt idx="8">
                  <c:v>1026.3152363959562</c:v>
                </c:pt>
                <c:pt idx="9">
                  <c:v>1084</c:v>
                </c:pt>
                <c:pt idx="10">
                  <c:v>1152</c:v>
                </c:pt>
                <c:pt idx="11">
                  <c:v>1186</c:v>
                </c:pt>
                <c:pt idx="12">
                  <c:v>1236</c:v>
                </c:pt>
                <c:pt idx="13">
                  <c:v>1261</c:v>
                </c:pt>
                <c:pt idx="14">
                  <c:v>1297</c:v>
                </c:pt>
                <c:pt idx="15">
                  <c:v>1359</c:v>
                </c:pt>
                <c:pt idx="17" formatCode="General">
                  <c:v>1535</c:v>
                </c:pt>
              </c:numCache>
            </c:numRef>
          </c:val>
          <c:extLst>
            <c:ext xmlns:c16="http://schemas.microsoft.com/office/drawing/2014/chart" uri="{C3380CC4-5D6E-409C-BE32-E72D297353CC}">
              <c16:uniqueId val="{00000000-72E9-4820-9D4F-2A7C22F257D6}"/>
            </c:ext>
          </c:extLst>
        </c:ser>
        <c:ser>
          <c:idx val="1"/>
          <c:order val="1"/>
          <c:tx>
            <c:strRef>
              <c:f>Sheet1!$C$1</c:f>
              <c:strCache>
                <c:ptCount val="1"/>
                <c:pt idx="0">
                  <c:v>Coking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Sheet1!$C$2:$C$19</c:f>
              <c:numCache>
                <c:formatCode>0</c:formatCode>
                <c:ptCount val="18"/>
                <c:pt idx="0">
                  <c:v>56.44</c:v>
                </c:pt>
                <c:pt idx="1">
                  <c:v>59.21</c:v>
                </c:pt>
                <c:pt idx="2">
                  <c:v>59.31</c:v>
                </c:pt>
                <c:pt idx="3">
                  <c:v>45.38</c:v>
                </c:pt>
                <c:pt idx="4">
                  <c:v>43.32</c:v>
                </c:pt>
                <c:pt idx="5">
                  <c:v>53.333760000000005</c:v>
                </c:pt>
                <c:pt idx="6">
                  <c:v>50.417240000000007</c:v>
                </c:pt>
                <c:pt idx="7">
                  <c:v>57.449800000000003</c:v>
                </c:pt>
                <c:pt idx="8">
                  <c:v>59.175640000000008</c:v>
                </c:pt>
                <c:pt idx="9">
                  <c:v>62.213450784000003</c:v>
                </c:pt>
                <c:pt idx="10">
                  <c:v>67.077094827127013</c:v>
                </c:pt>
                <c:pt idx="11">
                  <c:v>72.935483926699405</c:v>
                </c:pt>
                <c:pt idx="12">
                  <c:v>79.766113654189368</c:v>
                </c:pt>
                <c:pt idx="13">
                  <c:v>87.114067506148245</c:v>
                </c:pt>
                <c:pt idx="14">
                  <c:v>95.095112001441237</c:v>
                </c:pt>
                <c:pt idx="15">
                  <c:v>103.56728263037742</c:v>
                </c:pt>
                <c:pt idx="17">
                  <c:v>137.92070377001841</c:v>
                </c:pt>
              </c:numCache>
            </c:numRef>
          </c:val>
          <c:extLst>
            <c:ext xmlns:c16="http://schemas.microsoft.com/office/drawing/2014/chart" uri="{C3380CC4-5D6E-409C-BE32-E72D297353CC}">
              <c16:uniqueId val="{00000001-72E9-4820-9D4F-2A7C22F257D6}"/>
            </c:ext>
          </c:extLst>
        </c:ser>
        <c:dLbls>
          <c:showLegendKey val="0"/>
          <c:showVal val="1"/>
          <c:showCatName val="0"/>
          <c:showSerName val="0"/>
          <c:showPercent val="0"/>
          <c:showBubbleSize val="0"/>
        </c:dLbls>
        <c:gapWidth val="45"/>
        <c:overlap val="100"/>
        <c:axId val="1810156368"/>
        <c:axId val="1810166928"/>
      </c:barChart>
      <c:lineChart>
        <c:grouping val="standard"/>
        <c:varyColors val="0"/>
        <c:ser>
          <c:idx val="2"/>
          <c:order val="2"/>
          <c:tx>
            <c:strRef>
              <c:f>Sheet1!$D$1</c:f>
              <c:strCache>
                <c:ptCount val="1"/>
                <c:pt idx="0">
                  <c:v>Total</c:v>
                </c:pt>
              </c:strCache>
            </c:strRef>
          </c:tx>
          <c:spPr>
            <a:ln w="28575" cap="rnd">
              <a:noFill/>
              <a:round/>
            </a:ln>
            <a:effectLst/>
          </c:spPr>
          <c:marker>
            <c:symbol val="none"/>
          </c:marker>
          <c:dLbls>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Sheet1!$D$2:$D$19</c:f>
              <c:numCache>
                <c:formatCode>0</c:formatCode>
                <c:ptCount val="18"/>
                <c:pt idx="0">
                  <c:v>815.88000000000011</c:v>
                </c:pt>
                <c:pt idx="1">
                  <c:v>836.3900000000001</c:v>
                </c:pt>
                <c:pt idx="2">
                  <c:v>836.99</c:v>
                </c:pt>
                <c:pt idx="3">
                  <c:v>898.25</c:v>
                </c:pt>
                <c:pt idx="4">
                  <c:v>968.15000000000009</c:v>
                </c:pt>
                <c:pt idx="5">
                  <c:v>896.18388774614959</c:v>
                </c:pt>
                <c:pt idx="6">
                  <c:v>888.38474861228087</c:v>
                </c:pt>
                <c:pt idx="7">
                  <c:v>977.79246862765058</c:v>
                </c:pt>
                <c:pt idx="8">
                  <c:v>1085.4908763959561</c:v>
                </c:pt>
                <c:pt idx="9">
                  <c:v>1146.2134507840001</c:v>
                </c:pt>
                <c:pt idx="10">
                  <c:v>1219.077094827127</c:v>
                </c:pt>
                <c:pt idx="11">
                  <c:v>1258.9354839266994</c:v>
                </c:pt>
                <c:pt idx="12">
                  <c:v>1315.7661136541894</c:v>
                </c:pt>
                <c:pt idx="13">
                  <c:v>1348.1140675061483</c:v>
                </c:pt>
                <c:pt idx="14">
                  <c:v>1392.0951120014413</c:v>
                </c:pt>
                <c:pt idx="15">
                  <c:v>1462.5672826303773</c:v>
                </c:pt>
                <c:pt idx="17">
                  <c:v>1672.9207037700185</c:v>
                </c:pt>
              </c:numCache>
            </c:numRef>
          </c:val>
          <c:smooth val="0"/>
          <c:extLst>
            <c:ext xmlns:c16="http://schemas.microsoft.com/office/drawing/2014/chart" uri="{C3380CC4-5D6E-409C-BE32-E72D297353CC}">
              <c16:uniqueId val="{00000002-72E9-4820-9D4F-2A7C22F257D6}"/>
            </c:ext>
          </c:extLst>
        </c:ser>
        <c:dLbls>
          <c:showLegendKey val="0"/>
          <c:showVal val="1"/>
          <c:showCatName val="0"/>
          <c:showSerName val="0"/>
          <c:showPercent val="0"/>
          <c:showBubbleSize val="0"/>
        </c:dLbls>
        <c:marker val="1"/>
        <c:smooth val="0"/>
        <c:axId val="1810156368"/>
        <c:axId val="1810166928"/>
      </c:lineChart>
      <c:catAx>
        <c:axId val="181015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810166928"/>
        <c:crosses val="autoZero"/>
        <c:auto val="1"/>
        <c:lblAlgn val="ctr"/>
        <c:lblOffset val="100"/>
        <c:noMultiLvlLbl val="0"/>
      </c:catAx>
      <c:valAx>
        <c:axId val="1810166928"/>
        <c:scaling>
          <c:orientation val="minMax"/>
        </c:scaling>
        <c:delete val="1"/>
        <c:axPos val="l"/>
        <c:numFmt formatCode="0" sourceLinked="1"/>
        <c:majorTickMark val="none"/>
        <c:minorTickMark val="none"/>
        <c:tickLblPos val="nextTo"/>
        <c:crossAx val="18101563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mn-lt"/>
                <a:ea typeface="+mn-ea"/>
                <a:cs typeface="+mn-cs"/>
              </a:defRPr>
            </a:pPr>
            <a:r>
              <a:rPr lang="en-US" sz="800" b="1"/>
              <a:t>2023</a:t>
            </a:r>
          </a:p>
        </c:rich>
      </c:tx>
      <c:layout>
        <c:manualLayout>
          <c:xMode val="edge"/>
          <c:yMode val="edge"/>
          <c:x val="0.31877821918785831"/>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9908414016223812E-2"/>
          <c:y val="0.15216197646707086"/>
          <c:w val="0.54406974807907316"/>
          <c:h val="0.72411373789374034"/>
        </c:manualLayout>
      </c:layout>
      <c:pieChart>
        <c:varyColors val="1"/>
        <c:ser>
          <c:idx val="0"/>
          <c:order val="0"/>
          <c:tx>
            <c:strRef>
              <c:f>Sheet1!$B$1</c:f>
              <c:strCache>
                <c:ptCount val="1"/>
                <c:pt idx="0">
                  <c:v>FY23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87-4E02-83C6-71723AB624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7-4E02-83C6-71723AB624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87-4E02-83C6-71723AB624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87-4E02-83C6-71723AB624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87-4E02-83C6-71723AB6240E}"/>
              </c:ext>
            </c:extLst>
          </c:dPt>
          <c:dLbls>
            <c:dLbl>
              <c:idx val="4"/>
              <c:layout>
                <c:manualLayout>
                  <c:x val="8.5561497326203204E-2"/>
                  <c:y val="3.12989045383411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87-4E02-83C6-71723AB6240E}"/>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CIL</c:v>
                </c:pt>
                <c:pt idx="1">
                  <c:v>SCCL</c:v>
                </c:pt>
                <c:pt idx="2">
                  <c:v>Captive</c:v>
                </c:pt>
                <c:pt idx="3">
                  <c:v>Commercial</c:v>
                </c:pt>
                <c:pt idx="4">
                  <c:v>Others</c:v>
                </c:pt>
              </c:strCache>
            </c:strRef>
          </c:cat>
          <c:val>
            <c:numRef>
              <c:f>Sheet1!$B$2:$B$6</c:f>
              <c:numCache>
                <c:formatCode>0</c:formatCode>
                <c:ptCount val="5"/>
                <c:pt idx="0">
                  <c:v>703</c:v>
                </c:pt>
                <c:pt idx="1">
                  <c:v>67</c:v>
                </c:pt>
                <c:pt idx="2">
                  <c:v>98</c:v>
                </c:pt>
                <c:pt idx="3">
                  <c:v>7</c:v>
                </c:pt>
                <c:pt idx="4">
                  <c:v>20</c:v>
                </c:pt>
              </c:numCache>
            </c:numRef>
          </c:val>
          <c:extLst>
            <c:ext xmlns:c16="http://schemas.microsoft.com/office/drawing/2014/chart" uri="{C3380CC4-5D6E-409C-BE32-E72D297353CC}">
              <c16:uniqueId val="{0000000A-3087-4E02-83C6-71723AB6240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892975236101539"/>
          <c:y val="0.26603598555005714"/>
          <c:w val="0.30315388824131123"/>
          <c:h val="0.497625721209821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mn-lt"/>
                <a:ea typeface="+mn-ea"/>
                <a:cs typeface="+mn-cs"/>
              </a:defRPr>
            </a:pPr>
            <a:r>
              <a:rPr lang="en-US" sz="800" b="1"/>
              <a:t>2024</a:t>
            </a:r>
          </a:p>
        </c:rich>
      </c:tx>
      <c:layout>
        <c:manualLayout>
          <c:xMode val="edge"/>
          <c:yMode val="edge"/>
          <c:x val="0.40589743589743588"/>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1385590576854449"/>
          <c:y val="0.19869924710115461"/>
          <c:w val="0.58906264040112033"/>
          <c:h val="0.72643953281473106"/>
        </c:manualLayout>
      </c:layout>
      <c:pieChart>
        <c:varyColors val="1"/>
        <c:ser>
          <c:idx val="0"/>
          <c:order val="0"/>
          <c:tx>
            <c:strRef>
              <c:f>Sheet1!$B$1</c:f>
              <c:strCache>
                <c:ptCount val="1"/>
                <c:pt idx="0">
                  <c:v>FY24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DB-45BE-9914-F3EF90E74C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DB-45BE-9914-F3EF90E74C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DB-45BE-9914-F3EF90E74C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DB-45BE-9914-F3EF90E74C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1DB-45BE-9914-F3EF90E74C03}"/>
              </c:ext>
            </c:extLst>
          </c:dPt>
          <c:dLbls>
            <c:dLbl>
              <c:idx val="4"/>
              <c:layout>
                <c:manualLayout>
                  <c:x val="8.3333333333333329E-2"/>
                  <c:y val="0"/>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310897435897436"/>
                      <c:h val="9.0766823161189364E-2"/>
                    </c:manualLayout>
                  </c15:layout>
                </c:ext>
                <c:ext xmlns:c16="http://schemas.microsoft.com/office/drawing/2014/chart" uri="{C3380CC4-5D6E-409C-BE32-E72D297353CC}">
                  <c16:uniqueId val="{00000009-51DB-45BE-9914-F3EF90E74C03}"/>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CIL</c:v>
                </c:pt>
                <c:pt idx="1">
                  <c:v>SCCL</c:v>
                </c:pt>
                <c:pt idx="2">
                  <c:v>Captive</c:v>
                </c:pt>
                <c:pt idx="3">
                  <c:v>Commercial</c:v>
                </c:pt>
                <c:pt idx="4">
                  <c:v>Others</c:v>
                </c:pt>
              </c:strCache>
            </c:strRef>
          </c:cat>
          <c:val>
            <c:numRef>
              <c:f>Sheet1!$B$2:$B$6</c:f>
              <c:numCache>
                <c:formatCode>0</c:formatCode>
                <c:ptCount val="5"/>
                <c:pt idx="0">
                  <c:v>774</c:v>
                </c:pt>
                <c:pt idx="1">
                  <c:v>70</c:v>
                </c:pt>
                <c:pt idx="2">
                  <c:v>118</c:v>
                </c:pt>
                <c:pt idx="3">
                  <c:v>12</c:v>
                </c:pt>
                <c:pt idx="4">
                  <c:v>23</c:v>
                </c:pt>
              </c:numCache>
            </c:numRef>
          </c:val>
          <c:extLst>
            <c:ext xmlns:c16="http://schemas.microsoft.com/office/drawing/2014/chart" uri="{C3380CC4-5D6E-409C-BE32-E72D297353CC}">
              <c16:uniqueId val="{0000000A-51DB-45BE-9914-F3EF90E74C0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solidFill>
                <a:latin typeface="+mn-lt"/>
                <a:ea typeface="+mn-ea"/>
                <a:cs typeface="+mn-cs"/>
              </a:defRPr>
            </a:pPr>
            <a:r>
              <a:rPr lang="en-US" sz="800" b="1"/>
              <a:t>2025</a:t>
            </a:r>
          </a:p>
        </c:rich>
      </c:tx>
      <c:layout>
        <c:manualLayout>
          <c:xMode val="edge"/>
          <c:yMode val="edge"/>
          <c:x val="0.42168004941321796"/>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9491721532207693"/>
          <c:y val="0.17905138214779848"/>
          <c:w val="0.59488496155145754"/>
          <c:h val="0.73577247355540143"/>
        </c:manualLayout>
      </c:layout>
      <c:pieChart>
        <c:varyColors val="1"/>
        <c:ser>
          <c:idx val="0"/>
          <c:order val="0"/>
          <c:tx>
            <c:strRef>
              <c:f>Sheet1!$B$1</c:f>
              <c:strCache>
                <c:ptCount val="1"/>
                <c:pt idx="0">
                  <c:v>FY24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DB-480E-8BF5-60E5B22FEE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DB-480E-8BF5-60E5B22FEE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DB-480E-8BF5-60E5B22FEE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DB-480E-8BF5-60E5B22FEED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5DB-480E-8BF5-60E5B22FEED7}"/>
              </c:ext>
            </c:extLst>
          </c:dPt>
          <c:dLbls>
            <c:dLbl>
              <c:idx val="4"/>
              <c:layout>
                <c:manualLayout>
                  <c:x val="8.0296479308214944E-2"/>
                  <c:y val="-1.4345165530163373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5DB-480E-8BF5-60E5B22FEED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CIL</c:v>
                </c:pt>
                <c:pt idx="1">
                  <c:v>SCCL</c:v>
                </c:pt>
                <c:pt idx="2">
                  <c:v>Captive*</c:v>
                </c:pt>
                <c:pt idx="3">
                  <c:v>Commercial</c:v>
                </c:pt>
                <c:pt idx="4">
                  <c:v>Others*</c:v>
                </c:pt>
              </c:strCache>
            </c:strRef>
          </c:cat>
          <c:val>
            <c:numRef>
              <c:f>Sheet1!$B$2:$B$6</c:f>
              <c:numCache>
                <c:formatCode>0</c:formatCode>
                <c:ptCount val="5"/>
                <c:pt idx="0">
                  <c:v>781</c:v>
                </c:pt>
                <c:pt idx="1">
                  <c:v>69</c:v>
                </c:pt>
                <c:pt idx="2">
                  <c:v>147</c:v>
                </c:pt>
                <c:pt idx="3">
                  <c:v>22</c:v>
                </c:pt>
                <c:pt idx="4">
                  <c:v>29</c:v>
                </c:pt>
              </c:numCache>
            </c:numRef>
          </c:val>
          <c:extLst>
            <c:ext xmlns:c16="http://schemas.microsoft.com/office/drawing/2014/chart" uri="{C3380CC4-5D6E-409C-BE32-E72D297353CC}">
              <c16:uniqueId val="{0000000A-C5DB-480E-8BF5-60E5B22FEED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4285090375848769"/>
          <c:w val="1"/>
          <c:h val="0.66446398058684553"/>
        </c:manualLayout>
      </c:layout>
      <c:barChart>
        <c:barDir val="col"/>
        <c:grouping val="stacked"/>
        <c:varyColors val="0"/>
        <c:ser>
          <c:idx val="0"/>
          <c:order val="0"/>
          <c:tx>
            <c:strRef>
              <c:f>Sheet1!$O$1</c:f>
              <c:strCache>
                <c:ptCount val="1"/>
                <c:pt idx="0">
                  <c:v>CIL</c:v>
                </c:pt>
              </c:strCache>
            </c:strRef>
          </c:tx>
          <c:spPr>
            <a:solidFill>
              <a:schemeClr val="accent1"/>
            </a:solidFill>
            <a:ln>
              <a:noFill/>
            </a:ln>
            <a:effectLst/>
          </c:spPr>
          <c:invertIfNegative val="0"/>
          <c:dPt>
            <c:idx val="3"/>
            <c:invertIfNegative val="0"/>
            <c:bubble3D val="0"/>
            <c:spPr>
              <a:solidFill>
                <a:schemeClr val="accent1"/>
              </a:solidFill>
              <a:ln>
                <a:noFill/>
              </a:ln>
              <a:effectLst/>
            </c:spPr>
            <c:extLst>
              <c:ext xmlns:c16="http://schemas.microsoft.com/office/drawing/2014/chart" uri="{C3380CC4-5D6E-409C-BE32-E72D297353CC}">
                <c16:uniqueId val="{00000001-956F-4E75-9ADF-10B20A3143D0}"/>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3-956F-4E75-9ADF-10B20A3143D0}"/>
              </c:ext>
            </c:extLst>
          </c:dPt>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Sheet1!$N$2:$N$19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Sheet1!$O$2:$O$19</c:f>
              <c:numCache>
                <c:formatCode>0</c:formatCode>
                <c:ptCount val="18"/>
                <c:pt idx="0">
                  <c:v>475</c:v>
                </c:pt>
                <c:pt idx="1">
                  <c:v>516</c:v>
                </c:pt>
                <c:pt idx="2">
                  <c:v>531</c:v>
                </c:pt>
                <c:pt idx="3">
                  <c:v>544</c:v>
                </c:pt>
                <c:pt idx="4">
                  <c:v>584</c:v>
                </c:pt>
                <c:pt idx="5">
                  <c:v>580</c:v>
                </c:pt>
                <c:pt idx="6">
                  <c:v>572</c:v>
                </c:pt>
                <c:pt idx="7">
                  <c:v>592</c:v>
                </c:pt>
                <c:pt idx="8">
                  <c:v>667</c:v>
                </c:pt>
                <c:pt idx="9">
                  <c:v>732</c:v>
                </c:pt>
                <c:pt idx="10">
                  <c:v>780</c:v>
                </c:pt>
                <c:pt idx="11">
                  <c:v>797</c:v>
                </c:pt>
                <c:pt idx="12">
                  <c:v>818</c:v>
                </c:pt>
                <c:pt idx="13">
                  <c:v>877</c:v>
                </c:pt>
                <c:pt idx="14">
                  <c:v>954</c:v>
                </c:pt>
                <c:pt idx="15">
                  <c:v>1000</c:v>
                </c:pt>
                <c:pt idx="17">
                  <c:v>1230</c:v>
                </c:pt>
              </c:numCache>
            </c:numRef>
          </c:val>
          <c:extLst>
            <c:ext xmlns:c16="http://schemas.microsoft.com/office/drawing/2014/chart" uri="{C3380CC4-5D6E-409C-BE32-E72D297353CC}">
              <c16:uniqueId val="{00000004-956F-4E75-9ADF-10B20A3143D0}"/>
            </c:ext>
          </c:extLst>
        </c:ser>
        <c:ser>
          <c:idx val="1"/>
          <c:order val="1"/>
          <c:tx>
            <c:strRef>
              <c:f>Sheet1!$P$1</c:f>
              <c:strCache>
                <c:ptCount val="1"/>
                <c:pt idx="0">
                  <c:v>SCCL</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Sheet1!$N$2:$N$19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Sheet1!$P$2:$P$19</c:f>
              <c:numCache>
                <c:formatCode>0</c:formatCode>
                <c:ptCount val="18"/>
                <c:pt idx="0">
                  <c:v>49</c:v>
                </c:pt>
                <c:pt idx="1">
                  <c:v>56</c:v>
                </c:pt>
                <c:pt idx="2">
                  <c:v>57</c:v>
                </c:pt>
                <c:pt idx="3">
                  <c:v>58</c:v>
                </c:pt>
                <c:pt idx="4">
                  <c:v>60</c:v>
                </c:pt>
                <c:pt idx="5">
                  <c:v>60</c:v>
                </c:pt>
                <c:pt idx="6">
                  <c:v>47</c:v>
                </c:pt>
                <c:pt idx="7">
                  <c:v>61</c:v>
                </c:pt>
                <c:pt idx="8">
                  <c:v>63</c:v>
                </c:pt>
                <c:pt idx="9">
                  <c:v>65</c:v>
                </c:pt>
                <c:pt idx="10">
                  <c:v>63</c:v>
                </c:pt>
                <c:pt idx="11">
                  <c:v>63</c:v>
                </c:pt>
                <c:pt idx="12">
                  <c:v>63</c:v>
                </c:pt>
                <c:pt idx="13">
                  <c:v>69</c:v>
                </c:pt>
                <c:pt idx="14">
                  <c:v>73</c:v>
                </c:pt>
                <c:pt idx="15">
                  <c:v>77</c:v>
                </c:pt>
                <c:pt idx="17">
                  <c:v>89</c:v>
                </c:pt>
              </c:numCache>
            </c:numRef>
          </c:val>
          <c:extLst>
            <c:ext xmlns:c16="http://schemas.microsoft.com/office/drawing/2014/chart" uri="{C3380CC4-5D6E-409C-BE32-E72D297353CC}">
              <c16:uniqueId val="{00000005-956F-4E75-9ADF-10B20A3143D0}"/>
            </c:ext>
          </c:extLst>
        </c:ser>
        <c:ser>
          <c:idx val="2"/>
          <c:order val="2"/>
          <c:tx>
            <c:strRef>
              <c:f>Sheet1!$Q$1</c:f>
              <c:strCache>
                <c:ptCount val="1"/>
                <c:pt idx="0">
                  <c:v>Captive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956F-4E75-9ADF-10B20A3143D0}"/>
                </c:ext>
              </c:extLst>
            </c:dLbl>
            <c:dLbl>
              <c:idx val="1"/>
              <c:layout>
                <c:manualLayout>
                  <c:x val="0"/>
                  <c:y val="-8.5197018104367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6F-4E75-9ADF-10B20A3143D0}"/>
                </c:ext>
              </c:extLst>
            </c:dLbl>
            <c:dLbl>
              <c:idx val="2"/>
              <c:layout>
                <c:manualLayout>
                  <c:x val="-1.8269179419580257E-17"/>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6F-4E75-9ADF-10B20A3143D0}"/>
                </c:ext>
              </c:extLst>
            </c:dLbl>
            <c:dLbl>
              <c:idx val="3"/>
              <c:layout>
                <c:manualLayout>
                  <c:x val="0"/>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6F-4E75-9ADF-10B20A3143D0}"/>
                </c:ext>
              </c:extLst>
            </c:dLbl>
            <c:dLbl>
              <c:idx val="4"/>
              <c:layout>
                <c:manualLayout>
                  <c:x val="-3.6538358839160515E-17"/>
                  <c:y val="-4.25985090521839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6F-4E75-9ADF-10B20A3143D0}"/>
                </c:ext>
              </c:extLst>
            </c:dLbl>
            <c:dLbl>
              <c:idx val="5"/>
              <c:layout>
                <c:manualLayout>
                  <c:x val="3.6538358839160515E-17"/>
                  <c:y val="-8.51970181043663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6F-4E75-9ADF-10B20A3143D0}"/>
                </c:ext>
              </c:extLst>
            </c:dLbl>
            <c:dLbl>
              <c:idx val="6"/>
              <c:layout>
                <c:manualLayout>
                  <c:x val="0"/>
                  <c:y val="-8.51970181043671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6F-4E75-9ADF-10B20A3143D0}"/>
                </c:ext>
              </c:extLst>
            </c:dLbl>
            <c:dLbl>
              <c:idx val="7"/>
              <c:layout>
                <c:manualLayout>
                  <c:x val="-7.307671767832103E-17"/>
                  <c:y val="-4.2598509052183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6F-4E75-9ADF-10B20A3143D0}"/>
                </c:ext>
              </c:extLst>
            </c:dLbl>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Sheet1!$N$2:$N$19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Sheet1!$Q$2:$Q$19</c:f>
              <c:numCache>
                <c:formatCode>0</c:formatCode>
                <c:ptCount val="18"/>
                <c:pt idx="0">
                  <c:v>0</c:v>
                </c:pt>
                <c:pt idx="1">
                  <c:v>29</c:v>
                </c:pt>
                <c:pt idx="2">
                  <c:v>34</c:v>
                </c:pt>
                <c:pt idx="3">
                  <c:v>35</c:v>
                </c:pt>
                <c:pt idx="4">
                  <c:v>44</c:v>
                </c:pt>
                <c:pt idx="5">
                  <c:v>47</c:v>
                </c:pt>
                <c:pt idx="6">
                  <c:v>54</c:v>
                </c:pt>
                <c:pt idx="7">
                  <c:v>71</c:v>
                </c:pt>
                <c:pt idx="8">
                  <c:v>91</c:v>
                </c:pt>
                <c:pt idx="9">
                  <c:v>111</c:v>
                </c:pt>
                <c:pt idx="10">
                  <c:v>122</c:v>
                </c:pt>
                <c:pt idx="11">
                  <c:v>131</c:v>
                </c:pt>
                <c:pt idx="12">
                  <c:v>141</c:v>
                </c:pt>
                <c:pt idx="13">
                  <c:v>155</c:v>
                </c:pt>
                <c:pt idx="14">
                  <c:v>165</c:v>
                </c:pt>
                <c:pt idx="15">
                  <c:v>176</c:v>
                </c:pt>
                <c:pt idx="17">
                  <c:v>188</c:v>
                </c:pt>
              </c:numCache>
            </c:numRef>
          </c:val>
          <c:extLst>
            <c:ext xmlns:c16="http://schemas.microsoft.com/office/drawing/2014/chart" uri="{C3380CC4-5D6E-409C-BE32-E72D297353CC}">
              <c16:uniqueId val="{0000000E-956F-4E75-9ADF-10B20A3143D0}"/>
            </c:ext>
          </c:extLst>
        </c:ser>
        <c:ser>
          <c:idx val="3"/>
          <c:order val="3"/>
          <c:tx>
            <c:strRef>
              <c:f>Sheet1!$R$1</c:f>
              <c:strCache>
                <c:ptCount val="1"/>
                <c:pt idx="0">
                  <c:v>Commercial</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956F-4E75-9ADF-10B20A3143D0}"/>
                </c:ext>
              </c:extLst>
            </c:dLbl>
            <c:dLbl>
              <c:idx val="1"/>
              <c:delete val="1"/>
              <c:extLst>
                <c:ext xmlns:c15="http://schemas.microsoft.com/office/drawing/2012/chart" uri="{CE6537A1-D6FC-4f65-9D91-7224C49458BB}"/>
                <c:ext xmlns:c16="http://schemas.microsoft.com/office/drawing/2014/chart" uri="{C3380CC4-5D6E-409C-BE32-E72D297353CC}">
                  <c16:uniqueId val="{00000010-956F-4E75-9ADF-10B20A3143D0}"/>
                </c:ext>
              </c:extLst>
            </c:dLbl>
            <c:dLbl>
              <c:idx val="2"/>
              <c:delete val="1"/>
              <c:extLst>
                <c:ext xmlns:c15="http://schemas.microsoft.com/office/drawing/2012/chart" uri="{CE6537A1-D6FC-4f65-9D91-7224C49458BB}"/>
                <c:ext xmlns:c16="http://schemas.microsoft.com/office/drawing/2014/chart" uri="{C3380CC4-5D6E-409C-BE32-E72D297353CC}">
                  <c16:uniqueId val="{00000011-956F-4E75-9ADF-10B20A3143D0}"/>
                </c:ext>
              </c:extLst>
            </c:dLbl>
            <c:dLbl>
              <c:idx val="3"/>
              <c:delete val="1"/>
              <c:extLst>
                <c:ext xmlns:c15="http://schemas.microsoft.com/office/drawing/2012/chart" uri="{CE6537A1-D6FC-4f65-9D91-7224C49458BB}"/>
                <c:ext xmlns:c16="http://schemas.microsoft.com/office/drawing/2014/chart" uri="{C3380CC4-5D6E-409C-BE32-E72D297353CC}">
                  <c16:uniqueId val="{00000012-956F-4E75-9ADF-10B20A3143D0}"/>
                </c:ext>
              </c:extLst>
            </c:dLbl>
            <c:dLbl>
              <c:idx val="4"/>
              <c:delete val="1"/>
              <c:extLst>
                <c:ext xmlns:c15="http://schemas.microsoft.com/office/drawing/2012/chart" uri="{CE6537A1-D6FC-4f65-9D91-7224C49458BB}"/>
                <c:ext xmlns:c16="http://schemas.microsoft.com/office/drawing/2014/chart" uri="{C3380CC4-5D6E-409C-BE32-E72D297353CC}">
                  <c16:uniqueId val="{00000013-956F-4E75-9ADF-10B20A3143D0}"/>
                </c:ext>
              </c:extLst>
            </c:dLbl>
            <c:dLbl>
              <c:idx val="5"/>
              <c:delete val="1"/>
              <c:extLst>
                <c:ext xmlns:c15="http://schemas.microsoft.com/office/drawing/2012/chart" uri="{CE6537A1-D6FC-4f65-9D91-7224C49458BB}"/>
                <c:ext xmlns:c16="http://schemas.microsoft.com/office/drawing/2014/chart" uri="{C3380CC4-5D6E-409C-BE32-E72D297353CC}">
                  <c16:uniqueId val="{00000014-956F-4E75-9ADF-10B20A3143D0}"/>
                </c:ext>
              </c:extLst>
            </c:dLbl>
            <c:dLbl>
              <c:idx val="6"/>
              <c:delete val="1"/>
              <c:extLst>
                <c:ext xmlns:c15="http://schemas.microsoft.com/office/drawing/2012/chart" uri="{CE6537A1-D6FC-4f65-9D91-7224C49458BB}"/>
                <c:ext xmlns:c16="http://schemas.microsoft.com/office/drawing/2014/chart" uri="{C3380CC4-5D6E-409C-BE32-E72D297353CC}">
                  <c16:uniqueId val="{00000015-956F-4E75-9ADF-10B20A3143D0}"/>
                </c:ext>
              </c:extLst>
            </c:dLbl>
            <c:dLbl>
              <c:idx val="7"/>
              <c:delete val="1"/>
              <c:extLst>
                <c:ext xmlns:c15="http://schemas.microsoft.com/office/drawing/2012/chart" uri="{CE6537A1-D6FC-4f65-9D91-7224C49458BB}"/>
                <c:ext xmlns:c16="http://schemas.microsoft.com/office/drawing/2014/chart" uri="{C3380CC4-5D6E-409C-BE32-E72D297353CC}">
                  <c16:uniqueId val="{00000016-956F-4E75-9ADF-10B20A3143D0}"/>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Sheet1!$N$2:$N$19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Sheet1!$R$2:$R$19</c:f>
              <c:numCache>
                <c:formatCode>General</c:formatCode>
                <c:ptCount val="18"/>
                <c:pt idx="0">
                  <c:v>0</c:v>
                </c:pt>
                <c:pt idx="1">
                  <c:v>0</c:v>
                </c:pt>
                <c:pt idx="2">
                  <c:v>0</c:v>
                </c:pt>
                <c:pt idx="3">
                  <c:v>0</c:v>
                </c:pt>
                <c:pt idx="4">
                  <c:v>0</c:v>
                </c:pt>
                <c:pt idx="5" formatCode="0">
                  <c:v>0</c:v>
                </c:pt>
                <c:pt idx="6" formatCode="0">
                  <c:v>0</c:v>
                </c:pt>
                <c:pt idx="7" formatCode="0">
                  <c:v>0</c:v>
                </c:pt>
                <c:pt idx="8" formatCode="0">
                  <c:v>6</c:v>
                </c:pt>
                <c:pt idx="9" formatCode="0">
                  <c:v>11</c:v>
                </c:pt>
                <c:pt idx="10" formatCode="0">
                  <c:v>22</c:v>
                </c:pt>
                <c:pt idx="11" formatCode="0">
                  <c:v>32</c:v>
                </c:pt>
                <c:pt idx="12" formatCode="0">
                  <c:v>52</c:v>
                </c:pt>
                <c:pt idx="13" formatCode="0">
                  <c:v>66</c:v>
                </c:pt>
                <c:pt idx="14" formatCode="0">
                  <c:v>80</c:v>
                </c:pt>
                <c:pt idx="15" formatCode="0">
                  <c:v>103</c:v>
                </c:pt>
                <c:pt idx="17" formatCode="0">
                  <c:v>224</c:v>
                </c:pt>
              </c:numCache>
            </c:numRef>
          </c:val>
          <c:extLst>
            <c:ext xmlns:c16="http://schemas.microsoft.com/office/drawing/2014/chart" uri="{C3380CC4-5D6E-409C-BE32-E72D297353CC}">
              <c16:uniqueId val="{00000017-956F-4E75-9ADF-10B20A3143D0}"/>
            </c:ext>
          </c:extLst>
        </c:ser>
        <c:ser>
          <c:idx val="4"/>
          <c:order val="4"/>
          <c:tx>
            <c:strRef>
              <c:f>Sheet1!$S$1</c:f>
              <c:strCache>
                <c:ptCount val="1"/>
                <c:pt idx="0">
                  <c:v>Others</c:v>
                </c:pt>
              </c:strCache>
            </c:strRef>
          </c:tx>
          <c:spPr>
            <a:solidFill>
              <a:schemeClr val="accent5"/>
            </a:solidFill>
            <a:ln>
              <a:noFill/>
            </a:ln>
            <a:effectLst/>
          </c:spPr>
          <c:invertIfNegative val="0"/>
          <c:cat>
            <c:strRef>
              <c:f>Sheet1!$N$2:$N$19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Sheet1!$S$2:$S$19</c:f>
              <c:numCache>
                <c:formatCode>0</c:formatCode>
                <c:ptCount val="18"/>
                <c:pt idx="0">
                  <c:v>10</c:v>
                </c:pt>
                <c:pt idx="1">
                  <c:v>11</c:v>
                </c:pt>
                <c:pt idx="2">
                  <c:v>10</c:v>
                </c:pt>
                <c:pt idx="3">
                  <c:v>12</c:v>
                </c:pt>
                <c:pt idx="4">
                  <c:v>15</c:v>
                </c:pt>
                <c:pt idx="5">
                  <c:v>16</c:v>
                </c:pt>
                <c:pt idx="6">
                  <c:v>13</c:v>
                </c:pt>
                <c:pt idx="7">
                  <c:v>13</c:v>
                </c:pt>
                <c:pt idx="8">
                  <c:v>20</c:v>
                </c:pt>
                <c:pt idx="9">
                  <c:v>23</c:v>
                </c:pt>
                <c:pt idx="10">
                  <c:v>26</c:v>
                </c:pt>
                <c:pt idx="11">
                  <c:v>28</c:v>
                </c:pt>
                <c:pt idx="12">
                  <c:v>29</c:v>
                </c:pt>
                <c:pt idx="13">
                  <c:v>30</c:v>
                </c:pt>
                <c:pt idx="14">
                  <c:v>31</c:v>
                </c:pt>
                <c:pt idx="15">
                  <c:v>31</c:v>
                </c:pt>
                <c:pt idx="17">
                  <c:v>31</c:v>
                </c:pt>
              </c:numCache>
            </c:numRef>
          </c:val>
          <c:extLst>
            <c:ext xmlns:c16="http://schemas.microsoft.com/office/drawing/2014/chart" uri="{C3380CC4-5D6E-409C-BE32-E72D297353CC}">
              <c16:uniqueId val="{00000018-956F-4E75-9ADF-10B20A3143D0}"/>
            </c:ext>
          </c:extLst>
        </c:ser>
        <c:dLbls>
          <c:showLegendKey val="0"/>
          <c:showVal val="0"/>
          <c:showCatName val="0"/>
          <c:showSerName val="0"/>
          <c:showPercent val="0"/>
          <c:showBubbleSize val="0"/>
        </c:dLbls>
        <c:gapWidth val="100"/>
        <c:overlap val="100"/>
        <c:axId val="-1989585760"/>
        <c:axId val="-1989584672"/>
      </c:barChart>
      <c:lineChart>
        <c:grouping val="standard"/>
        <c:varyColors val="0"/>
        <c:ser>
          <c:idx val="5"/>
          <c:order val="5"/>
          <c:tx>
            <c:strRef>
              <c:f>Sheet1!$T$1</c:f>
              <c:strCache>
                <c:ptCount val="1"/>
                <c:pt idx="0">
                  <c:v>All India</c:v>
                </c:pt>
              </c:strCache>
            </c:strRef>
          </c:tx>
          <c:spPr>
            <a:ln w="19050" cap="rnd" cmpd="sng" algn="ctr">
              <a:noFill/>
              <a:prstDash val="solid"/>
              <a:round/>
            </a:ln>
            <a:effectLst/>
          </c:spPr>
          <c:marker>
            <c:symbol val="none"/>
          </c:marker>
          <c:dLbls>
            <c:spPr>
              <a:noFill/>
              <a:ln>
                <a:solidFill>
                  <a:schemeClr val="tx1">
                    <a:lumMod val="50000"/>
                  </a:schemeClr>
                </a:solid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Sheet1!$N$2:$N$19</c:f>
              <c:strCache>
                <c:ptCount val="18"/>
                <c:pt idx="0">
                  <c:v>2015</c:v>
                </c:pt>
                <c:pt idx="1">
                  <c:v>2016</c:v>
                </c:pt>
                <c:pt idx="2">
                  <c:v>2017</c:v>
                </c:pt>
                <c:pt idx="3">
                  <c:v>2018</c:v>
                </c:pt>
                <c:pt idx="4">
                  <c:v>2019</c:v>
                </c:pt>
                <c:pt idx="5">
                  <c:v>2020</c:v>
                </c:pt>
                <c:pt idx="6">
                  <c:v>2021</c:v>
                </c:pt>
                <c:pt idx="7">
                  <c:v>2022</c:v>
                </c:pt>
                <c:pt idx="8">
                  <c:v>2023</c:v>
                </c:pt>
                <c:pt idx="9">
                  <c:v>2024</c:v>
                </c:pt>
                <c:pt idx="10">
                  <c:v>2025P</c:v>
                </c:pt>
                <c:pt idx="11">
                  <c:v>2026P</c:v>
                </c:pt>
                <c:pt idx="12">
                  <c:v>2027P</c:v>
                </c:pt>
                <c:pt idx="13">
                  <c:v>2028P</c:v>
                </c:pt>
                <c:pt idx="14">
                  <c:v>2029P</c:v>
                </c:pt>
                <c:pt idx="15">
                  <c:v>2030P</c:v>
                </c:pt>
                <c:pt idx="17">
                  <c:v>2035P</c:v>
                </c:pt>
              </c:strCache>
            </c:strRef>
          </c:cat>
          <c:val>
            <c:numRef>
              <c:f>Sheet1!$T$2:$T$19</c:f>
              <c:numCache>
                <c:formatCode>0</c:formatCode>
                <c:ptCount val="18"/>
                <c:pt idx="0">
                  <c:v>534</c:v>
                </c:pt>
                <c:pt idx="1">
                  <c:v>612</c:v>
                </c:pt>
                <c:pt idx="2">
                  <c:v>632</c:v>
                </c:pt>
                <c:pt idx="3">
                  <c:v>649</c:v>
                </c:pt>
                <c:pt idx="4">
                  <c:v>702</c:v>
                </c:pt>
                <c:pt idx="5">
                  <c:v>703</c:v>
                </c:pt>
                <c:pt idx="6">
                  <c:v>686</c:v>
                </c:pt>
                <c:pt idx="7">
                  <c:v>737</c:v>
                </c:pt>
                <c:pt idx="8">
                  <c:v>846</c:v>
                </c:pt>
                <c:pt idx="9">
                  <c:v>943</c:v>
                </c:pt>
                <c:pt idx="10">
                  <c:v>1013</c:v>
                </c:pt>
                <c:pt idx="11">
                  <c:v>1051</c:v>
                </c:pt>
                <c:pt idx="12">
                  <c:v>1104</c:v>
                </c:pt>
                <c:pt idx="13">
                  <c:v>1198</c:v>
                </c:pt>
                <c:pt idx="14">
                  <c:v>1302</c:v>
                </c:pt>
                <c:pt idx="15">
                  <c:v>1387</c:v>
                </c:pt>
                <c:pt idx="17">
                  <c:v>1763</c:v>
                </c:pt>
              </c:numCache>
            </c:numRef>
          </c:val>
          <c:smooth val="0"/>
          <c:extLst>
            <c:ext xmlns:c16="http://schemas.microsoft.com/office/drawing/2014/chart" uri="{C3380CC4-5D6E-409C-BE32-E72D297353CC}">
              <c16:uniqueId val="{00000019-956F-4E75-9ADF-10B20A3143D0}"/>
            </c:ext>
          </c:extLst>
        </c:ser>
        <c:dLbls>
          <c:showLegendKey val="0"/>
          <c:showVal val="0"/>
          <c:showCatName val="0"/>
          <c:showSerName val="0"/>
          <c:showPercent val="0"/>
          <c:showBubbleSize val="0"/>
        </c:dLbls>
        <c:marker val="1"/>
        <c:smooth val="0"/>
        <c:axId val="-1989585760"/>
        <c:axId val="-1989584672"/>
      </c:lineChart>
      <c:catAx>
        <c:axId val="-1989585760"/>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89584672"/>
        <c:crosses val="autoZero"/>
        <c:auto val="1"/>
        <c:lblAlgn val="ctr"/>
        <c:lblOffset val="100"/>
        <c:noMultiLvlLbl val="0"/>
      </c:catAx>
      <c:valAx>
        <c:axId val="-1989584672"/>
        <c:scaling>
          <c:orientation val="minMax"/>
          <c:max val="2000"/>
        </c:scaling>
        <c:delete val="1"/>
        <c:axPos val="l"/>
        <c:numFmt formatCode="0" sourceLinked="1"/>
        <c:majorTickMark val="out"/>
        <c:minorTickMark val="none"/>
        <c:tickLblPos val="nextTo"/>
        <c:crossAx val="-1989585760"/>
        <c:crosses val="autoZero"/>
        <c:crossBetween val="between"/>
      </c:valAx>
      <c:spPr>
        <a:noFill/>
        <a:ln w="25360">
          <a:noFill/>
        </a:ln>
        <a:effectLst/>
      </c:spPr>
    </c:plotArea>
    <c:legend>
      <c:legendPos val="b"/>
      <c:legendEntry>
        <c:idx val="5"/>
        <c:delete val="1"/>
      </c:legendEntry>
      <c:layout>
        <c:manualLayout>
          <c:xMode val="edge"/>
          <c:yMode val="edge"/>
          <c:x val="0.21919156966365752"/>
          <c:y val="0.93670822397200337"/>
          <c:w val="0.54965855725433421"/>
          <c:h val="6.32917760279965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NMET expenditure in million rupees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2018</c:v>
                </c:pt>
                <c:pt idx="1">
                  <c:v>2019</c:v>
                </c:pt>
                <c:pt idx="2">
                  <c:v>2020</c:v>
                </c:pt>
                <c:pt idx="3">
                  <c:v>2021</c:v>
                </c:pt>
                <c:pt idx="4">
                  <c:v>2022</c:v>
                </c:pt>
                <c:pt idx="5">
                  <c:v>2023</c:v>
                </c:pt>
                <c:pt idx="6">
                  <c:v>2024</c:v>
                </c:pt>
                <c:pt idx="7">
                  <c:v>2025*</c:v>
                </c:pt>
              </c:strCache>
            </c:strRef>
          </c:cat>
          <c:val>
            <c:numRef>
              <c:f>Sheet1!$B$2:$I$2</c:f>
              <c:numCache>
                <c:formatCode>0</c:formatCode>
                <c:ptCount val="8"/>
                <c:pt idx="0">
                  <c:v>799.5</c:v>
                </c:pt>
                <c:pt idx="1">
                  <c:v>884</c:v>
                </c:pt>
                <c:pt idx="2">
                  <c:v>683.1</c:v>
                </c:pt>
                <c:pt idx="3">
                  <c:v>831.3</c:v>
                </c:pt>
                <c:pt idx="4">
                  <c:v>1247.0999999999999</c:v>
                </c:pt>
                <c:pt idx="5">
                  <c:v>1598.7</c:v>
                </c:pt>
                <c:pt idx="6">
                  <c:v>2962.7</c:v>
                </c:pt>
                <c:pt idx="7">
                  <c:v>4532.5</c:v>
                </c:pt>
              </c:numCache>
            </c:numRef>
          </c:val>
          <c:extLst>
            <c:ext xmlns:c16="http://schemas.microsoft.com/office/drawing/2014/chart" uri="{C3380CC4-5D6E-409C-BE32-E72D297353CC}">
              <c16:uniqueId val="{00000000-FED2-4D14-85C3-A302A2BED064}"/>
            </c:ext>
          </c:extLst>
        </c:ser>
        <c:dLbls>
          <c:showLegendKey val="0"/>
          <c:showVal val="1"/>
          <c:showCatName val="0"/>
          <c:showSerName val="0"/>
          <c:showPercent val="0"/>
          <c:showBubbleSize val="0"/>
        </c:dLbls>
        <c:gapWidth val="150"/>
        <c:axId val="1313644320"/>
        <c:axId val="1313647680"/>
      </c:bar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647680"/>
        <c:crosses val="autoZero"/>
        <c:auto val="1"/>
        <c:lblAlgn val="ctr"/>
        <c:lblOffset val="100"/>
        <c:noMultiLvlLbl val="0"/>
      </c:catAx>
      <c:valAx>
        <c:axId val="131364768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131364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MECL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2021</c:v>
                </c:pt>
                <c:pt idx="1">
                  <c:v>2022</c:v>
                </c:pt>
                <c:pt idx="2">
                  <c:v>2023</c:v>
                </c:pt>
                <c:pt idx="3">
                  <c:v>2024</c:v>
                </c:pt>
                <c:pt idx="4">
                  <c:v>2025</c:v>
                </c:pt>
              </c:strCache>
            </c:strRef>
          </c:cat>
          <c:val>
            <c:numRef>
              <c:f>Sheet1!$C$2:$G$2</c:f>
              <c:numCache>
                <c:formatCode>0</c:formatCode>
                <c:ptCount val="5"/>
                <c:pt idx="0">
                  <c:v>517.54020000000003</c:v>
                </c:pt>
                <c:pt idx="1">
                  <c:v>315.16289999999998</c:v>
                </c:pt>
                <c:pt idx="2">
                  <c:v>217.38919999999999</c:v>
                </c:pt>
                <c:pt idx="3">
                  <c:v>1462.61</c:v>
                </c:pt>
                <c:pt idx="4">
                  <c:v>1453.8520000000001</c:v>
                </c:pt>
              </c:numCache>
            </c:numRef>
          </c:val>
          <c:extLst>
            <c:ext xmlns:c16="http://schemas.microsoft.com/office/drawing/2014/chart" uri="{C3380CC4-5D6E-409C-BE32-E72D297353CC}">
              <c16:uniqueId val="{00000000-D761-4FDE-B6A2-EDEF059AC74B}"/>
            </c:ext>
          </c:extLst>
        </c:ser>
        <c:ser>
          <c:idx val="1"/>
          <c:order val="1"/>
          <c:tx>
            <c:strRef>
              <c:f>Sheet1!$A$3</c:f>
              <c:strCache>
                <c:ptCount val="1"/>
                <c:pt idx="0">
                  <c:v>CMPDI</c:v>
                </c:pt>
              </c:strCache>
            </c:strRef>
          </c:tx>
          <c:spPr>
            <a:solidFill>
              <a:srgbClr val="54BA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5"/>
                <c:pt idx="0">
                  <c:v>2021</c:v>
                </c:pt>
                <c:pt idx="1">
                  <c:v>2022</c:v>
                </c:pt>
                <c:pt idx="2">
                  <c:v>2023</c:v>
                </c:pt>
                <c:pt idx="3">
                  <c:v>2024</c:v>
                </c:pt>
                <c:pt idx="4">
                  <c:v>2025</c:v>
                </c:pt>
              </c:strCache>
            </c:strRef>
          </c:cat>
          <c:val>
            <c:numRef>
              <c:f>Sheet1!$C$3:$G$3</c:f>
              <c:numCache>
                <c:formatCode>0</c:formatCode>
                <c:ptCount val="5"/>
                <c:pt idx="0">
                  <c:v>51.198999999999998</c:v>
                </c:pt>
                <c:pt idx="1">
                  <c:v>99.521000000000001</c:v>
                </c:pt>
                <c:pt idx="2">
                  <c:v>633.56100000000004</c:v>
                </c:pt>
                <c:pt idx="3">
                  <c:v>16.148</c:v>
                </c:pt>
                <c:pt idx="4">
                  <c:v>0</c:v>
                </c:pt>
              </c:numCache>
            </c:numRef>
          </c:val>
          <c:extLst>
            <c:ext xmlns:c16="http://schemas.microsoft.com/office/drawing/2014/chart" uri="{C3380CC4-5D6E-409C-BE32-E72D297353CC}">
              <c16:uniqueId val="{00000001-D761-4FDE-B6A2-EDEF059AC74B}"/>
            </c:ext>
          </c:extLst>
        </c:ser>
        <c:dLbls>
          <c:showLegendKey val="0"/>
          <c:showVal val="1"/>
          <c:showCatName val="0"/>
          <c:showSerName val="0"/>
          <c:showPercent val="0"/>
          <c:showBubbleSize val="0"/>
        </c:dLbls>
        <c:gapWidth val="150"/>
        <c:axId val="1313644320"/>
        <c:axId val="1313647680"/>
      </c:bar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647680"/>
        <c:crosses val="autoZero"/>
        <c:auto val="1"/>
        <c:lblAlgn val="ctr"/>
        <c:lblOffset val="100"/>
        <c:noMultiLvlLbl val="0"/>
      </c:catAx>
      <c:valAx>
        <c:axId val="131364768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131364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041994750656166E-2"/>
          <c:y val="2.7332278325149523E-2"/>
          <c:w val="0.94092815603931856"/>
          <c:h val="0.8532499320097906"/>
        </c:manualLayout>
      </c:layout>
      <c:barChart>
        <c:barDir val="col"/>
        <c:grouping val="clustered"/>
        <c:varyColors val="0"/>
        <c:ser>
          <c:idx val="0"/>
          <c:order val="0"/>
          <c:tx>
            <c:strRef>
              <c:f>Sheet1!$B$1</c:f>
              <c:strCache>
                <c:ptCount val="1"/>
                <c:pt idx="0">
                  <c:v>Series 1</c:v>
                </c:pt>
              </c:strCache>
            </c:strRef>
          </c:tx>
          <c:spPr>
            <a:solidFill>
              <a:srgbClr val="C7DAE0"/>
            </a:solidFill>
            <a:ln>
              <a:noFill/>
            </a:ln>
            <a:effectLst/>
          </c:spPr>
          <c:invertIfNegative val="0"/>
          <c:dLbls>
            <c:dLbl>
              <c:idx val="1"/>
              <c:layout>
                <c:manualLayout>
                  <c:x val="0"/>
                  <c:y val="-3.45323741007194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31-45E2-8873-4962488DCBA8}"/>
                </c:ext>
              </c:extLst>
            </c:dLbl>
            <c:spPr>
              <a:noFill/>
              <a:ln>
                <a:noFill/>
              </a:ln>
              <a:effectLst/>
            </c:spPr>
            <c:txPr>
              <a:bodyPr rot="0" spcFirstLastPara="1" vertOverflow="ellipsis" vert="horz" wrap="square" anchor="ctr" anchorCtr="1"/>
              <a:lstStyle/>
              <a:p>
                <a:pPr>
                  <a:defRPr sz="600" b="0" i="0" u="none" strike="noStrike" kern="1200" baseline="0">
                    <a:solidFill>
                      <a:srgbClr val="43424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Sheet1!$B$2:$B$13</c:f>
              <c:numCache>
                <c:formatCode>0.0%</c:formatCode>
                <c:ptCount val="12"/>
                <c:pt idx="0">
                  <c:v>1.896355418131046E-3</c:v>
                </c:pt>
                <c:pt idx="1">
                  <c:v>9.7215201419954544E-2</c:v>
                </c:pt>
                <c:pt idx="2">
                  <c:v>0.10145660495003206</c:v>
                </c:pt>
                <c:pt idx="3">
                  <c:v>9.8353953467893662E-2</c:v>
                </c:pt>
                <c:pt idx="4">
                  <c:v>-5.6222724939898661E-2</c:v>
                </c:pt>
                <c:pt idx="5">
                  <c:v>-8.4872021232230699E-3</c:v>
                </c:pt>
                <c:pt idx="6">
                  <c:v>-2.9619915034488242E-2</c:v>
                </c:pt>
                <c:pt idx="7">
                  <c:v>-8.2170825966032091E-2</c:v>
                </c:pt>
                <c:pt idx="8">
                  <c:v>6.252990167721717E-2</c:v>
                </c:pt>
                <c:pt idx="9">
                  <c:v>1.9336163489333424E-2</c:v>
                </c:pt>
                <c:pt idx="10">
                  <c:v>7.1999999999999995E-2</c:v>
                </c:pt>
                <c:pt idx="11">
                  <c:v>6.4000000000000001E-2</c:v>
                </c:pt>
              </c:numCache>
            </c:numRef>
          </c:val>
          <c:extLst>
            <c:ext xmlns:c16="http://schemas.microsoft.com/office/drawing/2014/chart" uri="{C3380CC4-5D6E-409C-BE32-E72D297353CC}">
              <c16:uniqueId val="{00000001-2731-45E2-8873-4962488DCBA8}"/>
            </c:ext>
          </c:extLst>
        </c:ser>
        <c:dLbls>
          <c:dLblPos val="outEnd"/>
          <c:showLegendKey val="0"/>
          <c:showVal val="1"/>
          <c:showCatName val="0"/>
          <c:showSerName val="0"/>
          <c:showPercent val="0"/>
          <c:showBubbleSize val="0"/>
        </c:dLbls>
        <c:gapWidth val="69"/>
        <c:overlap val="1"/>
        <c:axId val="1553571663"/>
        <c:axId val="1553574063"/>
      </c:barChart>
      <c:catAx>
        <c:axId val="155357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rgbClr val="434242"/>
                </a:solidFill>
                <a:latin typeface="+mn-lt"/>
                <a:ea typeface="+mn-ea"/>
                <a:cs typeface="+mn-cs"/>
              </a:defRPr>
            </a:pPr>
            <a:endParaRPr lang="en-US"/>
          </a:p>
        </c:txPr>
        <c:crossAx val="1553574063"/>
        <c:crosses val="autoZero"/>
        <c:auto val="1"/>
        <c:lblAlgn val="ctr"/>
        <c:lblOffset val="100"/>
        <c:noMultiLvlLbl val="0"/>
      </c:catAx>
      <c:valAx>
        <c:axId val="1553574063"/>
        <c:scaling>
          <c:orientation val="minMax"/>
        </c:scaling>
        <c:delete val="1"/>
        <c:axPos val="l"/>
        <c:numFmt formatCode="0.0%" sourceLinked="1"/>
        <c:majorTickMark val="none"/>
        <c:minorTickMark val="none"/>
        <c:tickLblPos val="nextTo"/>
        <c:crossAx val="1553571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solidFill>
            <a:srgbClr val="434242"/>
          </a:solidFill>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6D7-4D7C-A149-83C3F51DEEC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4"/>
                <c:pt idx="0">
                  <c:v>2024</c:v>
                </c:pt>
                <c:pt idx="1">
                  <c:v>2025P</c:v>
                </c:pt>
                <c:pt idx="2">
                  <c:v>2027P</c:v>
                </c:pt>
                <c:pt idx="3">
                  <c:v>2030P</c:v>
                </c:pt>
              </c:strCache>
            </c:strRef>
          </c:cat>
          <c:val>
            <c:numRef>
              <c:f>Sheet1!$B$2:$B$12</c:f>
              <c:numCache>
                <c:formatCode>0</c:formatCode>
                <c:ptCount val="4"/>
                <c:pt idx="0">
                  <c:v>25700.864000000001</c:v>
                </c:pt>
                <c:pt idx="1">
                  <c:v>32743.533499155739</c:v>
                </c:pt>
                <c:pt idx="2">
                  <c:v>41796.275141257865</c:v>
                </c:pt>
                <c:pt idx="3">
                  <c:v>40071.161455132686</c:v>
                </c:pt>
              </c:numCache>
            </c:numRef>
          </c:val>
          <c:extLst>
            <c:ext xmlns:c16="http://schemas.microsoft.com/office/drawing/2014/chart" uri="{C3380CC4-5D6E-409C-BE32-E72D297353CC}">
              <c16:uniqueId val="{00000002-B6D7-4D7C-A149-83C3F51DEEC6}"/>
            </c:ext>
          </c:extLst>
        </c:ser>
        <c:dLbls>
          <c:dLblPos val="outEnd"/>
          <c:showLegendKey val="0"/>
          <c:showVal val="1"/>
          <c:showCatName val="0"/>
          <c:showSerName val="0"/>
          <c:showPercent val="0"/>
          <c:showBubbleSize val="0"/>
        </c:dLbls>
        <c:gapWidth val="200"/>
        <c:axId val="1191492192"/>
        <c:axId val="1191487872"/>
      </c:barChart>
      <c:catAx>
        <c:axId val="11914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487872"/>
        <c:crosses val="autoZero"/>
        <c:auto val="1"/>
        <c:lblAlgn val="ctr"/>
        <c:lblOffset val="100"/>
        <c:noMultiLvlLbl val="0"/>
      </c:catAx>
      <c:valAx>
        <c:axId val="1191487872"/>
        <c:scaling>
          <c:orientation val="minMax"/>
          <c:max val="55000"/>
        </c:scaling>
        <c:delete val="1"/>
        <c:axPos val="l"/>
        <c:numFmt formatCode="0" sourceLinked="1"/>
        <c:majorTickMark val="out"/>
        <c:minorTickMark val="none"/>
        <c:tickLblPos val="nextTo"/>
        <c:crossAx val="119149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Planning &amp; Design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2020</c:v>
                </c:pt>
                <c:pt idx="1">
                  <c:v>2021</c:v>
                </c:pt>
                <c:pt idx="2">
                  <c:v>2022</c:v>
                </c:pt>
                <c:pt idx="3">
                  <c:v>2023</c:v>
                </c:pt>
                <c:pt idx="4">
                  <c:v>2024</c:v>
                </c:pt>
                <c:pt idx="5">
                  <c:v>2025P</c:v>
                </c:pt>
                <c:pt idx="6">
                  <c:v>2026P</c:v>
                </c:pt>
                <c:pt idx="7">
                  <c:v>2027P</c:v>
                </c:pt>
                <c:pt idx="8">
                  <c:v>2028P</c:v>
                </c:pt>
                <c:pt idx="9">
                  <c:v>2029P</c:v>
                </c:pt>
                <c:pt idx="10">
                  <c:v>2030P</c:v>
                </c:pt>
              </c:strCache>
            </c:strRef>
          </c:cat>
          <c:val>
            <c:numRef>
              <c:f>Sheet1!$B$2:$B$12</c:f>
              <c:numCache>
                <c:formatCode>0</c:formatCode>
                <c:ptCount val="11"/>
                <c:pt idx="0">
                  <c:v>3990.0865650485434</c:v>
                </c:pt>
                <c:pt idx="1">
                  <c:v>3894.7952679611649</c:v>
                </c:pt>
                <c:pt idx="2">
                  <c:v>4745.9694097087386</c:v>
                </c:pt>
                <c:pt idx="3">
                  <c:v>5621.1172194174751</c:v>
                </c:pt>
                <c:pt idx="4">
                  <c:v>6263.0260815533984</c:v>
                </c:pt>
                <c:pt idx="5">
                  <c:v>7979.2494255224174</c:v>
                </c:pt>
                <c:pt idx="6">
                  <c:v>8656.4979088158016</c:v>
                </c:pt>
                <c:pt idx="7">
                  <c:v>10185.305883937595</c:v>
                </c:pt>
                <c:pt idx="8">
                  <c:v>10139.771249046302</c:v>
                </c:pt>
                <c:pt idx="9">
                  <c:v>10155.428788180023</c:v>
                </c:pt>
                <c:pt idx="10">
                  <c:v>9764.9141021731102</c:v>
                </c:pt>
              </c:numCache>
            </c:numRef>
          </c:val>
          <c:extLst>
            <c:ext xmlns:c16="http://schemas.microsoft.com/office/drawing/2014/chart" uri="{C3380CC4-5D6E-409C-BE32-E72D297353CC}">
              <c16:uniqueId val="{00000000-2672-4ABC-91D0-577F95434F49}"/>
            </c:ext>
          </c:extLst>
        </c:ser>
        <c:ser>
          <c:idx val="1"/>
          <c:order val="1"/>
          <c:tx>
            <c:strRef>
              <c:f>Sheet1!$C$1</c:f>
              <c:strCache>
                <c:ptCount val="1"/>
                <c:pt idx="0">
                  <c:v>Exploration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2020</c:v>
                </c:pt>
                <c:pt idx="1">
                  <c:v>2021</c:v>
                </c:pt>
                <c:pt idx="2">
                  <c:v>2022</c:v>
                </c:pt>
                <c:pt idx="3">
                  <c:v>2023</c:v>
                </c:pt>
                <c:pt idx="4">
                  <c:v>2024</c:v>
                </c:pt>
                <c:pt idx="5">
                  <c:v>2025P</c:v>
                </c:pt>
                <c:pt idx="6">
                  <c:v>2026P</c:v>
                </c:pt>
                <c:pt idx="7">
                  <c:v>2027P</c:v>
                </c:pt>
                <c:pt idx="8">
                  <c:v>2028P</c:v>
                </c:pt>
                <c:pt idx="9">
                  <c:v>2029P</c:v>
                </c:pt>
                <c:pt idx="10">
                  <c:v>2030P</c:v>
                </c:pt>
              </c:strCache>
            </c:strRef>
          </c:cat>
          <c:val>
            <c:numRef>
              <c:f>Sheet1!$C$2:$C$12</c:f>
              <c:numCache>
                <c:formatCode>0</c:formatCode>
                <c:ptCount val="11"/>
                <c:pt idx="0">
                  <c:v>6827.6580864077659</c:v>
                </c:pt>
                <c:pt idx="1">
                  <c:v>6664.5998708737861</c:v>
                </c:pt>
                <c:pt idx="2">
                  <c:v>8121.0910815533998</c:v>
                </c:pt>
                <c:pt idx="3">
                  <c:v>9618.6049631067963</c:v>
                </c:pt>
                <c:pt idx="4">
                  <c:v>10717.010765048544</c:v>
                </c:pt>
                <c:pt idx="5">
                  <c:v>13653.735570764456</c:v>
                </c:pt>
                <c:pt idx="6">
                  <c:v>14812.612955523455</c:v>
                </c:pt>
                <c:pt idx="7">
                  <c:v>17428.640944825489</c:v>
                </c:pt>
                <c:pt idx="8">
                  <c:v>17350.724109423852</c:v>
                </c:pt>
                <c:pt idx="9">
                  <c:v>17377.516591726377</c:v>
                </c:pt>
                <c:pt idx="10">
                  <c:v>16709.285286387854</c:v>
                </c:pt>
              </c:numCache>
            </c:numRef>
          </c:val>
          <c:extLst>
            <c:ext xmlns:c16="http://schemas.microsoft.com/office/drawing/2014/chart" uri="{C3380CC4-5D6E-409C-BE32-E72D297353CC}">
              <c16:uniqueId val="{00000001-2672-4ABC-91D0-577F95434F49}"/>
            </c:ext>
          </c:extLst>
        </c:ser>
        <c:ser>
          <c:idx val="2"/>
          <c:order val="2"/>
          <c:tx>
            <c:strRef>
              <c:f>Sheet1!$D$1</c:f>
              <c:strCache>
                <c:ptCount val="1"/>
                <c:pt idx="0">
                  <c:v>Geomatics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2020</c:v>
                </c:pt>
                <c:pt idx="1">
                  <c:v>2021</c:v>
                </c:pt>
                <c:pt idx="2">
                  <c:v>2022</c:v>
                </c:pt>
                <c:pt idx="3">
                  <c:v>2023</c:v>
                </c:pt>
                <c:pt idx="4">
                  <c:v>2024</c:v>
                </c:pt>
                <c:pt idx="5">
                  <c:v>2025P</c:v>
                </c:pt>
                <c:pt idx="6">
                  <c:v>2026P</c:v>
                </c:pt>
                <c:pt idx="7">
                  <c:v>2027P</c:v>
                </c:pt>
                <c:pt idx="8">
                  <c:v>2028P</c:v>
                </c:pt>
                <c:pt idx="9">
                  <c:v>2029P</c:v>
                </c:pt>
                <c:pt idx="10">
                  <c:v>2030P</c:v>
                </c:pt>
              </c:strCache>
            </c:strRef>
          </c:cat>
          <c:val>
            <c:numRef>
              <c:f>Sheet1!$D$2:$D$12</c:f>
              <c:numCache>
                <c:formatCode>0</c:formatCode>
                <c:ptCount val="11"/>
                <c:pt idx="0">
                  <c:v>2583.223373786408</c:v>
                </c:pt>
                <c:pt idx="1">
                  <c:v>2521.5308009708742</c:v>
                </c:pt>
                <c:pt idx="2">
                  <c:v>3072.5897572815538</c:v>
                </c:pt>
                <c:pt idx="3">
                  <c:v>3639.169514563107</c:v>
                </c:pt>
                <c:pt idx="4">
                  <c:v>4054.7479611650492</c:v>
                </c:pt>
                <c:pt idx="5">
                  <c:v>5165.8487316629198</c:v>
                </c:pt>
                <c:pt idx="6">
                  <c:v>5604.306415069992</c:v>
                </c:pt>
                <c:pt idx="7">
                  <c:v>6594.0725344217517</c:v>
                </c:pt>
                <c:pt idx="8">
                  <c:v>6564.592940119619</c:v>
                </c:pt>
                <c:pt idx="9">
                  <c:v>6574.7297931444382</c:v>
                </c:pt>
                <c:pt idx="10">
                  <c:v>6321.9065402515162</c:v>
                </c:pt>
              </c:numCache>
            </c:numRef>
          </c:val>
          <c:extLst>
            <c:ext xmlns:c16="http://schemas.microsoft.com/office/drawing/2014/chart" uri="{C3380CC4-5D6E-409C-BE32-E72D297353CC}">
              <c16:uniqueId val="{00000002-2672-4ABC-91D0-577F95434F49}"/>
            </c:ext>
          </c:extLst>
        </c:ser>
        <c:ser>
          <c:idx val="3"/>
          <c:order val="3"/>
          <c:tx>
            <c:strRef>
              <c:f>Sheet1!$E$1</c:f>
              <c:strCache>
                <c:ptCount val="1"/>
                <c:pt idx="0">
                  <c:v>Environment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2020</c:v>
                </c:pt>
                <c:pt idx="1">
                  <c:v>2021</c:v>
                </c:pt>
                <c:pt idx="2">
                  <c:v>2022</c:v>
                </c:pt>
                <c:pt idx="3">
                  <c:v>2023</c:v>
                </c:pt>
                <c:pt idx="4">
                  <c:v>2024</c:v>
                </c:pt>
                <c:pt idx="5">
                  <c:v>2025P</c:v>
                </c:pt>
                <c:pt idx="6">
                  <c:v>2026P</c:v>
                </c:pt>
                <c:pt idx="7">
                  <c:v>2027P</c:v>
                </c:pt>
                <c:pt idx="8">
                  <c:v>2028P</c:v>
                </c:pt>
                <c:pt idx="9">
                  <c:v>2029P</c:v>
                </c:pt>
                <c:pt idx="10">
                  <c:v>2030P</c:v>
                </c:pt>
              </c:strCache>
            </c:strRef>
          </c:cat>
          <c:val>
            <c:numRef>
              <c:f>Sheet1!$E$2:$E$12</c:f>
              <c:numCache>
                <c:formatCode>0</c:formatCode>
                <c:ptCount val="11"/>
                <c:pt idx="0">
                  <c:v>2972.6939747572815</c:v>
                </c:pt>
                <c:pt idx="1">
                  <c:v>2901.700060194175</c:v>
                </c:pt>
                <c:pt idx="2">
                  <c:v>3535.8417514563116</c:v>
                </c:pt>
                <c:pt idx="3">
                  <c:v>4187.844302912622</c:v>
                </c:pt>
                <c:pt idx="4">
                  <c:v>4666.07919223301</c:v>
                </c:pt>
                <c:pt idx="5">
                  <c:v>5944.6997712059456</c:v>
                </c:pt>
                <c:pt idx="6">
                  <c:v>6449.2633822651605</c:v>
                </c:pt>
                <c:pt idx="7">
                  <c:v>7588.2557780730303</c:v>
                </c:pt>
                <c:pt idx="8">
                  <c:v>7554.3315680145761</c:v>
                </c:pt>
                <c:pt idx="9">
                  <c:v>7565.9967465723685</c:v>
                </c:pt>
                <c:pt idx="10">
                  <c:v>7275.0555263202059</c:v>
                </c:pt>
              </c:numCache>
            </c:numRef>
          </c:val>
          <c:extLst>
            <c:ext xmlns:c16="http://schemas.microsoft.com/office/drawing/2014/chart" uri="{C3380CC4-5D6E-409C-BE32-E72D297353CC}">
              <c16:uniqueId val="{00000003-2672-4ABC-91D0-577F95434F49}"/>
            </c:ext>
          </c:extLst>
        </c:ser>
        <c:dLbls>
          <c:showLegendKey val="0"/>
          <c:showVal val="0"/>
          <c:showCatName val="0"/>
          <c:showSerName val="0"/>
          <c:showPercent val="0"/>
          <c:showBubbleSize val="0"/>
        </c:dLbls>
        <c:gapWidth val="200"/>
        <c:overlap val="100"/>
        <c:axId val="1191492192"/>
        <c:axId val="1191487872"/>
      </c:barChart>
      <c:lineChart>
        <c:grouping val="standard"/>
        <c:varyColors val="0"/>
        <c:ser>
          <c:idx val="4"/>
          <c:order val="4"/>
          <c:tx>
            <c:strRef>
              <c:f>Sheet1!$F$1</c:f>
              <c:strCache>
                <c:ptCount val="1"/>
                <c:pt idx="0">
                  <c:v>Total</c:v>
                </c:pt>
              </c:strCache>
            </c:strRef>
          </c:tx>
          <c:spPr>
            <a:ln w="28575" cap="rnd">
              <a:noFill/>
              <a:round/>
            </a:ln>
            <a:effectLst/>
          </c:spPr>
          <c:marker>
            <c:symbol val="none"/>
          </c:marker>
          <c:dLbls>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2020</c:v>
                </c:pt>
                <c:pt idx="1">
                  <c:v>2021</c:v>
                </c:pt>
                <c:pt idx="2">
                  <c:v>2022</c:v>
                </c:pt>
                <c:pt idx="3">
                  <c:v>2023</c:v>
                </c:pt>
                <c:pt idx="4">
                  <c:v>2024</c:v>
                </c:pt>
                <c:pt idx="5">
                  <c:v>2025P</c:v>
                </c:pt>
                <c:pt idx="6">
                  <c:v>2026P</c:v>
                </c:pt>
                <c:pt idx="7">
                  <c:v>2027P</c:v>
                </c:pt>
                <c:pt idx="8">
                  <c:v>2028P</c:v>
                </c:pt>
                <c:pt idx="9">
                  <c:v>2029P</c:v>
                </c:pt>
                <c:pt idx="10">
                  <c:v>2030P</c:v>
                </c:pt>
              </c:strCache>
            </c:strRef>
          </c:cat>
          <c:val>
            <c:numRef>
              <c:f>Sheet1!$F$2:$F$12</c:f>
              <c:numCache>
                <c:formatCode>0</c:formatCode>
                <c:ptCount val="11"/>
                <c:pt idx="0">
                  <c:v>16373.661999999998</c:v>
                </c:pt>
                <c:pt idx="1">
                  <c:v>15982.625999999998</c:v>
                </c:pt>
                <c:pt idx="2">
                  <c:v>19475.492000000006</c:v>
                </c:pt>
                <c:pt idx="3">
                  <c:v>23066.735999999997</c:v>
                </c:pt>
                <c:pt idx="4">
                  <c:v>25700.864000000001</c:v>
                </c:pt>
                <c:pt idx="5">
                  <c:v>32743.533499155739</c:v>
                </c:pt>
                <c:pt idx="6">
                  <c:v>35522.680661674414</c:v>
                </c:pt>
                <c:pt idx="7">
                  <c:v>41796.275141257865</c:v>
                </c:pt>
                <c:pt idx="8">
                  <c:v>41609.419866604352</c:v>
                </c:pt>
                <c:pt idx="9">
                  <c:v>41673.671919623208</c:v>
                </c:pt>
                <c:pt idx="10">
                  <c:v>40071.161455132686</c:v>
                </c:pt>
              </c:numCache>
            </c:numRef>
          </c:val>
          <c:smooth val="0"/>
          <c:extLst>
            <c:ext xmlns:c16="http://schemas.microsoft.com/office/drawing/2014/chart" uri="{C3380CC4-5D6E-409C-BE32-E72D297353CC}">
              <c16:uniqueId val="{00000004-2672-4ABC-91D0-577F95434F49}"/>
            </c:ext>
          </c:extLst>
        </c:ser>
        <c:dLbls>
          <c:showLegendKey val="0"/>
          <c:showVal val="0"/>
          <c:showCatName val="0"/>
          <c:showSerName val="0"/>
          <c:showPercent val="0"/>
          <c:showBubbleSize val="0"/>
        </c:dLbls>
        <c:marker val="1"/>
        <c:smooth val="0"/>
        <c:axId val="1191492192"/>
        <c:axId val="1191487872"/>
      </c:lineChart>
      <c:catAx>
        <c:axId val="11914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487872"/>
        <c:crosses val="autoZero"/>
        <c:auto val="1"/>
        <c:lblAlgn val="ctr"/>
        <c:lblOffset val="100"/>
        <c:noMultiLvlLbl val="0"/>
      </c:catAx>
      <c:valAx>
        <c:axId val="1191487872"/>
        <c:scaling>
          <c:orientation val="minMax"/>
          <c:max val="55000"/>
        </c:scaling>
        <c:delete val="1"/>
        <c:axPos val="l"/>
        <c:numFmt formatCode="0" sourceLinked="1"/>
        <c:majorTickMark val="out"/>
        <c:minorTickMark val="none"/>
        <c:tickLblPos val="nextTo"/>
        <c:crossAx val="1191492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NMET expenditure in million rupees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2025</c:v>
                </c:pt>
                <c:pt idx="1">
                  <c:v>2026</c:v>
                </c:pt>
                <c:pt idx="2">
                  <c:v>2027</c:v>
                </c:pt>
                <c:pt idx="3">
                  <c:v>2028</c:v>
                </c:pt>
                <c:pt idx="4">
                  <c:v>2029</c:v>
                </c:pt>
              </c:strCache>
            </c:strRef>
          </c:cat>
          <c:val>
            <c:numRef>
              <c:f>Sheet1!$B$2:$F$2</c:f>
              <c:numCache>
                <c:formatCode>0.00</c:formatCode>
                <c:ptCount val="5"/>
                <c:pt idx="0">
                  <c:v>2.9147400000000001</c:v>
                </c:pt>
                <c:pt idx="1">
                  <c:v>4.7621200000000004</c:v>
                </c:pt>
                <c:pt idx="2">
                  <c:v>4.19895</c:v>
                </c:pt>
                <c:pt idx="3">
                  <c:v>3.2654999999999998</c:v>
                </c:pt>
                <c:pt idx="4">
                  <c:v>3.5991</c:v>
                </c:pt>
              </c:numCache>
            </c:numRef>
          </c:val>
          <c:extLst>
            <c:ext xmlns:c16="http://schemas.microsoft.com/office/drawing/2014/chart" uri="{C3380CC4-5D6E-409C-BE32-E72D297353CC}">
              <c16:uniqueId val="{00000000-4616-4641-AE13-04EB84454AD4}"/>
            </c:ext>
          </c:extLst>
        </c:ser>
        <c:dLbls>
          <c:showLegendKey val="0"/>
          <c:showVal val="1"/>
          <c:showCatName val="0"/>
          <c:showSerName val="0"/>
          <c:showPercent val="0"/>
          <c:showBubbleSize val="0"/>
        </c:dLbls>
        <c:gapWidth val="219"/>
        <c:overlap val="-27"/>
        <c:axId val="1313644320"/>
        <c:axId val="1313647680"/>
      </c:barChart>
      <c:catAx>
        <c:axId val="13136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647680"/>
        <c:crosses val="autoZero"/>
        <c:auto val="1"/>
        <c:lblAlgn val="ctr"/>
        <c:lblOffset val="100"/>
        <c:noMultiLvlLbl val="0"/>
      </c:catAx>
      <c:valAx>
        <c:axId val="1313647680"/>
        <c:scaling>
          <c:orientation val="minMax"/>
        </c:scaling>
        <c:delete val="1"/>
        <c:axPos val="l"/>
        <c:numFmt formatCode="0.00" sourceLinked="1"/>
        <c:majorTickMark val="none"/>
        <c:minorTickMark val="none"/>
        <c:tickLblPos val="nextTo"/>
        <c:crossAx val="131364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MECL Revenue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Sheet1!$E$1:$G$1</c:f>
              <c:strCache>
                <c:ptCount val="3"/>
                <c:pt idx="0">
                  <c:v>2023</c:v>
                </c:pt>
                <c:pt idx="1">
                  <c:v>2024</c:v>
                </c:pt>
                <c:pt idx="2">
                  <c:v>2025</c:v>
                </c:pt>
              </c:strCache>
              <c:extLst/>
            </c:strRef>
          </c:cat>
          <c:val>
            <c:numRef>
              <c:f>Sheet1!$E$2:$G$2</c:f>
              <c:numCache>
                <c:formatCode>0</c:formatCode>
                <c:ptCount val="3"/>
                <c:pt idx="0">
                  <c:v>2122</c:v>
                </c:pt>
                <c:pt idx="1">
                  <c:v>3160</c:v>
                </c:pt>
              </c:numCache>
              <c:extLst/>
            </c:numRef>
          </c:val>
          <c:extLst>
            <c:ext xmlns:c16="http://schemas.microsoft.com/office/drawing/2014/chart" uri="{C3380CC4-5D6E-409C-BE32-E72D297353CC}">
              <c16:uniqueId val="{00000000-2F54-41EC-B19A-4E42855AD53B}"/>
            </c:ext>
          </c:extLst>
        </c:ser>
        <c:ser>
          <c:idx val="1"/>
          <c:order val="1"/>
          <c:tx>
            <c:strRef>
              <c:f>Sheet1!$A$3</c:f>
              <c:strCache>
                <c:ptCount val="1"/>
                <c:pt idx="0">
                  <c:v>CMPDI-Exploration Revenue</c:v>
                </c:pt>
              </c:strCache>
            </c:strRef>
          </c:tx>
          <c:spPr>
            <a:solidFill>
              <a:srgbClr val="54BAA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Sheet1!$E$1:$G$1</c:f>
              <c:strCache>
                <c:ptCount val="3"/>
                <c:pt idx="0">
                  <c:v>2023</c:v>
                </c:pt>
                <c:pt idx="1">
                  <c:v>2024</c:v>
                </c:pt>
                <c:pt idx="2">
                  <c:v>2025</c:v>
                </c:pt>
              </c:strCache>
              <c:extLst/>
            </c:strRef>
          </c:cat>
          <c:val>
            <c:numRef>
              <c:f>Sheet1!$E$3:$G$3</c:f>
              <c:numCache>
                <c:formatCode>0</c:formatCode>
                <c:ptCount val="3"/>
                <c:pt idx="0">
                  <c:v>5449.2999999999993</c:v>
                </c:pt>
                <c:pt idx="1">
                  <c:v>6687</c:v>
                </c:pt>
                <c:pt idx="2">
                  <c:v>9708</c:v>
                </c:pt>
              </c:numCache>
              <c:extLst/>
            </c:numRef>
          </c:val>
          <c:extLst>
            <c:ext xmlns:c16="http://schemas.microsoft.com/office/drawing/2014/chart" uri="{C3380CC4-5D6E-409C-BE32-E72D297353CC}">
              <c16:uniqueId val="{00000001-2F54-41EC-B19A-4E42855AD53B}"/>
            </c:ext>
          </c:extLst>
        </c:ser>
        <c:dLbls>
          <c:showLegendKey val="0"/>
          <c:showVal val="1"/>
          <c:showCatName val="0"/>
          <c:showSerName val="0"/>
          <c:showPercent val="0"/>
          <c:showBubbleSize val="0"/>
        </c:dLbls>
        <c:gapWidth val="150"/>
        <c:axId val="1313644320"/>
        <c:axId val="1313647680"/>
      </c:bar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3647680"/>
        <c:crosses val="autoZero"/>
        <c:auto val="1"/>
        <c:lblAlgn val="ctr"/>
        <c:lblOffset val="100"/>
        <c:noMultiLvlLbl val="0"/>
      </c:catAx>
      <c:valAx>
        <c:axId val="1313647680"/>
        <c:scaling>
          <c:orientation val="minMax"/>
        </c:scaling>
        <c:delete val="1"/>
        <c:axPos val="l"/>
        <c:numFmt formatCode="0" sourceLinked="1"/>
        <c:majorTickMark val="out"/>
        <c:minorTickMark val="none"/>
        <c:tickLblPos val="nextTo"/>
        <c:crossAx val="13136443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MECON Revenue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extLst/>
            </c:strRef>
          </c:cat>
          <c:val>
            <c:numRef>
              <c:f>Sheet1!$B$2:$G$2</c:f>
              <c:numCache>
                <c:formatCode>0</c:formatCode>
                <c:ptCount val="3"/>
                <c:pt idx="0">
                  <c:v>8895</c:v>
                </c:pt>
                <c:pt idx="1">
                  <c:v>10128</c:v>
                </c:pt>
              </c:numCache>
              <c:extLst/>
            </c:numRef>
          </c:val>
          <c:extLst>
            <c:ext xmlns:c16="http://schemas.microsoft.com/office/drawing/2014/chart" uri="{C3380CC4-5D6E-409C-BE32-E72D297353CC}">
              <c16:uniqueId val="{00000000-EE85-473A-94C8-E8B289C9A270}"/>
            </c:ext>
          </c:extLst>
        </c:ser>
        <c:ser>
          <c:idx val="1"/>
          <c:order val="1"/>
          <c:tx>
            <c:strRef>
              <c:f>Sheet1!$A$3</c:f>
              <c:strCache>
                <c:ptCount val="1"/>
                <c:pt idx="0">
                  <c:v>CMPDI-Planning &amp; Design Revenue</c:v>
                </c:pt>
              </c:strCache>
            </c:strRef>
          </c:tx>
          <c:spPr>
            <a:solidFill>
              <a:srgbClr val="54BAA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extLst/>
            </c:strRef>
          </c:cat>
          <c:val>
            <c:numRef>
              <c:f>Sheet1!$B$3:$G$3</c:f>
              <c:numCache>
                <c:formatCode>0</c:formatCode>
                <c:ptCount val="3"/>
                <c:pt idx="0">
                  <c:v>3630.6</c:v>
                </c:pt>
                <c:pt idx="1">
                  <c:v>4750.3</c:v>
                </c:pt>
                <c:pt idx="2">
                  <c:v>4453</c:v>
                </c:pt>
              </c:numCache>
              <c:extLst/>
            </c:numRef>
          </c:val>
          <c:extLst>
            <c:ext xmlns:c16="http://schemas.microsoft.com/office/drawing/2014/chart" uri="{C3380CC4-5D6E-409C-BE32-E72D297353CC}">
              <c16:uniqueId val="{00000001-EE85-473A-94C8-E8B289C9A270}"/>
            </c:ext>
          </c:extLst>
        </c:ser>
        <c:dLbls>
          <c:showLegendKey val="0"/>
          <c:showVal val="1"/>
          <c:showCatName val="0"/>
          <c:showSerName val="0"/>
          <c:showPercent val="0"/>
          <c:showBubbleSize val="0"/>
        </c:dLbls>
        <c:gapWidth val="150"/>
        <c:axId val="1313644320"/>
        <c:axId val="1313647680"/>
      </c:bar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3647680"/>
        <c:crosses val="autoZero"/>
        <c:auto val="1"/>
        <c:lblAlgn val="ctr"/>
        <c:lblOffset val="100"/>
        <c:noMultiLvlLbl val="0"/>
      </c:catAx>
      <c:valAx>
        <c:axId val="1313647680"/>
        <c:scaling>
          <c:orientation val="minMax"/>
        </c:scaling>
        <c:delete val="1"/>
        <c:axPos val="l"/>
        <c:numFmt formatCode="0" sourceLinked="1"/>
        <c:majorTickMark val="out"/>
        <c:minorTickMark val="none"/>
        <c:tickLblPos val="nextTo"/>
        <c:crossAx val="131364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650793650793648E-2"/>
          <c:y val="0.11791680314444808"/>
          <c:w val="0.91269841269841268"/>
          <c:h val="0.64016031733340895"/>
        </c:manualLayout>
      </c:layout>
      <c:barChart>
        <c:barDir val="col"/>
        <c:grouping val="clustered"/>
        <c:varyColors val="0"/>
        <c:ser>
          <c:idx val="0"/>
          <c:order val="0"/>
          <c:tx>
            <c:strRef>
              <c:f>Sheet1!$A$2</c:f>
              <c:strCache>
                <c:ptCount val="1"/>
                <c:pt idx="0">
                  <c:v>Drilling in meters</c:v>
                </c:pt>
              </c:strCache>
            </c:strRef>
          </c:tx>
          <c:spPr>
            <a:solidFill>
              <a:schemeClr val="accent1"/>
            </a:solidFill>
            <a:ln>
              <a:noFill/>
            </a:ln>
            <a:effectLst/>
          </c:spPr>
          <c:invertIfNegative val="0"/>
          <c:dLbls>
            <c:spPr>
              <a:noFill/>
              <a:ln>
                <a:solidFill>
                  <a:srgbClr val="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Sheet1!$C$1:$G$1</c:f>
              <c:strCache>
                <c:ptCount val="3"/>
                <c:pt idx="0">
                  <c:v>2023</c:v>
                </c:pt>
                <c:pt idx="1">
                  <c:v>2024</c:v>
                </c:pt>
                <c:pt idx="2">
                  <c:v>2025*</c:v>
                </c:pt>
              </c:strCache>
              <c:extLst/>
            </c:strRef>
          </c:cat>
          <c:val>
            <c:numRef>
              <c:f>Sheet1!$C$2:$G$2</c:f>
              <c:numCache>
                <c:formatCode>0.00</c:formatCode>
                <c:ptCount val="3"/>
                <c:pt idx="0">
                  <c:v>2.3584399999999999</c:v>
                </c:pt>
                <c:pt idx="1">
                  <c:v>3.4869500000000002</c:v>
                </c:pt>
                <c:pt idx="2">
                  <c:v>3.11</c:v>
                </c:pt>
              </c:numCache>
              <c:extLst/>
            </c:numRef>
          </c:val>
          <c:extLst>
            <c:ext xmlns:c16="http://schemas.microsoft.com/office/drawing/2014/chart" uri="{C3380CC4-5D6E-409C-BE32-E72D297353CC}">
              <c16:uniqueId val="{00000002-200C-4E08-9D4B-B842BE07C253}"/>
            </c:ext>
          </c:extLst>
        </c:ser>
        <c:dLbls>
          <c:showLegendKey val="0"/>
          <c:showVal val="0"/>
          <c:showCatName val="0"/>
          <c:showSerName val="0"/>
          <c:showPercent val="0"/>
          <c:showBubbleSize val="0"/>
        </c:dLbls>
        <c:gapWidth val="150"/>
        <c:axId val="1313644320"/>
        <c:axId val="1313647680"/>
      </c:bar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13647680"/>
        <c:crosses val="autoZero"/>
        <c:auto val="1"/>
        <c:lblAlgn val="ctr"/>
        <c:lblOffset val="100"/>
        <c:noMultiLvlLbl val="0"/>
      </c:catAx>
      <c:valAx>
        <c:axId val="1313647680"/>
        <c:scaling>
          <c:orientation val="minMax"/>
        </c:scaling>
        <c:delete val="1"/>
        <c:axPos val="l"/>
        <c:numFmt formatCode="0.00" sourceLinked="1"/>
        <c:majorTickMark val="out"/>
        <c:minorTickMark val="none"/>
        <c:tickLblPos val="nextTo"/>
        <c:crossAx val="131364432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892687559354226E-2"/>
          <c:y val="9.500221208951673E-2"/>
          <c:w val="0.9582146248812915"/>
          <c:h val="0.66143368973974059"/>
        </c:manualLayout>
      </c:layout>
      <c:barChart>
        <c:barDir val="col"/>
        <c:grouping val="stacked"/>
        <c:varyColors val="0"/>
        <c:ser>
          <c:idx val="0"/>
          <c:order val="0"/>
          <c:tx>
            <c:strRef>
              <c:f>Sheet1!$A$2</c:f>
              <c:strCache>
                <c:ptCount val="1"/>
                <c:pt idx="0">
                  <c:v>CMPDI (Departmental)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extLst/>
            </c:strRef>
          </c:cat>
          <c:val>
            <c:numRef>
              <c:f>Sheet1!$B$2:$G$2</c:f>
              <c:numCache>
                <c:formatCode>#,##0.00</c:formatCode>
                <c:ptCount val="3"/>
                <c:pt idx="0">
                  <c:v>4.21</c:v>
                </c:pt>
                <c:pt idx="1">
                  <c:v>4.3170000000000002</c:v>
                </c:pt>
                <c:pt idx="2">
                  <c:v>4.6399999999999997</c:v>
                </c:pt>
              </c:numCache>
              <c:extLst/>
            </c:numRef>
          </c:val>
          <c:extLst>
            <c:ext xmlns:c16="http://schemas.microsoft.com/office/drawing/2014/chart" uri="{C3380CC4-5D6E-409C-BE32-E72D297353CC}">
              <c16:uniqueId val="{00000000-5609-4309-95BA-D09B63907192}"/>
            </c:ext>
          </c:extLst>
        </c:ser>
        <c:ser>
          <c:idx val="1"/>
          <c:order val="1"/>
          <c:tx>
            <c:strRef>
              <c:f>Sheet1!$A$3</c:f>
              <c:strCache>
                <c:ptCount val="1"/>
                <c:pt idx="0">
                  <c:v>CMPDI (Outsourcing)</c:v>
                </c:pt>
              </c:strCache>
            </c:strRef>
          </c:tx>
          <c:spPr>
            <a:solidFill>
              <a:srgbClr val="54BA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extLst/>
            </c:strRef>
          </c:cat>
          <c:val>
            <c:numRef>
              <c:f>Sheet1!$B$3:$G$3</c:f>
              <c:numCache>
                <c:formatCode>#,##0.00</c:formatCode>
                <c:ptCount val="3"/>
                <c:pt idx="0">
                  <c:v>2.6379999999999999</c:v>
                </c:pt>
                <c:pt idx="1">
                  <c:v>4.3079999999999998</c:v>
                </c:pt>
                <c:pt idx="2">
                  <c:v>5.48</c:v>
                </c:pt>
              </c:numCache>
              <c:extLst/>
            </c:numRef>
          </c:val>
          <c:extLst>
            <c:ext xmlns:c16="http://schemas.microsoft.com/office/drawing/2014/chart" uri="{C3380CC4-5D6E-409C-BE32-E72D297353CC}">
              <c16:uniqueId val="{00000001-5609-4309-95BA-D09B63907192}"/>
            </c:ext>
          </c:extLst>
        </c:ser>
        <c:dLbls>
          <c:showLegendKey val="0"/>
          <c:showVal val="0"/>
          <c:showCatName val="0"/>
          <c:showSerName val="0"/>
          <c:showPercent val="0"/>
          <c:showBubbleSize val="0"/>
        </c:dLbls>
        <c:gapWidth val="150"/>
        <c:overlap val="100"/>
        <c:axId val="1313644320"/>
        <c:axId val="1313647680"/>
      </c:barChart>
      <c:lineChart>
        <c:grouping val="standard"/>
        <c:varyColors val="0"/>
        <c:ser>
          <c:idx val="2"/>
          <c:order val="2"/>
          <c:tx>
            <c:strRef>
              <c:f>Sheet1!$A$4</c:f>
              <c:strCache>
                <c:ptCount val="1"/>
                <c:pt idx="0">
                  <c:v>Total</c:v>
                </c:pt>
              </c:strCache>
            </c:strRef>
          </c:tx>
          <c:spPr>
            <a:ln w="28575" cap="rnd">
              <a:noFill/>
              <a:round/>
            </a:ln>
            <a:effectLst/>
          </c:spPr>
          <c:marker>
            <c:symbol val="none"/>
          </c:marker>
          <c:dLbls>
            <c:spPr>
              <a:noFill/>
              <a:ln>
                <a:solidFill>
                  <a:srgbClr val="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extLst/>
            </c:strRef>
          </c:cat>
          <c:val>
            <c:numRef>
              <c:f>Sheet1!$B$4:$G$4</c:f>
              <c:numCache>
                <c:formatCode>#,##0.00</c:formatCode>
                <c:ptCount val="3"/>
                <c:pt idx="0">
                  <c:v>6.8490000000000002</c:v>
                </c:pt>
                <c:pt idx="1">
                  <c:v>8.625</c:v>
                </c:pt>
                <c:pt idx="2">
                  <c:v>10.119999999999999</c:v>
                </c:pt>
              </c:numCache>
              <c:extLst/>
            </c:numRef>
          </c:val>
          <c:smooth val="0"/>
          <c:extLst>
            <c:ext xmlns:c16="http://schemas.microsoft.com/office/drawing/2014/chart" uri="{C3380CC4-5D6E-409C-BE32-E72D297353CC}">
              <c16:uniqueId val="{00000002-5609-4309-95BA-D09B63907192}"/>
            </c:ext>
          </c:extLst>
        </c:ser>
        <c:dLbls>
          <c:showLegendKey val="0"/>
          <c:showVal val="0"/>
          <c:showCatName val="0"/>
          <c:showSerName val="0"/>
          <c:showPercent val="0"/>
          <c:showBubbleSize val="0"/>
        </c:dLbls>
        <c:marker val="1"/>
        <c:smooth val="0"/>
        <c:axId val="1313644320"/>
        <c:axId val="1313647680"/>
      </c:line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13647680"/>
        <c:crosses val="autoZero"/>
        <c:auto val="1"/>
        <c:lblAlgn val="ctr"/>
        <c:lblOffset val="100"/>
        <c:noMultiLvlLbl val="0"/>
      </c:catAx>
      <c:valAx>
        <c:axId val="1313647680"/>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1313644320"/>
        <c:crosses val="autoZero"/>
        <c:crossBetween val="between"/>
      </c:valAx>
      <c:spPr>
        <a:noFill/>
        <a:ln w="25400">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892687559354226E-2"/>
          <c:y val="7.5515538774324723E-2"/>
          <c:w val="0.9582146248812915"/>
          <c:h val="0.68092054859683349"/>
        </c:manualLayout>
      </c:layout>
      <c:barChart>
        <c:barDir val="col"/>
        <c:grouping val="clustered"/>
        <c:varyColors val="0"/>
        <c:ser>
          <c:idx val="0"/>
          <c:order val="0"/>
          <c:tx>
            <c:strRef>
              <c:f>Sheet1!$A$2</c:f>
              <c:strCache>
                <c:ptCount val="1"/>
                <c:pt idx="0">
                  <c:v>CMPDI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strRef>
          </c:cat>
          <c:val>
            <c:numRef>
              <c:f>Sheet1!$B$2:$G$2</c:f>
              <c:numCache>
                <c:formatCode>General</c:formatCode>
                <c:ptCount val="3"/>
                <c:pt idx="0">
                  <c:v>2.0099999999999998</c:v>
                </c:pt>
                <c:pt idx="1">
                  <c:v>1.72</c:v>
                </c:pt>
                <c:pt idx="2">
                  <c:v>2.11</c:v>
                </c:pt>
              </c:numCache>
            </c:numRef>
          </c:val>
          <c:extLst>
            <c:ext xmlns:c16="http://schemas.microsoft.com/office/drawing/2014/chart" uri="{C3380CC4-5D6E-409C-BE32-E72D297353CC}">
              <c16:uniqueId val="{00000000-DB21-4856-8B89-9785823E7A0A}"/>
            </c:ext>
          </c:extLst>
        </c:ser>
        <c:ser>
          <c:idx val="1"/>
          <c:order val="1"/>
          <c:tx>
            <c:strRef>
              <c:f>Sheet1!$A$3</c:f>
              <c:strCache>
                <c:ptCount val="1"/>
                <c:pt idx="0">
                  <c:v>MECL</c:v>
                </c:pt>
              </c:strCache>
            </c:strRef>
          </c:tx>
          <c:spPr>
            <a:solidFill>
              <a:srgbClr val="54BA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3"/>
                <c:pt idx="0">
                  <c:v>2023</c:v>
                </c:pt>
                <c:pt idx="1">
                  <c:v>2024</c:v>
                </c:pt>
                <c:pt idx="2">
                  <c:v>2025</c:v>
                </c:pt>
              </c:strCache>
            </c:strRef>
          </c:cat>
          <c:val>
            <c:numRef>
              <c:f>Sheet1!$B$3:$G$3</c:f>
              <c:numCache>
                <c:formatCode>#,##0.00</c:formatCode>
                <c:ptCount val="3"/>
                <c:pt idx="0" formatCode="0.00">
                  <c:v>1.0484</c:v>
                </c:pt>
                <c:pt idx="1">
                  <c:v>2.3136700000000001</c:v>
                </c:pt>
              </c:numCache>
            </c:numRef>
          </c:val>
          <c:extLst>
            <c:ext xmlns:c16="http://schemas.microsoft.com/office/drawing/2014/chart" uri="{C3380CC4-5D6E-409C-BE32-E72D297353CC}">
              <c16:uniqueId val="{00000001-DB21-4856-8B89-9785823E7A0A}"/>
            </c:ext>
          </c:extLst>
        </c:ser>
        <c:dLbls>
          <c:dLblPos val="outEnd"/>
          <c:showLegendKey val="0"/>
          <c:showVal val="1"/>
          <c:showCatName val="0"/>
          <c:showSerName val="0"/>
          <c:showPercent val="0"/>
          <c:showBubbleSize val="0"/>
        </c:dLbls>
        <c:gapWidth val="150"/>
        <c:axId val="1313644320"/>
        <c:axId val="1313647680"/>
      </c:barChart>
      <c:catAx>
        <c:axId val="13136443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647680"/>
        <c:crosses val="autoZero"/>
        <c:auto val="1"/>
        <c:lblAlgn val="ctr"/>
        <c:lblOffset val="100"/>
        <c:noMultiLvlLbl val="0"/>
      </c:catAx>
      <c:valAx>
        <c:axId val="131364768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131364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778105675461779E-2"/>
          <c:y val="2.7332278325149523E-2"/>
          <c:w val="0.92988336530335758"/>
          <c:h val="0.8532499320097906"/>
        </c:manualLayout>
      </c:layout>
      <c:barChart>
        <c:barDir val="col"/>
        <c:grouping val="clustered"/>
        <c:varyColors val="0"/>
        <c:ser>
          <c:idx val="0"/>
          <c:order val="0"/>
          <c:tx>
            <c:strRef>
              <c:f>Sheet1!$B$1</c:f>
              <c:strCache>
                <c:ptCount val="1"/>
                <c:pt idx="0">
                  <c:v>Series 1</c:v>
                </c:pt>
              </c:strCache>
            </c:strRef>
          </c:tx>
          <c:spPr>
            <a:solidFill>
              <a:srgbClr val="005B7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rgbClr val="43424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Sheet1!$B$2:$B$13</c:f>
              <c:numCache>
                <c:formatCode>0.0%</c:formatCode>
                <c:ptCount val="12"/>
                <c:pt idx="0">
                  <c:v>2.9000000000000001E-2</c:v>
                </c:pt>
                <c:pt idx="1">
                  <c:v>2.98E-2</c:v>
                </c:pt>
                <c:pt idx="2">
                  <c:v>3.0300000000000001E-2</c:v>
                </c:pt>
                <c:pt idx="3">
                  <c:v>3.0800000000000001E-2</c:v>
                </c:pt>
                <c:pt idx="4">
                  <c:v>2.7389677831896327E-2</c:v>
                </c:pt>
                <c:pt idx="5">
                  <c:v>2.5665129535269299E-2</c:v>
                </c:pt>
                <c:pt idx="6">
                  <c:v>2.3959802328663959E-2</c:v>
                </c:pt>
                <c:pt idx="7">
                  <c:v>2.2942165423584761E-2</c:v>
                </c:pt>
                <c:pt idx="8">
                  <c:v>2.2287210783118707E-2</c:v>
                </c:pt>
                <c:pt idx="9">
                  <c:v>2.1999999999999999E-2</c:v>
                </c:pt>
                <c:pt idx="10">
                  <c:v>2.1269289314611497E-2</c:v>
                </c:pt>
                <c:pt idx="11">
                  <c:v>2.1000000000000001E-2</c:v>
                </c:pt>
              </c:numCache>
            </c:numRef>
          </c:val>
          <c:extLst>
            <c:ext xmlns:c16="http://schemas.microsoft.com/office/drawing/2014/chart" uri="{C3380CC4-5D6E-409C-BE32-E72D297353CC}">
              <c16:uniqueId val="{00000000-2C51-43AA-BD82-ACD924934833}"/>
            </c:ext>
          </c:extLst>
        </c:ser>
        <c:dLbls>
          <c:dLblPos val="outEnd"/>
          <c:showLegendKey val="0"/>
          <c:showVal val="1"/>
          <c:showCatName val="0"/>
          <c:showSerName val="0"/>
          <c:showPercent val="0"/>
          <c:showBubbleSize val="0"/>
        </c:dLbls>
        <c:gapWidth val="69"/>
        <c:overlap val="1"/>
        <c:axId val="1553571663"/>
        <c:axId val="1553574063"/>
      </c:barChart>
      <c:catAx>
        <c:axId val="1553571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rgbClr val="434242"/>
                </a:solidFill>
                <a:latin typeface="+mn-lt"/>
                <a:ea typeface="+mn-ea"/>
                <a:cs typeface="+mn-cs"/>
              </a:defRPr>
            </a:pPr>
            <a:endParaRPr lang="en-US"/>
          </a:p>
        </c:txPr>
        <c:crossAx val="1553574063"/>
        <c:crosses val="autoZero"/>
        <c:auto val="1"/>
        <c:lblAlgn val="ctr"/>
        <c:lblOffset val="100"/>
        <c:noMultiLvlLbl val="0"/>
      </c:catAx>
      <c:valAx>
        <c:axId val="1553574063"/>
        <c:scaling>
          <c:orientation val="minMax"/>
        </c:scaling>
        <c:delete val="1"/>
        <c:axPos val="l"/>
        <c:numFmt formatCode="0.0%" sourceLinked="1"/>
        <c:majorTickMark val="none"/>
        <c:minorTickMark val="none"/>
        <c:tickLblPos val="nextTo"/>
        <c:crossAx val="1553571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solidFill>
            <a:srgbClr val="434242"/>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28575" cap="rnd">
              <a:solidFill>
                <a:srgbClr val="B9205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Sheet1!$A$3:$A$9</c:f>
              <c:numCache>
                <c:formatCode>General</c:formatCode>
                <c:ptCount val="7"/>
                <c:pt idx="0">
                  <c:v>2019</c:v>
                </c:pt>
                <c:pt idx="1">
                  <c:v>2020</c:v>
                </c:pt>
                <c:pt idx="2">
                  <c:v>2021</c:v>
                </c:pt>
                <c:pt idx="3">
                  <c:v>2022</c:v>
                </c:pt>
                <c:pt idx="4">
                  <c:v>2023</c:v>
                </c:pt>
                <c:pt idx="5">
                  <c:v>2024</c:v>
                </c:pt>
                <c:pt idx="6">
                  <c:v>2025</c:v>
                </c:pt>
              </c:numCache>
            </c:numRef>
          </c:cat>
          <c:val>
            <c:numRef>
              <c:f>Sheet1!$B$3:$B$9</c:f>
              <c:numCache>
                <c:formatCode>0.0%</c:formatCode>
                <c:ptCount val="7"/>
                <c:pt idx="0">
                  <c:v>2.9000000000000001E-2</c:v>
                </c:pt>
                <c:pt idx="1">
                  <c:v>5.8000000000000003E-2</c:v>
                </c:pt>
                <c:pt idx="2">
                  <c:v>5.5E-2</c:v>
                </c:pt>
                <c:pt idx="3">
                  <c:v>7.0000000000000007E-2</c:v>
                </c:pt>
                <c:pt idx="4">
                  <c:v>5.7000000000000002E-2</c:v>
                </c:pt>
                <c:pt idx="5">
                  <c:v>4.9000000000000002E-2</c:v>
                </c:pt>
                <c:pt idx="6">
                  <c:v>4.5999999999999999E-2</c:v>
                </c:pt>
              </c:numCache>
            </c:numRef>
          </c:val>
          <c:smooth val="0"/>
          <c:extLst>
            <c:ext xmlns:c16="http://schemas.microsoft.com/office/drawing/2014/chart" uri="{C3380CC4-5D6E-409C-BE32-E72D297353CC}">
              <c16:uniqueId val="{00000000-6404-49B0-8A13-97B4DCA09C62}"/>
            </c:ext>
          </c:extLst>
        </c:ser>
        <c:dLbls>
          <c:dLblPos val="t"/>
          <c:showLegendKey val="0"/>
          <c:showVal val="1"/>
          <c:showCatName val="0"/>
          <c:showSerName val="0"/>
          <c:showPercent val="0"/>
          <c:showBubbleSize val="0"/>
        </c:dLbls>
        <c:smooth val="0"/>
        <c:axId val="1128514480"/>
        <c:axId val="1128513520"/>
      </c:lineChart>
      <c:catAx>
        <c:axId val="112851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513520"/>
        <c:crosses val="autoZero"/>
        <c:auto val="1"/>
        <c:lblAlgn val="ctr"/>
        <c:lblOffset val="100"/>
        <c:noMultiLvlLbl val="0"/>
      </c:catAx>
      <c:valAx>
        <c:axId val="112851352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51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General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Sheet1!$B$2:$B$9</c:f>
              <c:numCache>
                <c:formatCode>0.0%</c:formatCode>
                <c:ptCount val="8"/>
                <c:pt idx="0">
                  <c:v>4.3999999999999997E-2</c:v>
                </c:pt>
                <c:pt idx="1">
                  <c:v>3.7999999999999999E-2</c:v>
                </c:pt>
                <c:pt idx="2">
                  <c:v>-8.0000000000000002E-3</c:v>
                </c:pt>
                <c:pt idx="3">
                  <c:v>-8.4000000000000005E-2</c:v>
                </c:pt>
                <c:pt idx="4">
                  <c:v>0.114</c:v>
                </c:pt>
                <c:pt idx="5">
                  <c:v>5.1999999999999998E-2</c:v>
                </c:pt>
                <c:pt idx="6">
                  <c:v>5.8999999999999997E-2</c:v>
                </c:pt>
                <c:pt idx="7">
                  <c:v>0.04</c:v>
                </c:pt>
              </c:numCache>
            </c:numRef>
          </c:val>
          <c:smooth val="0"/>
          <c:extLst>
            <c:ext xmlns:c16="http://schemas.microsoft.com/office/drawing/2014/chart" uri="{C3380CC4-5D6E-409C-BE32-E72D297353CC}">
              <c16:uniqueId val="{00000000-365A-45E7-8980-9BE746A50040}"/>
            </c:ext>
          </c:extLst>
        </c:ser>
        <c:dLbls>
          <c:showLegendKey val="0"/>
          <c:showVal val="0"/>
          <c:showCatName val="0"/>
          <c:showSerName val="0"/>
          <c:showPercent val="0"/>
          <c:showBubbleSize val="0"/>
        </c:dLbls>
        <c:smooth val="0"/>
        <c:axId val="1305578048"/>
        <c:axId val="1305574208"/>
      </c:lineChart>
      <c:catAx>
        <c:axId val="13055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5574208"/>
        <c:crosses val="autoZero"/>
        <c:auto val="1"/>
        <c:lblAlgn val="ctr"/>
        <c:lblOffset val="100"/>
        <c:noMultiLvlLbl val="0"/>
      </c:catAx>
      <c:valAx>
        <c:axId val="13055742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557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Mining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Sheet1!$B$2:$B$9</c:f>
              <c:numCache>
                <c:formatCode>0.0%</c:formatCode>
                <c:ptCount val="8"/>
                <c:pt idx="0">
                  <c:v>2.3E-2</c:v>
                </c:pt>
                <c:pt idx="1">
                  <c:v>2.9000000000000001E-2</c:v>
                </c:pt>
                <c:pt idx="2">
                  <c:v>1.6E-2</c:v>
                </c:pt>
                <c:pt idx="3">
                  <c:v>-7.8E-2</c:v>
                </c:pt>
                <c:pt idx="4">
                  <c:v>0.122</c:v>
                </c:pt>
                <c:pt idx="5">
                  <c:v>5.8000000000000003E-2</c:v>
                </c:pt>
                <c:pt idx="6">
                  <c:v>7.4999999999999997E-2</c:v>
                </c:pt>
                <c:pt idx="7">
                  <c:v>2.9000000000000001E-2</c:v>
                </c:pt>
              </c:numCache>
            </c:numRef>
          </c:val>
          <c:smooth val="0"/>
          <c:extLst>
            <c:ext xmlns:c16="http://schemas.microsoft.com/office/drawing/2014/chart" uri="{C3380CC4-5D6E-409C-BE32-E72D297353CC}">
              <c16:uniqueId val="{00000000-09A2-4D4E-87F4-333BA5C0AAC4}"/>
            </c:ext>
          </c:extLst>
        </c:ser>
        <c:dLbls>
          <c:showLegendKey val="0"/>
          <c:showVal val="0"/>
          <c:showCatName val="0"/>
          <c:showSerName val="0"/>
          <c:showPercent val="0"/>
          <c:showBubbleSize val="0"/>
        </c:dLbls>
        <c:smooth val="0"/>
        <c:axId val="1305578048"/>
        <c:axId val="1305574208"/>
      </c:lineChart>
      <c:catAx>
        <c:axId val="13055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5574208"/>
        <c:crosses val="autoZero"/>
        <c:auto val="1"/>
        <c:lblAlgn val="ctr"/>
        <c:lblOffset val="100"/>
        <c:noMultiLvlLbl val="0"/>
      </c:catAx>
      <c:valAx>
        <c:axId val="13055742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557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Repo rate (%)</c:v>
                </c:pt>
              </c:strCache>
            </c:strRef>
          </c:tx>
          <c:spPr>
            <a:ln w="28575" cap="rnd">
              <a:solidFill>
                <a:srgbClr val="156082"/>
              </a:solidFill>
              <a:round/>
            </a:ln>
            <a:effectLst/>
          </c:spPr>
          <c:marker>
            <c:symbol val="none"/>
          </c:marker>
          <c:cat>
            <c:numRef>
              <c:f>Sheet1!$A$2:$A$161</c:f>
              <c:numCache>
                <c:formatCode>[$-409]mmm\-yy;@</c:formatCode>
                <c:ptCount val="16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44594</c:v>
                </c:pt>
                <c:pt idx="122">
                  <c:v>44626</c:v>
                </c:pt>
                <c:pt idx="123">
                  <c:v>44658</c:v>
                </c:pt>
                <c:pt idx="124">
                  <c:v>44690</c:v>
                </c:pt>
                <c:pt idx="125">
                  <c:v>44734</c:v>
                </c:pt>
                <c:pt idx="126">
                  <c:v>44764</c:v>
                </c:pt>
                <c:pt idx="127">
                  <c:v>44795</c:v>
                </c:pt>
                <c:pt idx="128">
                  <c:v>44826</c:v>
                </c:pt>
                <c:pt idx="129">
                  <c:v>44856</c:v>
                </c:pt>
                <c:pt idx="130">
                  <c:v>44889</c:v>
                </c:pt>
                <c:pt idx="131">
                  <c:v>44920</c:v>
                </c:pt>
                <c:pt idx="132">
                  <c:v>44927</c:v>
                </c:pt>
                <c:pt idx="133">
                  <c:v>44958</c:v>
                </c:pt>
                <c:pt idx="134">
                  <c:v>44986</c:v>
                </c:pt>
                <c:pt idx="135">
                  <c:v>45017</c:v>
                </c:pt>
                <c:pt idx="136">
                  <c:v>45047</c:v>
                </c:pt>
                <c:pt idx="137">
                  <c:v>45078</c:v>
                </c:pt>
                <c:pt idx="138">
                  <c:v>45130</c:v>
                </c:pt>
                <c:pt idx="139">
                  <c:v>45162</c:v>
                </c:pt>
                <c:pt idx="140">
                  <c:v>45170</c:v>
                </c:pt>
                <c:pt idx="141">
                  <c:v>45208</c:v>
                </c:pt>
                <c:pt idx="142">
                  <c:v>45246</c:v>
                </c:pt>
                <c:pt idx="143">
                  <c:v>45284</c:v>
                </c:pt>
                <c:pt idx="144">
                  <c:v>45322</c:v>
                </c:pt>
                <c:pt idx="145">
                  <c:v>45331</c:v>
                </c:pt>
                <c:pt idx="146">
                  <c:v>45369</c:v>
                </c:pt>
                <c:pt idx="147">
                  <c:v>45407</c:v>
                </c:pt>
                <c:pt idx="148">
                  <c:v>45414</c:v>
                </c:pt>
                <c:pt idx="149">
                  <c:v>45444</c:v>
                </c:pt>
                <c:pt idx="150">
                  <c:v>45474</c:v>
                </c:pt>
                <c:pt idx="151">
                  <c:v>45505</c:v>
                </c:pt>
                <c:pt idx="152">
                  <c:v>45536</c:v>
                </c:pt>
                <c:pt idx="153">
                  <c:v>45566</c:v>
                </c:pt>
                <c:pt idx="154">
                  <c:v>45597</c:v>
                </c:pt>
                <c:pt idx="155">
                  <c:v>45627</c:v>
                </c:pt>
                <c:pt idx="156">
                  <c:v>45658</c:v>
                </c:pt>
                <c:pt idx="157">
                  <c:v>45689</c:v>
                </c:pt>
                <c:pt idx="158">
                  <c:v>45717</c:v>
                </c:pt>
                <c:pt idx="159">
                  <c:v>45748</c:v>
                </c:pt>
              </c:numCache>
            </c:numRef>
          </c:cat>
          <c:val>
            <c:numRef>
              <c:f>Sheet1!$B$2:$B$161</c:f>
              <c:numCache>
                <c:formatCode>0.0</c:formatCode>
                <c:ptCount val="160"/>
                <c:pt idx="0">
                  <c:v>8.5</c:v>
                </c:pt>
                <c:pt idx="1">
                  <c:v>8.5</c:v>
                </c:pt>
                <c:pt idx="2">
                  <c:v>8.5</c:v>
                </c:pt>
                <c:pt idx="3">
                  <c:v>8</c:v>
                </c:pt>
                <c:pt idx="4">
                  <c:v>8</c:v>
                </c:pt>
                <c:pt idx="5">
                  <c:v>8</c:v>
                </c:pt>
                <c:pt idx="6">
                  <c:v>8</c:v>
                </c:pt>
                <c:pt idx="7">
                  <c:v>8</c:v>
                </c:pt>
                <c:pt idx="8">
                  <c:v>8</c:v>
                </c:pt>
                <c:pt idx="9">
                  <c:v>8</c:v>
                </c:pt>
                <c:pt idx="10">
                  <c:v>8</c:v>
                </c:pt>
                <c:pt idx="11">
                  <c:v>8</c:v>
                </c:pt>
                <c:pt idx="12">
                  <c:v>7.75</c:v>
                </c:pt>
                <c:pt idx="13">
                  <c:v>7.75</c:v>
                </c:pt>
                <c:pt idx="14">
                  <c:v>7.5</c:v>
                </c:pt>
                <c:pt idx="15">
                  <c:v>7.5</c:v>
                </c:pt>
                <c:pt idx="16">
                  <c:v>7.25</c:v>
                </c:pt>
                <c:pt idx="17">
                  <c:v>7.25</c:v>
                </c:pt>
                <c:pt idx="18">
                  <c:v>7.25</c:v>
                </c:pt>
                <c:pt idx="19">
                  <c:v>7.25</c:v>
                </c:pt>
                <c:pt idx="20">
                  <c:v>7.5</c:v>
                </c:pt>
                <c:pt idx="21">
                  <c:v>7.75</c:v>
                </c:pt>
                <c:pt idx="22">
                  <c:v>7.75</c:v>
                </c:pt>
                <c:pt idx="23">
                  <c:v>7.75</c:v>
                </c:pt>
                <c:pt idx="24">
                  <c:v>8</c:v>
                </c:pt>
                <c:pt idx="25">
                  <c:v>8</c:v>
                </c:pt>
                <c:pt idx="26">
                  <c:v>8</c:v>
                </c:pt>
                <c:pt idx="27">
                  <c:v>8</c:v>
                </c:pt>
                <c:pt idx="28">
                  <c:v>8</c:v>
                </c:pt>
                <c:pt idx="29">
                  <c:v>8</c:v>
                </c:pt>
                <c:pt idx="30">
                  <c:v>8</c:v>
                </c:pt>
                <c:pt idx="31">
                  <c:v>8</c:v>
                </c:pt>
                <c:pt idx="32">
                  <c:v>8</c:v>
                </c:pt>
                <c:pt idx="33">
                  <c:v>8</c:v>
                </c:pt>
                <c:pt idx="34">
                  <c:v>8</c:v>
                </c:pt>
                <c:pt idx="35">
                  <c:v>8</c:v>
                </c:pt>
                <c:pt idx="36">
                  <c:v>7.75</c:v>
                </c:pt>
                <c:pt idx="37">
                  <c:v>7.75</c:v>
                </c:pt>
                <c:pt idx="38">
                  <c:v>7.5</c:v>
                </c:pt>
                <c:pt idx="39">
                  <c:v>7.5</c:v>
                </c:pt>
                <c:pt idx="40">
                  <c:v>7.5</c:v>
                </c:pt>
                <c:pt idx="41">
                  <c:v>7.25</c:v>
                </c:pt>
                <c:pt idx="42">
                  <c:v>7.25</c:v>
                </c:pt>
                <c:pt idx="43">
                  <c:v>7.25</c:v>
                </c:pt>
                <c:pt idx="44">
                  <c:v>6.75</c:v>
                </c:pt>
                <c:pt idx="45">
                  <c:v>6.75</c:v>
                </c:pt>
                <c:pt idx="46">
                  <c:v>6.75</c:v>
                </c:pt>
                <c:pt idx="47">
                  <c:v>6.75</c:v>
                </c:pt>
                <c:pt idx="48">
                  <c:v>6.75</c:v>
                </c:pt>
                <c:pt idx="49">
                  <c:v>6.75</c:v>
                </c:pt>
                <c:pt idx="50">
                  <c:v>6.75</c:v>
                </c:pt>
                <c:pt idx="51">
                  <c:v>6.5</c:v>
                </c:pt>
                <c:pt idx="52">
                  <c:v>6.5</c:v>
                </c:pt>
                <c:pt idx="53">
                  <c:v>6.5</c:v>
                </c:pt>
                <c:pt idx="54">
                  <c:v>6.5</c:v>
                </c:pt>
                <c:pt idx="55">
                  <c:v>6.5</c:v>
                </c:pt>
                <c:pt idx="56">
                  <c:v>6.5</c:v>
                </c:pt>
                <c:pt idx="57">
                  <c:v>6.25</c:v>
                </c:pt>
                <c:pt idx="58">
                  <c:v>6.25</c:v>
                </c:pt>
                <c:pt idx="59">
                  <c:v>6.25</c:v>
                </c:pt>
                <c:pt idx="60">
                  <c:v>6.25</c:v>
                </c:pt>
                <c:pt idx="61">
                  <c:v>6.25</c:v>
                </c:pt>
                <c:pt idx="62">
                  <c:v>6.25</c:v>
                </c:pt>
                <c:pt idx="63">
                  <c:v>6.25</c:v>
                </c:pt>
                <c:pt idx="64">
                  <c:v>6.25</c:v>
                </c:pt>
                <c:pt idx="65">
                  <c:v>6.25</c:v>
                </c:pt>
                <c:pt idx="66">
                  <c:v>6.25</c:v>
                </c:pt>
                <c:pt idx="67">
                  <c:v>6</c:v>
                </c:pt>
                <c:pt idx="68">
                  <c:v>6</c:v>
                </c:pt>
                <c:pt idx="69">
                  <c:v>6</c:v>
                </c:pt>
                <c:pt idx="70">
                  <c:v>6</c:v>
                </c:pt>
                <c:pt idx="71">
                  <c:v>6</c:v>
                </c:pt>
                <c:pt idx="72">
                  <c:v>6</c:v>
                </c:pt>
                <c:pt idx="73">
                  <c:v>6</c:v>
                </c:pt>
                <c:pt idx="74">
                  <c:v>6</c:v>
                </c:pt>
                <c:pt idx="75">
                  <c:v>6</c:v>
                </c:pt>
                <c:pt idx="76">
                  <c:v>6</c:v>
                </c:pt>
                <c:pt idx="77">
                  <c:v>6.25</c:v>
                </c:pt>
                <c:pt idx="78">
                  <c:v>6.25</c:v>
                </c:pt>
                <c:pt idx="79">
                  <c:v>6.5</c:v>
                </c:pt>
                <c:pt idx="80">
                  <c:v>6.5</c:v>
                </c:pt>
                <c:pt idx="81">
                  <c:v>6.5</c:v>
                </c:pt>
                <c:pt idx="82">
                  <c:v>6.5</c:v>
                </c:pt>
                <c:pt idx="83">
                  <c:v>6.5</c:v>
                </c:pt>
                <c:pt idx="84">
                  <c:v>6.5</c:v>
                </c:pt>
                <c:pt idx="85">
                  <c:v>6.25</c:v>
                </c:pt>
                <c:pt idx="86">
                  <c:v>6.25</c:v>
                </c:pt>
                <c:pt idx="87">
                  <c:v>6</c:v>
                </c:pt>
                <c:pt idx="88">
                  <c:v>6</c:v>
                </c:pt>
                <c:pt idx="89">
                  <c:v>5.75</c:v>
                </c:pt>
                <c:pt idx="90">
                  <c:v>5.75</c:v>
                </c:pt>
                <c:pt idx="91">
                  <c:v>5.4</c:v>
                </c:pt>
                <c:pt idx="92">
                  <c:v>5.4</c:v>
                </c:pt>
                <c:pt idx="93">
                  <c:v>5.15</c:v>
                </c:pt>
                <c:pt idx="94">
                  <c:v>5.15</c:v>
                </c:pt>
                <c:pt idx="95">
                  <c:v>5.15</c:v>
                </c:pt>
                <c:pt idx="96">
                  <c:v>5.15</c:v>
                </c:pt>
                <c:pt idx="97">
                  <c:v>5.15</c:v>
                </c:pt>
                <c:pt idx="98">
                  <c:v>4.4000000000000004</c:v>
                </c:pt>
                <c:pt idx="99">
                  <c:v>4.4000000000000004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4.4000000000000004</c:v>
                </c:pt>
                <c:pt idx="125">
                  <c:v>4.9000000000000004</c:v>
                </c:pt>
                <c:pt idx="126">
                  <c:v>4.9000000000000004</c:v>
                </c:pt>
                <c:pt idx="127">
                  <c:v>5.4</c:v>
                </c:pt>
                <c:pt idx="128">
                  <c:v>5.9</c:v>
                </c:pt>
                <c:pt idx="129">
                  <c:v>5.9</c:v>
                </c:pt>
                <c:pt idx="130">
                  <c:v>5.9</c:v>
                </c:pt>
                <c:pt idx="131">
                  <c:v>6.25</c:v>
                </c:pt>
                <c:pt idx="132">
                  <c:v>6.25</c:v>
                </c:pt>
                <c:pt idx="133">
                  <c:v>6.5</c:v>
                </c:pt>
                <c:pt idx="134">
                  <c:v>6.5</c:v>
                </c:pt>
                <c:pt idx="135">
                  <c:v>6.5</c:v>
                </c:pt>
                <c:pt idx="136">
                  <c:v>6.5</c:v>
                </c:pt>
                <c:pt idx="137">
                  <c:v>6.5</c:v>
                </c:pt>
                <c:pt idx="138">
                  <c:v>6.5</c:v>
                </c:pt>
                <c:pt idx="139">
                  <c:v>6.5</c:v>
                </c:pt>
                <c:pt idx="140">
                  <c:v>6.5</c:v>
                </c:pt>
                <c:pt idx="141">
                  <c:v>6.5</c:v>
                </c:pt>
                <c:pt idx="142">
                  <c:v>6.5</c:v>
                </c:pt>
                <c:pt idx="143">
                  <c:v>6.5</c:v>
                </c:pt>
                <c:pt idx="144">
                  <c:v>6.5</c:v>
                </c:pt>
                <c:pt idx="145">
                  <c:v>6.5</c:v>
                </c:pt>
                <c:pt idx="146">
                  <c:v>6.5</c:v>
                </c:pt>
                <c:pt idx="147">
                  <c:v>6.5</c:v>
                </c:pt>
                <c:pt idx="148">
                  <c:v>6.5</c:v>
                </c:pt>
                <c:pt idx="149">
                  <c:v>6.5</c:v>
                </c:pt>
                <c:pt idx="150">
                  <c:v>6.5</c:v>
                </c:pt>
                <c:pt idx="151">
                  <c:v>6.5</c:v>
                </c:pt>
                <c:pt idx="152">
                  <c:v>6.5</c:v>
                </c:pt>
                <c:pt idx="153">
                  <c:v>6.5</c:v>
                </c:pt>
                <c:pt idx="154">
                  <c:v>6.5</c:v>
                </c:pt>
                <c:pt idx="155">
                  <c:v>6.5</c:v>
                </c:pt>
                <c:pt idx="156">
                  <c:v>6.5</c:v>
                </c:pt>
                <c:pt idx="157" formatCode="General">
                  <c:v>6.25</c:v>
                </c:pt>
                <c:pt idx="158" formatCode="General">
                  <c:v>6.25</c:v>
                </c:pt>
                <c:pt idx="159" formatCode="General">
                  <c:v>6</c:v>
                </c:pt>
              </c:numCache>
            </c:numRef>
          </c:val>
          <c:smooth val="0"/>
          <c:extLst>
            <c:ext xmlns:c16="http://schemas.microsoft.com/office/drawing/2014/chart" uri="{C3380CC4-5D6E-409C-BE32-E72D297353CC}">
              <c16:uniqueId val="{00000000-85E3-4AE7-B1E2-62BB8F44BA9D}"/>
            </c:ext>
          </c:extLst>
        </c:ser>
        <c:dLbls>
          <c:showLegendKey val="0"/>
          <c:showVal val="0"/>
          <c:showCatName val="0"/>
          <c:showSerName val="0"/>
          <c:showPercent val="0"/>
          <c:showBubbleSize val="0"/>
        </c:dLbls>
        <c:smooth val="0"/>
        <c:axId val="1129802783"/>
        <c:axId val="1129803263"/>
      </c:lineChart>
      <c:dateAx>
        <c:axId val="1129802783"/>
        <c:scaling>
          <c:orientation val="minMax"/>
        </c:scaling>
        <c:delete val="0"/>
        <c:axPos val="b"/>
        <c:numFmt formatCode="[$-409]mmm\-yy;@"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9803263"/>
        <c:crosses val="autoZero"/>
        <c:auto val="1"/>
        <c:lblOffset val="100"/>
        <c:baseTimeUnit val="days"/>
      </c:dateAx>
      <c:valAx>
        <c:axId val="1129803263"/>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t>Repo Rate in %</a:t>
                </a:r>
                <a:endParaRPr lang="en-US" sz="900"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29802783"/>
        <c:crosses val="autoZero"/>
        <c:crossBetween val="between"/>
        <c:majorUnit val="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Mining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2019</c:v>
                </c:pt>
                <c:pt idx="1">
                  <c:v>2020</c:v>
                </c:pt>
                <c:pt idx="2">
                  <c:v>2021</c:v>
                </c:pt>
                <c:pt idx="3">
                  <c:v>2022</c:v>
                </c:pt>
                <c:pt idx="4">
                  <c:v>2023</c:v>
                </c:pt>
                <c:pt idx="5">
                  <c:v>2024</c:v>
                </c:pt>
                <c:pt idx="6">
                  <c:v>2025</c:v>
                </c:pt>
              </c:numCache>
            </c:numRef>
          </c:cat>
          <c:val>
            <c:numRef>
              <c:f>Sheet1!$B$2:$B$8</c:f>
              <c:numCache>
                <c:formatCode>0.0%</c:formatCode>
                <c:ptCount val="7"/>
                <c:pt idx="0">
                  <c:v>3.4000000000000002E-2</c:v>
                </c:pt>
                <c:pt idx="1">
                  <c:v>4.5999999999999999E-2</c:v>
                </c:pt>
                <c:pt idx="2">
                  <c:v>9.1999999999999998E-2</c:v>
                </c:pt>
                <c:pt idx="3">
                  <c:v>6.7000000000000004E-2</c:v>
                </c:pt>
                <c:pt idx="4">
                  <c:v>6.4000000000000001E-2</c:v>
                </c:pt>
                <c:pt idx="5">
                  <c:v>5.6000000000000001E-2</c:v>
                </c:pt>
                <c:pt idx="6">
                  <c:v>4.8000000000000001E-2</c:v>
                </c:pt>
              </c:numCache>
            </c:numRef>
          </c:val>
          <c:smooth val="0"/>
          <c:extLst>
            <c:ext xmlns:c16="http://schemas.microsoft.com/office/drawing/2014/chart" uri="{C3380CC4-5D6E-409C-BE32-E72D297353CC}">
              <c16:uniqueId val="{00000000-2904-4CF9-977D-8B04CD9E134F}"/>
            </c:ext>
          </c:extLst>
        </c:ser>
        <c:dLbls>
          <c:showLegendKey val="0"/>
          <c:showVal val="0"/>
          <c:showCatName val="0"/>
          <c:showSerName val="0"/>
          <c:showPercent val="0"/>
          <c:showBubbleSize val="0"/>
        </c:dLbls>
        <c:smooth val="0"/>
        <c:axId val="1305578048"/>
        <c:axId val="1305574208"/>
      </c:lineChart>
      <c:catAx>
        <c:axId val="13055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5574208"/>
        <c:crosses val="autoZero"/>
        <c:auto val="1"/>
        <c:lblAlgn val="ctr"/>
        <c:lblOffset val="100"/>
        <c:noMultiLvlLbl val="0"/>
      </c:catAx>
      <c:valAx>
        <c:axId val="13055742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5578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0.00862</cdr:x>
      <cdr:y>0.4087</cdr:y>
    </cdr:from>
    <cdr:to>
      <cdr:x>0.20935</cdr:x>
      <cdr:y>0.71304</cdr:y>
    </cdr:to>
    <cdr:sp macro="" textlink="">
      <cdr:nvSpPr>
        <cdr:cNvPr id="2" name="Text Box 1"/>
        <cdr:cNvSpPr txBox="1"/>
      </cdr:nvSpPr>
      <cdr:spPr>
        <a:xfrm xmlns:a="http://schemas.openxmlformats.org/drawingml/2006/main">
          <a:off x="55659" y="373711"/>
          <a:ext cx="1296063" cy="2782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Value</a:t>
          </a:r>
          <a:r>
            <a:rPr lang="en-US" sz="1000" baseline="0"/>
            <a:t> (Rs trillion)</a:t>
          </a:r>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0.65627</cdr:x>
      <cdr:y>0.89991</cdr:y>
    </cdr:from>
    <cdr:to>
      <cdr:x>0.69517</cdr:x>
      <cdr:y>0.96015</cdr:y>
    </cdr:to>
    <cdr:sp macro="" textlink="">
      <cdr:nvSpPr>
        <cdr:cNvPr id="2" name="Rectangle 1"/>
        <cdr:cNvSpPr>
          <a:spLocks xmlns:a="http://schemas.openxmlformats.org/drawingml/2006/main"/>
        </cdr:cNvSpPr>
      </cdr:nvSpPr>
      <cdr:spPr>
        <a:xfrm xmlns:a="http://schemas.openxmlformats.org/drawingml/2006/main">
          <a:off x="4253598" y="2182336"/>
          <a:ext cx="252128" cy="146094"/>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800" kern="100">
            <a:solidFill>
              <a:srgbClr val="434242"/>
            </a:solidFill>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0.6899</cdr:x>
      <cdr:y>0.8779</cdr:y>
    </cdr:from>
    <cdr:to>
      <cdr:x>0.82694</cdr:x>
      <cdr:y>0.96671</cdr:y>
    </cdr:to>
    <cdr:sp macro="" textlink="">
      <cdr:nvSpPr>
        <cdr:cNvPr id="3" name="Text Box 2"/>
        <cdr:cNvSpPr txBox="1"/>
      </cdr:nvSpPr>
      <cdr:spPr>
        <a:xfrm xmlns:a="http://schemas.openxmlformats.org/drawingml/2006/main">
          <a:off x="4471569" y="2128956"/>
          <a:ext cx="888217" cy="2153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Growth rate ratio</a:t>
          </a:r>
        </a:p>
      </cdr:txBody>
    </cdr:sp>
  </cdr:relSizeAnchor>
</c:userShapes>
</file>

<file path=word/drawings/drawing3.xml><?xml version="1.0" encoding="utf-8"?>
<c:userShapes xmlns:c="http://schemas.openxmlformats.org/drawingml/2006/chart">
  <cdr:relSizeAnchor xmlns:cdr="http://schemas.openxmlformats.org/drawingml/2006/chartDrawing">
    <cdr:from>
      <cdr:x>0.66193</cdr:x>
      <cdr:y>0.90024</cdr:y>
    </cdr:from>
    <cdr:to>
      <cdr:x>0.70083</cdr:x>
      <cdr:y>0.96264</cdr:y>
    </cdr:to>
    <cdr:sp macro="" textlink="">
      <cdr:nvSpPr>
        <cdr:cNvPr id="2" name="Rectangle 1"/>
        <cdr:cNvSpPr>
          <a:spLocks xmlns:a="http://schemas.openxmlformats.org/drawingml/2006/main"/>
        </cdr:cNvSpPr>
      </cdr:nvSpPr>
      <cdr:spPr>
        <a:xfrm xmlns:a="http://schemas.openxmlformats.org/drawingml/2006/main">
          <a:off x="4290282" y="2107694"/>
          <a:ext cx="252105" cy="146086"/>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800" kern="100">
            <a:solidFill>
              <a:srgbClr val="434242"/>
            </a:solidFill>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0.69556</cdr:x>
      <cdr:y>0.87744</cdr:y>
    </cdr:from>
    <cdr:to>
      <cdr:x>0.8326</cdr:x>
      <cdr:y>0.96943</cdr:y>
    </cdr:to>
    <cdr:sp macro="" textlink="">
      <cdr:nvSpPr>
        <cdr:cNvPr id="3" name="Text Box 2"/>
        <cdr:cNvSpPr txBox="1"/>
      </cdr:nvSpPr>
      <cdr:spPr>
        <a:xfrm xmlns:a="http://schemas.openxmlformats.org/drawingml/2006/main">
          <a:off x="4508251" y="2054313"/>
          <a:ext cx="888172" cy="2153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Growth rate ratio</a:t>
          </a:r>
        </a:p>
      </cdr:txBody>
    </cdr:sp>
  </cdr:relSizeAnchor>
</c:userShapes>
</file>

<file path=word/drawings/drawing4.xml><?xml version="1.0" encoding="utf-8"?>
<c:userShapes xmlns:c="http://schemas.openxmlformats.org/drawingml/2006/chart">
  <cdr:relSizeAnchor xmlns:cdr="http://schemas.openxmlformats.org/drawingml/2006/chartDrawing">
    <cdr:from>
      <cdr:x>0.65627</cdr:x>
      <cdr:y>0.89991</cdr:y>
    </cdr:from>
    <cdr:to>
      <cdr:x>0.69517</cdr:x>
      <cdr:y>0.96015</cdr:y>
    </cdr:to>
    <cdr:sp macro="" textlink="">
      <cdr:nvSpPr>
        <cdr:cNvPr id="2" name="Rectangle 1"/>
        <cdr:cNvSpPr>
          <a:spLocks xmlns:a="http://schemas.openxmlformats.org/drawingml/2006/main"/>
        </cdr:cNvSpPr>
      </cdr:nvSpPr>
      <cdr:spPr>
        <a:xfrm xmlns:a="http://schemas.openxmlformats.org/drawingml/2006/main">
          <a:off x="4253598" y="2182336"/>
          <a:ext cx="252128" cy="146094"/>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w="12700" cap="flat" cmpd="sng" algn="ctr">
          <a:noFill/>
          <a:prstDash val="solid"/>
          <a:miter lim="800000"/>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800" kern="100">
            <a:solidFill>
              <a:srgbClr val="434242"/>
            </a:solidFill>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0.6899</cdr:x>
      <cdr:y>0.8779</cdr:y>
    </cdr:from>
    <cdr:to>
      <cdr:x>0.82694</cdr:x>
      <cdr:y>0.96671</cdr:y>
    </cdr:to>
    <cdr:sp macro="" textlink="">
      <cdr:nvSpPr>
        <cdr:cNvPr id="3" name="Text Box 2"/>
        <cdr:cNvSpPr txBox="1"/>
      </cdr:nvSpPr>
      <cdr:spPr>
        <a:xfrm xmlns:a="http://schemas.openxmlformats.org/drawingml/2006/main">
          <a:off x="4471569" y="2128956"/>
          <a:ext cx="888217" cy="2153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Arial" panose="020B0604020202020204" pitchFamily="34" charset="0"/>
              <a:cs typeface="Arial" panose="020B0604020202020204" pitchFamily="34" charset="0"/>
            </a:rPr>
            <a:t>Growth rate ratio</a:t>
          </a:r>
        </a:p>
      </cdr:txBody>
    </cdr:sp>
  </cdr:relSizeAnchor>
</c:userShapes>
</file>

<file path=word/drawings/drawing5.xml><?xml version="1.0" encoding="utf-8"?>
<c:userShapes xmlns:c="http://schemas.openxmlformats.org/drawingml/2006/chart">
  <cdr:relSizeAnchor xmlns:cdr="http://schemas.openxmlformats.org/drawingml/2006/chartDrawing">
    <cdr:from>
      <cdr:x>0.14656</cdr:x>
      <cdr:y>0.06417</cdr:y>
    </cdr:from>
    <cdr:to>
      <cdr:x>0.82006</cdr:x>
      <cdr:y>0.27273</cdr:y>
    </cdr:to>
    <cdr:cxnSp macro="">
      <cdr:nvCxnSpPr>
        <cdr:cNvPr id="3" name="Straight Arrow Connector 2"/>
        <cdr:cNvCxnSpPr/>
      </cdr:nvCxnSpPr>
      <cdr:spPr>
        <a:xfrm xmlns:a="http://schemas.openxmlformats.org/drawingml/2006/main" flipV="1">
          <a:off x="998220" y="182880"/>
          <a:ext cx="4587240" cy="594360"/>
        </a:xfrm>
        <a:prstGeom xmlns:a="http://schemas.openxmlformats.org/drawingml/2006/main" prst="straightConnector1">
          <a:avLst/>
        </a:prstGeom>
        <a:ln xmlns:a="http://schemas.openxmlformats.org/drawingml/2006/main">
          <a:solidFill>
            <a:schemeClr val="accent5"/>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0.40612</cdr:x>
      <cdr:y>0.07754</cdr:y>
    </cdr:from>
    <cdr:to>
      <cdr:x>0.56834</cdr:x>
      <cdr:y>0.16845</cdr:y>
    </cdr:to>
    <cdr:sp macro="" textlink="">
      <cdr:nvSpPr>
        <cdr:cNvPr id="7" name="Text Box 6"/>
        <cdr:cNvSpPr txBox="1"/>
      </cdr:nvSpPr>
      <cdr:spPr>
        <a:xfrm xmlns:a="http://schemas.openxmlformats.org/drawingml/2006/main" rot="21144877">
          <a:off x="2766060" y="220979"/>
          <a:ext cx="110490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kern="1200">
              <a:latin typeface="+mj-lt"/>
            </a:rPr>
            <a:t>CAGR: 7.7%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risil 2">
    <a:dk1>
      <a:srgbClr val="000000"/>
    </a:dk1>
    <a:lt1>
      <a:sysClr val="window" lastClr="FFFFFF"/>
    </a:lt1>
    <a:dk2>
      <a:srgbClr val="000000"/>
    </a:dk2>
    <a:lt2>
      <a:srgbClr val="CCDDEA"/>
    </a:lt2>
    <a:accent1>
      <a:srgbClr val="F1A649"/>
    </a:accent1>
    <a:accent2>
      <a:srgbClr val="792080"/>
    </a:accent2>
    <a:accent3>
      <a:srgbClr val="54BAA0"/>
    </a:accent3>
    <a:accent4>
      <a:srgbClr val="B92051"/>
    </a:accent4>
    <a:accent5>
      <a:srgbClr val="AAB5DF"/>
    </a:accent5>
    <a:accent6>
      <a:srgbClr val="1D3BAA"/>
    </a:accent6>
    <a:hlink>
      <a:srgbClr val="005B72"/>
    </a:hlink>
    <a:folHlink>
      <a:srgbClr val="792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RISIL_Ratings_Grey">
    <a:dk1>
      <a:srgbClr val="434242"/>
    </a:dk1>
    <a:lt1>
      <a:sysClr val="window" lastClr="FFFFFF"/>
    </a:lt1>
    <a:dk2>
      <a:srgbClr val="44546A"/>
    </a:dk2>
    <a:lt2>
      <a:srgbClr val="E7E6E6"/>
    </a:lt2>
    <a:accent1>
      <a:srgbClr val="C79B3A"/>
    </a:accent1>
    <a:accent2>
      <a:srgbClr val="7B1E29"/>
    </a:accent2>
    <a:accent3>
      <a:srgbClr val="D53814"/>
    </a:accent3>
    <a:accent4>
      <a:srgbClr val="BEB7A9"/>
    </a:accent4>
    <a:accent5>
      <a:srgbClr val="A79886"/>
    </a:accent5>
    <a:accent6>
      <a:srgbClr val="95B3C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RISIL_Ratings_Grey">
    <a:dk1>
      <a:srgbClr val="434242"/>
    </a:dk1>
    <a:lt1>
      <a:sysClr val="window" lastClr="FFFFFF"/>
    </a:lt1>
    <a:dk2>
      <a:srgbClr val="44546A"/>
    </a:dk2>
    <a:lt2>
      <a:srgbClr val="E7E6E6"/>
    </a:lt2>
    <a:accent1>
      <a:srgbClr val="C79B3A"/>
    </a:accent1>
    <a:accent2>
      <a:srgbClr val="7B1E29"/>
    </a:accent2>
    <a:accent3>
      <a:srgbClr val="D53814"/>
    </a:accent3>
    <a:accent4>
      <a:srgbClr val="BEB7A9"/>
    </a:accent4>
    <a:accent5>
      <a:srgbClr val="A79886"/>
    </a:accent5>
    <a:accent6>
      <a:srgbClr val="95B3C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RISIL_Ratings_Grey">
    <a:dk1>
      <a:srgbClr val="434242"/>
    </a:dk1>
    <a:lt1>
      <a:sysClr val="window" lastClr="FFFFFF"/>
    </a:lt1>
    <a:dk2>
      <a:srgbClr val="44546A"/>
    </a:dk2>
    <a:lt2>
      <a:srgbClr val="E7E6E6"/>
    </a:lt2>
    <a:accent1>
      <a:srgbClr val="C79B3A"/>
    </a:accent1>
    <a:accent2>
      <a:srgbClr val="7B1E29"/>
    </a:accent2>
    <a:accent3>
      <a:srgbClr val="D53814"/>
    </a:accent3>
    <a:accent4>
      <a:srgbClr val="BEB7A9"/>
    </a:accent4>
    <a:accent5>
      <a:srgbClr val="A79886"/>
    </a:accent5>
    <a:accent6>
      <a:srgbClr val="95B3C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RISIL_Ratings_Grey">
    <a:dk1>
      <a:srgbClr val="434242"/>
    </a:dk1>
    <a:lt1>
      <a:sysClr val="window" lastClr="FFFFFF"/>
    </a:lt1>
    <a:dk2>
      <a:srgbClr val="44546A"/>
    </a:dk2>
    <a:lt2>
      <a:srgbClr val="E7E6E6"/>
    </a:lt2>
    <a:accent1>
      <a:srgbClr val="C79B3A"/>
    </a:accent1>
    <a:accent2>
      <a:srgbClr val="7B1E29"/>
    </a:accent2>
    <a:accent3>
      <a:srgbClr val="D53814"/>
    </a:accent3>
    <a:accent4>
      <a:srgbClr val="BEB7A9"/>
    </a:accent4>
    <a:accent5>
      <a:srgbClr val="A79886"/>
    </a:accent5>
    <a:accent6>
      <a:srgbClr val="95B3C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RISIL_Ratings_Grey">
    <a:dk1>
      <a:srgbClr val="434242"/>
    </a:dk1>
    <a:lt1>
      <a:sysClr val="window" lastClr="FFFFFF"/>
    </a:lt1>
    <a:dk2>
      <a:srgbClr val="44546A"/>
    </a:dk2>
    <a:lt2>
      <a:srgbClr val="E7E6E6"/>
    </a:lt2>
    <a:accent1>
      <a:srgbClr val="C79B3A"/>
    </a:accent1>
    <a:accent2>
      <a:srgbClr val="7B1E29"/>
    </a:accent2>
    <a:accent3>
      <a:srgbClr val="D53814"/>
    </a:accent3>
    <a:accent4>
      <a:srgbClr val="BEB7A9"/>
    </a:accent4>
    <a:accent5>
      <a:srgbClr val="A79886"/>
    </a:accent5>
    <a:accent6>
      <a:srgbClr val="95B3C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RISIL_Ratings_Grey">
    <a:dk1>
      <a:srgbClr val="434242"/>
    </a:dk1>
    <a:lt1>
      <a:sysClr val="window" lastClr="FFFFFF"/>
    </a:lt1>
    <a:dk2>
      <a:srgbClr val="44546A"/>
    </a:dk2>
    <a:lt2>
      <a:srgbClr val="E7E6E6"/>
    </a:lt2>
    <a:accent1>
      <a:srgbClr val="C79B3A"/>
    </a:accent1>
    <a:accent2>
      <a:srgbClr val="7B1E29"/>
    </a:accent2>
    <a:accent3>
      <a:srgbClr val="D53814"/>
    </a:accent3>
    <a:accent4>
      <a:srgbClr val="BEB7A9"/>
    </a:accent4>
    <a:accent5>
      <a:srgbClr val="A79886"/>
    </a:accent5>
    <a:accent6>
      <a:srgbClr val="95B3C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risil 2">
    <a:dk1>
      <a:srgbClr val="000000"/>
    </a:dk1>
    <a:lt1>
      <a:sysClr val="window" lastClr="FFFFFF"/>
    </a:lt1>
    <a:dk2>
      <a:srgbClr val="000000"/>
    </a:dk2>
    <a:lt2>
      <a:srgbClr val="CCDDEA"/>
    </a:lt2>
    <a:accent1>
      <a:srgbClr val="F1A649"/>
    </a:accent1>
    <a:accent2>
      <a:srgbClr val="792080"/>
    </a:accent2>
    <a:accent3>
      <a:srgbClr val="54BAA0"/>
    </a:accent3>
    <a:accent4>
      <a:srgbClr val="B92051"/>
    </a:accent4>
    <a:accent5>
      <a:srgbClr val="AAB5DF"/>
    </a:accent5>
    <a:accent6>
      <a:srgbClr val="1D3BAA"/>
    </a:accent6>
    <a:hlink>
      <a:srgbClr val="005B72"/>
    </a:hlink>
    <a:folHlink>
      <a:srgbClr val="792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risil">
    <a:dk1>
      <a:srgbClr val="000000"/>
    </a:dk1>
    <a:lt1>
      <a:srgbClr val="FFFFFF"/>
    </a:lt1>
    <a:dk2>
      <a:srgbClr val="005B71"/>
    </a:dk2>
    <a:lt2>
      <a:srgbClr val="EDF86F"/>
    </a:lt2>
    <a:accent1>
      <a:srgbClr val="C9D8E1"/>
    </a:accent1>
    <a:accent2>
      <a:srgbClr val="F1A649"/>
    </a:accent2>
    <a:accent3>
      <a:srgbClr val="782080"/>
    </a:accent3>
    <a:accent4>
      <a:srgbClr val="54BAA0"/>
    </a:accent4>
    <a:accent5>
      <a:srgbClr val="B92051"/>
    </a:accent5>
    <a:accent6>
      <a:srgbClr val="1D3BAA"/>
    </a:accent6>
    <a:hlink>
      <a:srgbClr val="D6002A"/>
    </a:hlink>
    <a:folHlink>
      <a:srgbClr val="005B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risil 2">
    <a:dk1>
      <a:srgbClr val="000000"/>
    </a:dk1>
    <a:lt1>
      <a:sysClr val="window" lastClr="FFFFFF"/>
    </a:lt1>
    <a:dk2>
      <a:srgbClr val="000000"/>
    </a:dk2>
    <a:lt2>
      <a:srgbClr val="CCDDEA"/>
    </a:lt2>
    <a:accent1>
      <a:srgbClr val="F1A649"/>
    </a:accent1>
    <a:accent2>
      <a:srgbClr val="792080"/>
    </a:accent2>
    <a:accent3>
      <a:srgbClr val="54BAA0"/>
    </a:accent3>
    <a:accent4>
      <a:srgbClr val="B92051"/>
    </a:accent4>
    <a:accent5>
      <a:srgbClr val="AAB5DF"/>
    </a:accent5>
    <a:accent6>
      <a:srgbClr val="1D3BAA"/>
    </a:accent6>
    <a:hlink>
      <a:srgbClr val="005B72"/>
    </a:hlink>
    <a:folHlink>
      <a:srgbClr val="792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0F82561701BD4CA71054AE5430D653" ma:contentTypeVersion="16" ma:contentTypeDescription="Create a new document." ma:contentTypeScope="" ma:versionID="e897871cbc1c523fcea67fbf68e975a2">
  <xsd:schema xmlns:xsd="http://www.w3.org/2001/XMLSchema" xmlns:xs="http://www.w3.org/2001/XMLSchema" xmlns:p="http://schemas.microsoft.com/office/2006/metadata/properties" xmlns:ns3="bf4f44ae-6ef1-418c-8fb7-88487cbf2236" xmlns:ns4="66d8d020-1116-4d71-a9ed-8f17780f980f" targetNamespace="http://schemas.microsoft.com/office/2006/metadata/properties" ma:root="true" ma:fieldsID="2b8d78d91ccb0cdb72890a31ea411632" ns3:_="" ns4:_="">
    <xsd:import namespace="bf4f44ae-6ef1-418c-8fb7-88487cbf2236"/>
    <xsd:import namespace="66d8d020-1116-4d71-a9ed-8f17780f98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f44ae-6ef1-418c-8fb7-88487cbf2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d8d020-1116-4d71-a9ed-8f17780f98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f4f44ae-6ef1-418c-8fb7-88487cbf223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0483C-2A3D-4219-BF20-8C0E9319B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f44ae-6ef1-418c-8fb7-88487cbf2236"/>
    <ds:schemaRef ds:uri="66d8d020-1116-4d71-a9ed-8f17780f9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1ADECF-5F09-481A-AB6A-B53809032322}">
  <ds:schemaRefs>
    <ds:schemaRef ds:uri="http://schemas.microsoft.com/sharepoint/v3/contenttype/forms"/>
  </ds:schemaRefs>
</ds:datastoreItem>
</file>

<file path=customXml/itemProps3.xml><?xml version="1.0" encoding="utf-8"?>
<ds:datastoreItem xmlns:ds="http://schemas.openxmlformats.org/officeDocument/2006/customXml" ds:itemID="{E469D7A2-E6D0-4419-BE17-94EB642B57AC}">
  <ds:schemaRefs>
    <ds:schemaRef ds:uri="http://schemas.microsoft.com/office/2006/metadata/properties"/>
    <ds:schemaRef ds:uri="http://schemas.microsoft.com/office/infopath/2007/PartnerControls"/>
    <ds:schemaRef ds:uri="bf4f44ae-6ef1-418c-8fb7-88487cbf2236"/>
  </ds:schemaRefs>
</ds:datastoreItem>
</file>

<file path=customXml/itemProps4.xml><?xml version="1.0" encoding="utf-8"?>
<ds:datastoreItem xmlns:ds="http://schemas.openxmlformats.org/officeDocument/2006/customXml" ds:itemID="{1D726F49-98FD-4F92-A2D0-841EA24F0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30263</Words>
  <Characters>172500</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Sandip Kumar Roy</dc:creator>
  <cp:keywords/>
  <dc:description/>
  <cp:lastModifiedBy>Sandip Kumar Roy</cp:lastModifiedBy>
  <cp:revision>4</cp:revision>
  <cp:lastPrinted>2025-05-25T15:49:00Z</cp:lastPrinted>
  <dcterms:created xsi:type="dcterms:W3CDTF">2025-05-25T15:50:00Z</dcterms:created>
  <dcterms:modified xsi:type="dcterms:W3CDTF">2025-05-25T16:04:00Z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63c790-1b4f-473b-b88f-a693ca173b52_Enabled">
    <vt:lpwstr>true</vt:lpwstr>
  </property>
  <property fmtid="{D5CDD505-2E9C-101B-9397-08002B2CF9AE}" pid="3" name="MSIP_Label_8c63c790-1b4f-473b-b88f-a693ca173b52_SetDate">
    <vt:lpwstr>2025-03-09T15:05:51Z</vt:lpwstr>
  </property>
  <property fmtid="{D5CDD505-2E9C-101B-9397-08002B2CF9AE}" pid="4" name="MSIP_Label_8c63c790-1b4f-473b-b88f-a693ca173b52_Method">
    <vt:lpwstr>Privileged</vt:lpwstr>
  </property>
  <property fmtid="{D5CDD505-2E9C-101B-9397-08002B2CF9AE}" pid="5" name="MSIP_Label_8c63c790-1b4f-473b-b88f-a693ca173b52_Name">
    <vt:lpwstr>Internal</vt:lpwstr>
  </property>
  <property fmtid="{D5CDD505-2E9C-101B-9397-08002B2CF9AE}" pid="6" name="MSIP_Label_8c63c790-1b4f-473b-b88f-a693ca173b52_SiteId">
    <vt:lpwstr>4d8b04bf-7a7c-48a0-b6e3-38da5008297e</vt:lpwstr>
  </property>
  <property fmtid="{D5CDD505-2E9C-101B-9397-08002B2CF9AE}" pid="7" name="MSIP_Label_8c63c790-1b4f-473b-b88f-a693ca173b52_ActionId">
    <vt:lpwstr>300c9657-a661-40c7-86f5-12bf5922f625</vt:lpwstr>
  </property>
  <property fmtid="{D5CDD505-2E9C-101B-9397-08002B2CF9AE}" pid="8" name="MSIP_Label_8c63c790-1b4f-473b-b88f-a693ca173b52_ContentBits">
    <vt:lpwstr>0</vt:lpwstr>
  </property>
  <property fmtid="{D5CDD505-2E9C-101B-9397-08002B2CF9AE}" pid="9" name="MSIP_Label_8c63c790-1b4f-473b-b88f-a693ca173b52_Tag">
    <vt:lpwstr>10, 0, 1, 1</vt:lpwstr>
  </property>
  <property fmtid="{D5CDD505-2E9C-101B-9397-08002B2CF9AE}" pid="10" name="ContentTypeId">
    <vt:lpwstr>0x010100290F82561701BD4CA71054AE5430D653</vt:lpwstr>
  </property>
</Properties>
</file>